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4" w:lineRule="exact"/>
        <w:rPr>
          <w:sz w:val="24"/>
          <w:szCs w:val="24"/>
          <w:color w:val="auto"/>
        </w:rPr>
      </w:pPr>
    </w:p>
    <w:p>
      <w:pPr>
        <w:ind w:left="3900" w:right="1940" w:hanging="3879"/>
        <w:spacing w:after="0" w:line="269" w:lineRule="auto"/>
        <w:tabs>
          <w:tab w:leader="none" w:pos="47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ind w:left="54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ind w:left="480" w:hanging="459"/>
        <w:spacing w:after="0" w:line="182" w:lineRule="auto"/>
        <w:tabs>
          <w:tab w:leader="none" w:pos="480" w:val="left"/>
        </w:tabs>
        <w:numPr>
          <w:ilvl w:val="0"/>
          <w:numId w:val="2"/>
        </w:numPr>
        <w:rPr>
          <w:rFonts w:ascii="MS PGothic" w:cs="MS PGothic" w:eastAsia="MS PGothic" w:hAnsi="MS PGothic"/>
          <w:sz w:val="2"/>
          <w:szCs w:val="2"/>
          <w:color w:val="auto"/>
        </w:rPr>
      </w:pPr>
      <w:r>
        <w:rPr>
          <w:rFonts w:ascii="Arial" w:cs="Arial" w:eastAsia="Arial" w:hAnsi="Arial"/>
          <w:sz w:val="2"/>
          <w:szCs w:val="2"/>
          <w:b w:val="1"/>
          <w:bCs w:val="1"/>
          <w:color w:val="auto"/>
        </w:rPr>
        <w:t>TRANSITION REPORT PURSUANT TO SECTION 13 OR 15(d) OF THE SECURITIES EXCHANGE ACT OF 1934 FOR THE</w:t>
      </w:r>
    </w:p>
    <w:p>
      <w:pPr>
        <w:spacing w:after="0" w:line="162" w:lineRule="exact"/>
        <w:rPr>
          <w:sz w:val="24"/>
          <w:szCs w:val="24"/>
          <w:color w:val="auto"/>
        </w:rPr>
      </w:pPr>
    </w:p>
    <w:p>
      <w:pPr>
        <w:ind w:left="480"/>
        <w:spacing w:after="0"/>
        <w:tabs>
          <w:tab w:leader="none" w:pos="370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001-39208</w:t>
      </w:r>
    </w:p>
    <w:p>
      <w:pPr>
        <w:spacing w:after="0" w:line="70" w:lineRule="exact"/>
        <w:rPr>
          <w:sz w:val="24"/>
          <w:szCs w:val="24"/>
          <w:color w:val="auto"/>
        </w:rPr>
      </w:pPr>
    </w:p>
    <w:p>
      <w:pPr>
        <w:jc w:val="center"/>
        <w:ind w:right="60"/>
        <w:spacing w:after="0"/>
        <w:rPr>
          <w:sz w:val="20"/>
          <w:szCs w:val="20"/>
          <w:color w:val="auto"/>
        </w:rPr>
      </w:pPr>
      <w:r>
        <w:rPr>
          <w:rFonts w:ascii="Arial" w:cs="Arial" w:eastAsia="Arial" w:hAnsi="Arial"/>
          <w:sz w:val="43"/>
          <w:szCs w:val="43"/>
          <w:b w:val="1"/>
          <w:bCs w:val="1"/>
          <w:color w:val="auto"/>
        </w:rPr>
        <w:t>Beam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-302895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3920" w:type="dxa"/>
            <w:vAlign w:val="bottom"/>
            <w:gridSpan w:val="5"/>
          </w:tcPr>
          <w:p>
            <w:pPr>
              <w:jc w:val="center"/>
              <w:ind w:left="26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480" w:type="dxa"/>
            <w:vAlign w:val="bottom"/>
            <w:vMerge w:val="restart"/>
          </w:tcPr>
          <w:p>
            <w:pPr>
              <w:jc w:val="center"/>
              <w:ind w:left="2064"/>
              <w:spacing w:after="0"/>
              <w:rPr>
                <w:sz w:val="20"/>
                <w:szCs w:val="20"/>
                <w:color w:val="auto"/>
              </w:rPr>
            </w:pPr>
            <w:r>
              <w:rPr>
                <w:rFonts w:ascii="Arial" w:cs="Arial" w:eastAsia="Arial" w:hAnsi="Arial"/>
                <w:sz w:val="16"/>
                <w:szCs w:val="16"/>
                <w:b w:val="1"/>
                <w:bCs w:val="1"/>
                <w:color w:val="auto"/>
                <w:w w:val="93"/>
              </w:rPr>
              <w:t>Delaware</w:t>
            </w:r>
          </w:p>
        </w:tc>
        <w:tc>
          <w:tcPr>
            <w:tcW w:w="102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980" w:type="dxa"/>
            <w:vAlign w:val="bottom"/>
            <w:vMerge w:val="restart"/>
          </w:tcPr>
          <w:p>
            <w:pPr>
              <w:jc w:val="right"/>
              <w:ind w:right="1485"/>
              <w:spacing w:after="0"/>
              <w:rPr>
                <w:sz w:val="20"/>
                <w:szCs w:val="20"/>
                <w:color w:val="auto"/>
              </w:rPr>
            </w:pPr>
            <w:r>
              <w:rPr>
                <w:rFonts w:ascii="Arial" w:cs="Arial" w:eastAsia="Arial" w:hAnsi="Arial"/>
                <w:sz w:val="16"/>
                <w:szCs w:val="16"/>
                <w:b w:val="1"/>
                <w:bCs w:val="1"/>
                <w:color w:val="auto"/>
              </w:rPr>
              <w:t>81-5238376</w:t>
            </w:r>
          </w:p>
        </w:tc>
        <w:tc>
          <w:tcPr>
            <w:tcW w:w="0" w:type="dxa"/>
            <w:vAlign w:val="bottom"/>
          </w:tcPr>
          <w:p>
            <w:pPr>
              <w:spacing w:after="0"/>
              <w:rPr>
                <w:sz w:val="1"/>
                <w:szCs w:val="1"/>
                <w:color w:val="auto"/>
              </w:rPr>
            </w:pPr>
          </w:p>
        </w:tc>
      </w:tr>
      <w:tr>
        <w:trPr>
          <w:trHeight w:val="214"/>
        </w:trPr>
        <w:tc>
          <w:tcPr>
            <w:tcW w:w="348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860" w:type="dxa"/>
            <w:vAlign w:val="bottom"/>
            <w:gridSpan w:val="4"/>
          </w:tcPr>
          <w:p>
            <w:pPr>
              <w:jc w:val="center"/>
              <w:ind w:right="1220"/>
              <w:spacing w:after="0" w:line="149"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State or other jurisdiction of</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80" w:type="dxa"/>
            <w:vAlign w:val="bottom"/>
          </w:tcPr>
          <w:p>
            <w:pPr>
              <w:jc w:val="center"/>
              <w:ind w:right="825"/>
              <w:spacing w:after="0" w:line="149"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14"/>
                <w:szCs w:val="14"/>
                <w:b w:val="1"/>
                <w:bCs w:val="1"/>
                <w:i w:val="1"/>
                <w:iCs w:val="1"/>
                <w:color w:val="auto"/>
                <w:w w:val="93"/>
              </w:rPr>
              <w:t>I.R.S. Employer</w:t>
            </w:r>
          </w:p>
        </w:tc>
        <w:tc>
          <w:tcPr>
            <w:tcW w:w="0" w:type="dxa"/>
            <w:vAlign w:val="bottom"/>
          </w:tcPr>
          <w:p>
            <w:pPr>
              <w:spacing w:after="0"/>
              <w:rPr>
                <w:sz w:val="1"/>
                <w:szCs w:val="1"/>
                <w:color w:val="auto"/>
              </w:rPr>
            </w:pPr>
          </w:p>
        </w:tc>
      </w:tr>
      <w:tr>
        <w:trPr>
          <w:trHeight w:val="186"/>
        </w:trPr>
        <w:tc>
          <w:tcPr>
            <w:tcW w:w="6860" w:type="dxa"/>
            <w:vAlign w:val="bottom"/>
            <w:gridSpan w:val="4"/>
          </w:tcPr>
          <w:p>
            <w:pPr>
              <w:jc w:val="center"/>
              <w:ind w:right="1240"/>
              <w:spacing w:after="0"/>
              <w:rPr>
                <w:sz w:val="20"/>
                <w:szCs w:val="20"/>
                <w:color w:val="auto"/>
              </w:rPr>
            </w:pPr>
            <w:r>
              <w:rPr>
                <w:rFonts w:ascii="Arial" w:cs="Arial" w:eastAsia="Arial" w:hAnsi="Arial"/>
                <w:sz w:val="14"/>
                <w:szCs w:val="14"/>
                <w:b w:val="1"/>
                <w:bCs w:val="1"/>
                <w:i w:val="1"/>
                <w:iCs w:val="1"/>
                <w:color w:val="auto"/>
                <w:w w:val="91"/>
              </w:rPr>
              <w:t>incorporation or organization</w:t>
            </w:r>
            <w:r>
              <w:rPr>
                <w:rFonts w:ascii="Arial" w:cs="Arial" w:eastAsia="Arial" w:hAnsi="Arial"/>
                <w:sz w:val="14"/>
                <w:szCs w:val="14"/>
                <w:b w:val="1"/>
                <w:bCs w:val="1"/>
                <w:color w:val="auto"/>
                <w:w w:val="91"/>
              </w:rPr>
              <w:t>)</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tcPr>
          <w:p>
            <w:pPr>
              <w:jc w:val="center"/>
              <w:ind w:right="845"/>
              <w:spacing w:after="0"/>
              <w:rPr>
                <w:sz w:val="20"/>
                <w:szCs w:val="20"/>
                <w:color w:val="auto"/>
              </w:rPr>
            </w:pPr>
            <w:r>
              <w:rPr>
                <w:rFonts w:ascii="Arial" w:cs="Arial" w:eastAsia="Arial" w:hAnsi="Arial"/>
                <w:sz w:val="14"/>
                <w:szCs w:val="14"/>
                <w:b w:val="1"/>
                <w:bCs w:val="1"/>
                <w:i w:val="1"/>
                <w:iCs w:val="1"/>
                <w:color w:val="auto"/>
                <w:w w:val="92"/>
              </w:rPr>
              <w:t>Identification No.</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42"/>
        </w:trPr>
        <w:tc>
          <w:tcPr>
            <w:tcW w:w="3480" w:type="dxa"/>
            <w:vAlign w:val="bottom"/>
          </w:tcPr>
          <w:p>
            <w:pPr>
              <w:jc w:val="center"/>
              <w:ind w:left="2064"/>
              <w:spacing w:after="0"/>
              <w:rPr>
                <w:sz w:val="20"/>
                <w:szCs w:val="20"/>
                <w:color w:val="auto"/>
              </w:rPr>
            </w:pPr>
            <w:r>
              <w:rPr>
                <w:rFonts w:ascii="Arial" w:cs="Arial" w:eastAsia="Arial" w:hAnsi="Arial"/>
                <w:sz w:val="16"/>
                <w:szCs w:val="16"/>
                <w:b w:val="1"/>
                <w:bCs w:val="1"/>
                <w:color w:val="auto"/>
                <w:w w:val="93"/>
              </w:rPr>
              <w:t>238 Main Street</w:t>
            </w:r>
          </w:p>
        </w:tc>
        <w:tc>
          <w:tcPr>
            <w:tcW w:w="10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480" w:type="dxa"/>
            <w:vAlign w:val="bottom"/>
          </w:tcPr>
          <w:p>
            <w:pPr>
              <w:jc w:val="center"/>
              <w:ind w:left="2064"/>
              <w:spacing w:after="0"/>
              <w:rPr>
                <w:sz w:val="20"/>
                <w:szCs w:val="20"/>
                <w:color w:val="auto"/>
              </w:rPr>
            </w:pPr>
            <w:r>
              <w:rPr>
                <w:rFonts w:ascii="Arial" w:cs="Arial" w:eastAsia="Arial" w:hAnsi="Arial"/>
                <w:sz w:val="16"/>
                <w:szCs w:val="16"/>
                <w:b w:val="1"/>
                <w:bCs w:val="1"/>
                <w:color w:val="auto"/>
                <w:w w:val="97"/>
              </w:rPr>
              <w:t>Cambridge, MA</w:t>
            </w:r>
          </w:p>
        </w:tc>
        <w:tc>
          <w:tcPr>
            <w:tcW w:w="1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Pr>
          <w:p>
            <w:pPr>
              <w:jc w:val="right"/>
              <w:ind w:right="1665"/>
              <w:spacing w:after="0"/>
              <w:rPr>
                <w:sz w:val="20"/>
                <w:szCs w:val="20"/>
                <w:color w:val="auto"/>
              </w:rPr>
            </w:pPr>
            <w:r>
              <w:rPr>
                <w:rFonts w:ascii="Arial" w:cs="Arial" w:eastAsia="Arial" w:hAnsi="Arial"/>
                <w:sz w:val="16"/>
                <w:szCs w:val="16"/>
                <w:b w:val="1"/>
                <w:bCs w:val="1"/>
                <w:color w:val="auto"/>
              </w:rPr>
              <w:t>02142</w:t>
            </w:r>
          </w:p>
        </w:tc>
        <w:tc>
          <w:tcPr>
            <w:tcW w:w="0" w:type="dxa"/>
            <w:vAlign w:val="bottom"/>
          </w:tcPr>
          <w:p>
            <w:pPr>
              <w:spacing w:after="0"/>
              <w:rPr>
                <w:sz w:val="1"/>
                <w:szCs w:val="1"/>
                <w:color w:val="auto"/>
              </w:rPr>
            </w:pPr>
          </w:p>
        </w:tc>
      </w:tr>
      <w:tr>
        <w:trPr>
          <w:trHeight w:val="186"/>
        </w:trPr>
        <w:tc>
          <w:tcPr>
            <w:tcW w:w="686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4"/>
                <w:szCs w:val="14"/>
                <w:b w:val="1"/>
                <w:bCs w:val="1"/>
                <w:i w:val="1"/>
                <w:iCs w:val="1"/>
                <w:color w:val="auto"/>
                <w:w w:val="87"/>
              </w:rPr>
              <w:t>Address of principal executive offices</w:t>
            </w:r>
            <w:r>
              <w:rPr>
                <w:rFonts w:ascii="Arial" w:cs="Arial" w:eastAsia="Arial" w:hAnsi="Arial"/>
                <w:sz w:val="14"/>
                <w:szCs w:val="14"/>
                <w:b w:val="1"/>
                <w:bCs w:val="1"/>
                <w:color w:val="auto"/>
                <w:w w:val="87"/>
              </w:rPr>
              <w:t>)</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tcPr>
          <w:p>
            <w:pPr>
              <w:jc w:val="center"/>
              <w:ind w:right="845"/>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Zip Code</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378"/>
        </w:trPr>
        <w:tc>
          <w:tcPr>
            <w:tcW w:w="3480" w:type="dxa"/>
            <w:vAlign w:val="bottom"/>
          </w:tcPr>
          <w:p>
            <w:pPr>
              <w:spacing w:after="0"/>
              <w:rPr>
                <w:sz w:val="24"/>
                <w:szCs w:val="24"/>
                <w:color w:val="auto"/>
              </w:rPr>
            </w:pPr>
          </w:p>
        </w:tc>
        <w:tc>
          <w:tcPr>
            <w:tcW w:w="6900" w:type="dxa"/>
            <w:vAlign w:val="bottom"/>
            <w:gridSpan w:val="6"/>
          </w:tcPr>
          <w:p>
            <w:pPr>
              <w:jc w:val="center"/>
              <w:ind w:right="2565"/>
              <w:spacing w:after="0"/>
              <w:rPr>
                <w:sz w:val="20"/>
                <w:szCs w:val="20"/>
                <w:color w:val="auto"/>
              </w:rPr>
            </w:pPr>
            <w:r>
              <w:rPr>
                <w:rFonts w:ascii="Arial" w:cs="Arial" w:eastAsia="Arial" w:hAnsi="Arial"/>
                <w:sz w:val="14"/>
                <w:szCs w:val="14"/>
                <w:b w:val="1"/>
                <w:bCs w:val="1"/>
                <w:color w:val="auto"/>
                <w:w w:val="92"/>
              </w:rPr>
              <w:t>Registrant’s telephone number, including area code: 857-327-8775</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3920" w:type="dxa"/>
            <w:vAlign w:val="bottom"/>
            <w:gridSpan w:val="5"/>
          </w:tcPr>
          <w:p>
            <w:pPr>
              <w:jc w:val="center"/>
              <w:ind w:left="24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3480" w:type="dxa"/>
            <w:vAlign w:val="bottom"/>
            <w:vMerge w:val="restart"/>
          </w:tcPr>
          <w:p>
            <w:pPr>
              <w:jc w:val="center"/>
              <w:ind w:left="164"/>
              <w:spacing w:after="0"/>
              <w:rPr>
                <w:sz w:val="20"/>
                <w:szCs w:val="20"/>
                <w:color w:val="auto"/>
              </w:rPr>
            </w:pPr>
            <w:r>
              <w:rPr>
                <w:rFonts w:ascii="Arial" w:cs="Arial" w:eastAsia="Arial" w:hAnsi="Arial"/>
                <w:sz w:val="14"/>
                <w:szCs w:val="14"/>
                <w:b w:val="1"/>
                <w:bCs w:val="1"/>
                <w:color w:val="auto"/>
                <w:w w:val="89"/>
              </w:rPr>
              <w:t>Title of each class</w:t>
            </w:r>
          </w:p>
        </w:tc>
        <w:tc>
          <w:tcPr>
            <w:tcW w:w="1020" w:type="dxa"/>
            <w:vAlign w:val="bottom"/>
          </w:tcPr>
          <w:p>
            <w:pPr>
              <w:spacing w:after="0"/>
              <w:rPr>
                <w:sz w:val="22"/>
                <w:szCs w:val="22"/>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tcPr>
          <w:p>
            <w:pPr>
              <w:jc w:val="center"/>
              <w:ind w:left="1005"/>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4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tcPr>
          <w:p>
            <w:pPr>
              <w:jc w:val="center"/>
              <w:ind w:left="965"/>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10"/>
        </w:trPr>
        <w:tc>
          <w:tcPr>
            <w:tcW w:w="3480" w:type="dxa"/>
            <w:vAlign w:val="bottom"/>
          </w:tcPr>
          <w:p>
            <w:pPr>
              <w:jc w:val="center"/>
              <w:ind w:left="224"/>
              <w:spacing w:after="0"/>
              <w:rPr>
                <w:sz w:val="20"/>
                <w:szCs w:val="20"/>
                <w:color w:val="auto"/>
              </w:rPr>
            </w:pPr>
            <w:r>
              <w:rPr>
                <w:rFonts w:ascii="Arial" w:cs="Arial" w:eastAsia="Arial" w:hAnsi="Arial"/>
                <w:sz w:val="16"/>
                <w:szCs w:val="16"/>
                <w:b w:val="1"/>
                <w:bCs w:val="1"/>
                <w:color w:val="auto"/>
                <w:w w:val="91"/>
              </w:rPr>
              <w:t>Common Stock, par value $0.01 per share</w:t>
            </w:r>
          </w:p>
        </w:tc>
        <w:tc>
          <w:tcPr>
            <w:tcW w:w="1020" w:type="dxa"/>
            <w:vAlign w:val="bottom"/>
          </w:tcPr>
          <w:p>
            <w:pPr>
              <w:spacing w:after="0"/>
              <w:rPr>
                <w:sz w:val="18"/>
                <w:szCs w:val="18"/>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BEAM</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ind w:left="960"/>
              <w:spacing w:after="0"/>
              <w:rPr>
                <w:sz w:val="20"/>
                <w:szCs w:val="20"/>
                <w:color w:val="auto"/>
              </w:rPr>
            </w:pPr>
            <w:r>
              <w:rPr>
                <w:rFonts w:ascii="Arial" w:cs="Arial" w:eastAsia="Arial" w:hAnsi="Arial"/>
                <w:sz w:val="16"/>
                <w:szCs w:val="16"/>
                <w:b w:val="1"/>
                <w:bCs w:val="1"/>
                <w:color w:val="auto"/>
                <w:w w:val="91"/>
              </w:rPr>
              <w:t>Nasdaq Global Select Market</w:t>
            </w:r>
          </w:p>
        </w:tc>
        <w:tc>
          <w:tcPr>
            <w:tcW w:w="0" w:type="dxa"/>
            <w:vAlign w:val="bottom"/>
          </w:tcPr>
          <w:p>
            <w:pPr>
              <w:spacing w:after="0"/>
              <w:rPr>
                <w:sz w:val="1"/>
                <w:szCs w:val="1"/>
                <w:color w:val="auto"/>
              </w:rPr>
            </w:pPr>
          </w:p>
        </w:tc>
      </w:tr>
      <w:tr>
        <w:trPr>
          <w:trHeight w:val="197"/>
        </w:trPr>
        <w:tc>
          <w:tcPr>
            <w:tcW w:w="3480" w:type="dxa"/>
            <w:vAlign w:val="bottom"/>
          </w:tcPr>
          <w:p>
            <w:pPr>
              <w:spacing w:after="0"/>
              <w:rPr>
                <w:sz w:val="17"/>
                <w:szCs w:val="17"/>
                <w:color w:val="auto"/>
              </w:rPr>
            </w:pPr>
          </w:p>
        </w:tc>
        <w:tc>
          <w:tcPr>
            <w:tcW w:w="6900" w:type="dxa"/>
            <w:vAlign w:val="bottom"/>
            <w:gridSpan w:val="6"/>
          </w:tcPr>
          <w:p>
            <w:pPr>
              <w:jc w:val="center"/>
              <w:ind w:right="2565"/>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0" w:type="dxa"/>
            <w:vAlign w:val="bottom"/>
          </w:tcPr>
          <w:p>
            <w:pPr>
              <w:spacing w:after="0"/>
              <w:rPr>
                <w:sz w:val="1"/>
                <w:szCs w:val="1"/>
                <w:color w:val="auto"/>
              </w:rPr>
            </w:pPr>
          </w:p>
        </w:tc>
      </w:tr>
      <w:tr>
        <w:trPr>
          <w:trHeight w:val="53"/>
        </w:trPr>
        <w:tc>
          <w:tcPr>
            <w:tcW w:w="4500" w:type="dxa"/>
            <w:vAlign w:val="bottom"/>
            <w:gridSpan w:val="2"/>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99"/>
              </w:rPr>
              <w:t>☒</w:t>
            </w:r>
          </w:p>
        </w:tc>
        <w:tc>
          <w:tcPr>
            <w:tcW w:w="2980" w:type="dxa"/>
            <w:vAlign w:val="bottom"/>
            <w:vMerge w:val="restart"/>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0"/>
        </w:trPr>
        <w:tc>
          <w:tcPr>
            <w:tcW w:w="6860" w:type="dxa"/>
            <w:vAlign w:val="bottom"/>
            <w:gridSpan w:val="4"/>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00" w:type="dxa"/>
            <w:vAlign w:val="bottom"/>
          </w:tcPr>
          <w:p>
            <w:pPr>
              <w:ind w:left="100"/>
              <w:spacing w:after="0"/>
              <w:rPr>
                <w:sz w:val="20"/>
                <w:szCs w:val="20"/>
                <w:color w:val="auto"/>
              </w:rPr>
            </w:pPr>
            <w:r>
              <w:rPr>
                <w:rFonts w:ascii="Arial" w:cs="Arial" w:eastAsia="Arial" w:hAnsi="Arial"/>
                <w:sz w:val="14"/>
                <w:szCs w:val="14"/>
                <w:color w:val="auto"/>
                <w:w w:val="74"/>
              </w:rPr>
              <w:t>Yes</w:t>
            </w:r>
          </w:p>
        </w:tc>
        <w:tc>
          <w:tcPr>
            <w:tcW w:w="240" w:type="dxa"/>
            <w:vAlign w:val="bottom"/>
            <w:vMerge w:val="continue"/>
          </w:tcPr>
          <w:p>
            <w:pPr>
              <w:spacing w:after="0"/>
              <w:rPr>
                <w:sz w:val="16"/>
                <w:szCs w:val="16"/>
                <w:color w:val="auto"/>
              </w:rPr>
            </w:pPr>
          </w:p>
        </w:tc>
        <w:tc>
          <w:tcPr>
            <w:tcW w:w="2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6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No</w:t>
            </w:r>
          </w:p>
        </w:tc>
        <w:tc>
          <w:tcPr>
            <w:tcW w:w="29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80"/>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50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02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354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02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16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160" w:type="dxa"/>
            <w:vAlign w:val="bottom"/>
          </w:tcPr>
          <w:p>
            <w:pPr>
              <w:ind w:left="302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right="520"/>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7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247" w:lineRule="auto"/>
        <w:rPr>
          <w:sz w:val="20"/>
          <w:szCs w:val="20"/>
          <w:color w:val="auto"/>
        </w:rPr>
      </w:pPr>
      <w:r>
        <w:rPr>
          <w:rFonts w:ascii="Arial" w:cs="Arial" w:eastAsia="Arial" w:hAnsi="Arial"/>
          <w:sz w:val="14"/>
          <w:szCs w:val="14"/>
          <w:color w:val="auto"/>
        </w:rPr>
        <w:t>The aggregate market value of the voting and non-voting common stock held by non-affiliates of the registrant was $6.45 billion, based on the closing price of the registrant’s common stock on Nasdaq on June 30, 2021, the last business day of the registrant’s most recently completed second quarter.</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22, 2022 was 68,730,340.</w:t>
      </w:r>
    </w:p>
    <w:p>
      <w:pPr>
        <w:spacing w:after="0" w:line="58"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5" w:lineRule="exact"/>
        <w:rPr>
          <w:sz w:val="24"/>
          <w:szCs w:val="24"/>
          <w:color w:val="auto"/>
        </w:rPr>
      </w:pPr>
    </w:p>
    <w:p>
      <w:pPr>
        <w:ind w:right="180"/>
        <w:spacing w:after="0" w:line="263" w:lineRule="auto"/>
        <w:rPr>
          <w:sz w:val="20"/>
          <w:szCs w:val="20"/>
          <w:color w:val="auto"/>
        </w:rPr>
      </w:pPr>
      <w:r>
        <w:rPr>
          <w:rFonts w:ascii="Arial" w:cs="Arial" w:eastAsia="Arial" w:hAnsi="Arial"/>
          <w:sz w:val="14"/>
          <w:szCs w:val="14"/>
          <w:color w:val="auto"/>
        </w:rPr>
        <w:t>Registrant incorporates by reference into Part III (Items 10, 11, 12, 13 and 14) of this Annual Report on Form 10-K portions of the Registrant’s definitive Proxy Statement for the 2022 Annual Meeting of Stockholders to be filed with the Securities and Exchange Commission pursuant to Regulation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20" w:type="dxa"/>
            <w:vAlign w:val="bottom"/>
            <w:gridSpan w:val="9"/>
          </w:tcPr>
          <w:p>
            <w:pPr>
              <w:ind w:left="2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10540" w:type="dxa"/>
            <w:vAlign w:val="bottom"/>
            <w:gridSpan w:val="31"/>
            <w:vMerge w:val="restart"/>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FORWARD-LOOKING STATEMENTS</w:t>
              </w:r>
            </w:hyperlink>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10540" w:type="dxa"/>
            <w:vAlign w:val="bottom"/>
            <w:gridSpan w:val="31"/>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29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RISK FACTORS SUMMARY</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98"/>
        </w:trPr>
        <w:tc>
          <w:tcPr>
            <w:tcW w:w="140" w:type="dxa"/>
            <w:vAlign w:val="bottom"/>
          </w:tcPr>
          <w:p>
            <w:pPr>
              <w:spacing w:after="0"/>
              <w:rPr>
                <w:sz w:val="24"/>
                <w:szCs w:val="24"/>
                <w:color w:val="auto"/>
              </w:rPr>
            </w:pPr>
          </w:p>
        </w:tc>
        <w:tc>
          <w:tcPr>
            <w:tcW w:w="116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PART 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16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9380" w:type="dxa"/>
            <w:vAlign w:val="bottom"/>
            <w:gridSpan w:val="30"/>
          </w:tcPr>
          <w:p>
            <w:pPr>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60" w:type="dxa"/>
            <w:vAlign w:val="bottom"/>
            <w:vMerge w:val="restart"/>
          </w:tcPr>
          <w:p>
            <w:pPr>
              <w:spacing w:after="0" w:line="202" w:lineRule="exact"/>
              <w:rPr>
                <w:sz w:val="20"/>
                <w:szCs w:val="20"/>
                <w:color w:val="auto"/>
              </w:rPr>
            </w:pPr>
            <w:r>
              <w:rPr>
                <w:rFonts w:ascii="Arial" w:cs="Arial" w:eastAsia="Arial" w:hAnsi="Arial"/>
                <w:sz w:val="18"/>
                <w:szCs w:val="18"/>
                <w:color w:val="auto"/>
              </w:rPr>
              <w:t>Item 1A.</w:t>
            </w: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9380" w:type="dxa"/>
            <w:vAlign w:val="bottom"/>
            <w:gridSpan w:val="30"/>
          </w:tcPr>
          <w:p>
            <w:pPr>
              <w:spacing w:after="0" w:line="182" w:lineRule="exact"/>
              <w:rPr>
                <w:rFonts w:ascii="Arial" w:cs="Arial" w:eastAsia="Arial" w:hAnsi="Arial"/>
                <w:sz w:val="18"/>
                <w:szCs w:val="18"/>
                <w:color w:val="0000FF"/>
              </w:rPr>
            </w:pPr>
            <w:hyperlink w:anchor="page52">
              <w:r>
                <w:rPr>
                  <w:rFonts w:ascii="Arial" w:cs="Arial" w:eastAsia="Arial" w:hAnsi="Arial"/>
                  <w:sz w:val="18"/>
                  <w:szCs w:val="18"/>
                  <w:color w:val="0000FF"/>
                </w:rPr>
                <w:t>Risk Factors</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900" w:type="dxa"/>
            <w:vAlign w:val="bottom"/>
            <w:tcBorders>
              <w:top w:val="single" w:sz="8" w:color="0000FF"/>
            </w:tcBorders>
            <w:gridSpan w:val="6"/>
          </w:tcPr>
          <w:p>
            <w:pPr>
              <w:spacing w:after="0" w:line="182" w:lineRule="exact"/>
              <w:rPr>
                <w:rFonts w:ascii="Arial" w:cs="Arial" w:eastAsia="Arial" w:hAnsi="Arial"/>
                <w:sz w:val="18"/>
                <w:szCs w:val="18"/>
                <w:color w:val="0000FF"/>
                <w:w w:val="96"/>
              </w:rPr>
            </w:pPr>
            <w:hyperlink w:anchor="page110">
              <w:r>
                <w:rPr>
                  <w:rFonts w:ascii="Arial" w:cs="Arial" w:eastAsia="Arial" w:hAnsi="Arial"/>
                  <w:sz w:val="18"/>
                  <w:szCs w:val="18"/>
                  <w:color w:val="0000FF"/>
                  <w:w w:val="96"/>
                </w:rPr>
                <w:t>Unresolved</w:t>
              </w:r>
            </w:hyperlink>
          </w:p>
        </w:tc>
        <w:tc>
          <w:tcPr>
            <w:tcW w:w="20" w:type="dxa"/>
            <w:vAlign w:val="bottom"/>
            <w:tcBorders>
              <w:top w:val="single" w:sz="8" w:color="0000EE"/>
            </w:tcBorders>
          </w:tcPr>
          <w:p>
            <w:pPr>
              <w:spacing w:after="0"/>
              <w:rPr>
                <w:sz w:val="15"/>
                <w:szCs w:val="15"/>
                <w:color w:val="auto"/>
              </w:rPr>
            </w:pPr>
          </w:p>
        </w:tc>
        <w:tc>
          <w:tcPr>
            <w:tcW w:w="8460" w:type="dxa"/>
            <w:vAlign w:val="bottom"/>
            <w:gridSpan w:val="23"/>
          </w:tcPr>
          <w:p>
            <w:pPr>
              <w:spacing w:after="0" w:line="182" w:lineRule="exact"/>
              <w:rPr>
                <w:rFonts w:ascii="Arial" w:cs="Arial" w:eastAsia="Arial" w:hAnsi="Arial"/>
                <w:sz w:val="18"/>
                <w:szCs w:val="18"/>
                <w:color w:val="0000FF"/>
              </w:rPr>
            </w:pPr>
            <w:hyperlink w:anchor="page110">
              <w:r>
                <w:rPr>
                  <w:rFonts w:ascii="Arial" w:cs="Arial" w:eastAsia="Arial" w:hAnsi="Arial"/>
                  <w:sz w:val="18"/>
                  <w:szCs w:val="18"/>
                  <w:color w:val="0000FF"/>
                </w:rPr>
                <w:t>Staff Comments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7"/>
              </w:rPr>
            </w:pPr>
            <w:hyperlink w:anchor="page110">
              <w:r>
                <w:rPr>
                  <w:rFonts w:ascii="Arial" w:cs="Arial" w:eastAsia="Arial" w:hAnsi="Arial"/>
                  <w:sz w:val="18"/>
                  <w:szCs w:val="18"/>
                  <w:color w:val="0000FF"/>
                  <w:w w:val="87"/>
                </w:rPr>
                <w:t>Properties</w:t>
              </w:r>
            </w:hyperlink>
          </w:p>
        </w:tc>
        <w:tc>
          <w:tcPr>
            <w:tcW w:w="20" w:type="dxa"/>
            <w:vAlign w:val="bottom"/>
            <w:tcBorders>
              <w:top w:val="single" w:sz="8" w:color="0000FF"/>
              <w:bottom w:val="single" w:sz="8" w:color="0000EE"/>
            </w:tcBorders>
          </w:tcPr>
          <w:p>
            <w:pPr>
              <w:spacing w:after="0"/>
              <w:rPr>
                <w:sz w:val="15"/>
                <w:szCs w:val="15"/>
                <w:color w:val="auto"/>
              </w:rPr>
            </w:pPr>
          </w:p>
        </w:tc>
        <w:tc>
          <w:tcPr>
            <w:tcW w:w="1280" w:type="dxa"/>
            <w:vAlign w:val="bottom"/>
            <w:tcBorders>
              <w:top w:val="single" w:sz="8" w:color="0000FF"/>
            </w:tcBorders>
            <w:gridSpan w:val="14"/>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10"/>
          </w:tcPr>
          <w:p>
            <w:pPr>
              <w:spacing w:after="0" w:line="182" w:lineRule="exact"/>
              <w:rPr>
                <w:rFonts w:ascii="Arial" w:cs="Arial" w:eastAsia="Arial" w:hAnsi="Arial"/>
                <w:sz w:val="18"/>
                <w:szCs w:val="18"/>
                <w:color w:val="0000FF"/>
                <w:w w:val="88"/>
              </w:rPr>
            </w:pPr>
            <w:hyperlink w:anchor="page110">
              <w:r>
                <w:rPr>
                  <w:rFonts w:ascii="Arial" w:cs="Arial" w:eastAsia="Arial" w:hAnsi="Arial"/>
                  <w:sz w:val="18"/>
                  <w:szCs w:val="18"/>
                  <w:color w:val="0000FF"/>
                  <w:w w:val="88"/>
                </w:rPr>
                <w:t>Legal Proceedings</w:t>
              </w:r>
            </w:hyperlink>
          </w:p>
        </w:tc>
        <w:tc>
          <w:tcPr>
            <w:tcW w:w="20" w:type="dxa"/>
            <w:vAlign w:val="bottom"/>
            <w:tcBorders>
              <w:bottom w:val="single" w:sz="8" w:color="0000EE"/>
            </w:tcBorders>
          </w:tcPr>
          <w:p>
            <w:pPr>
              <w:spacing w:after="0"/>
              <w:rPr>
                <w:sz w:val="15"/>
                <w:szCs w:val="15"/>
                <w:color w:val="auto"/>
              </w:rPr>
            </w:pPr>
          </w:p>
        </w:tc>
        <w:tc>
          <w:tcPr>
            <w:tcW w:w="8020" w:type="dxa"/>
            <w:vAlign w:val="bottom"/>
            <w:gridSpan w:val="19"/>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9380" w:type="dxa"/>
            <w:vAlign w:val="bottom"/>
            <w:gridSpan w:val="30"/>
          </w:tcPr>
          <w:p>
            <w:pPr>
              <w:spacing w:after="0" w:line="182" w:lineRule="exact"/>
              <w:rPr>
                <w:rFonts w:ascii="Arial" w:cs="Arial" w:eastAsia="Arial" w:hAnsi="Arial"/>
                <w:sz w:val="18"/>
                <w:szCs w:val="18"/>
                <w:color w:val="0000FF"/>
              </w:rPr>
            </w:pPr>
            <w:hyperlink w:anchor="page110">
              <w:r>
                <w:rPr>
                  <w:rFonts w:ascii="Arial" w:cs="Arial" w:eastAsia="Arial" w:hAnsi="Arial"/>
                  <w:sz w:val="18"/>
                  <w:szCs w:val="18"/>
                  <w:color w:val="0000FF"/>
                </w:rPr>
                <w:t>Mine Safety Disclosures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11"/>
        </w:trPr>
        <w:tc>
          <w:tcPr>
            <w:tcW w:w="1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16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9380" w:type="dxa"/>
            <w:vAlign w:val="bottom"/>
            <w:gridSpan w:val="30"/>
          </w:tcPr>
          <w:p>
            <w:pPr>
              <w:spacing w:after="0" w:line="190" w:lineRule="exact"/>
              <w:rPr>
                <w:rFonts w:ascii="Arial" w:cs="Arial" w:eastAsia="Arial" w:hAnsi="Arial"/>
                <w:sz w:val="18"/>
                <w:szCs w:val="18"/>
                <w:color w:val="0000FF"/>
              </w:rPr>
            </w:pPr>
            <w:hyperlink w:anchor="page111">
              <w:r>
                <w:rPr>
                  <w:rFonts w:ascii="Arial" w:cs="Arial" w:eastAsia="Arial" w:hAnsi="Arial"/>
                  <w:sz w:val="18"/>
                  <w:szCs w:val="18"/>
                  <w:color w:val="0000FF"/>
                </w:rPr>
                <w:t>Market for Registrant’s Common Equity, Related Stockholder Matters and Issuer Purchases of Equity Securities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8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89"/>
              </w:rPr>
            </w:pPr>
            <w:hyperlink w:anchor="page113">
              <w:r>
                <w:rPr>
                  <w:rFonts w:ascii="Arial" w:cs="Arial" w:eastAsia="Arial" w:hAnsi="Arial"/>
                  <w:sz w:val="18"/>
                  <w:szCs w:val="18"/>
                  <w:color w:val="0000FF"/>
                  <w:w w:val="89"/>
                </w:rPr>
                <w:t>[Reserved]</w:t>
              </w:r>
            </w:hyperlink>
          </w:p>
        </w:tc>
        <w:tc>
          <w:tcPr>
            <w:tcW w:w="20" w:type="dxa"/>
            <w:vAlign w:val="bottom"/>
            <w:tcBorders>
              <w:top w:val="single" w:sz="8" w:color="0000FF"/>
              <w:bottom w:val="single" w:sz="8" w:color="0000EE"/>
            </w:tcBorders>
          </w:tcPr>
          <w:p>
            <w:pPr>
              <w:spacing w:after="0"/>
              <w:rPr>
                <w:sz w:val="15"/>
                <w:szCs w:val="15"/>
                <w:color w:val="auto"/>
              </w:rPr>
            </w:pPr>
          </w:p>
        </w:tc>
        <w:tc>
          <w:tcPr>
            <w:tcW w:w="7260" w:type="dxa"/>
            <w:vAlign w:val="bottom"/>
            <w:tcBorders>
              <w:top w:val="single" w:sz="8" w:color="0000FF"/>
            </w:tcBorders>
            <w:gridSpan w:val="24"/>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7.</w:t>
            </w:r>
          </w:p>
        </w:tc>
        <w:tc>
          <w:tcPr>
            <w:tcW w:w="9380" w:type="dxa"/>
            <w:vAlign w:val="bottom"/>
            <w:gridSpan w:val="30"/>
          </w:tcPr>
          <w:p>
            <w:pPr>
              <w:spacing w:after="0" w:line="182" w:lineRule="exact"/>
              <w:rPr>
                <w:rFonts w:ascii="Arial" w:cs="Arial" w:eastAsia="Arial" w:hAnsi="Arial"/>
                <w:sz w:val="18"/>
                <w:szCs w:val="18"/>
                <w:color w:val="0000FF"/>
              </w:rPr>
            </w:pPr>
            <w:hyperlink w:anchor="page114">
              <w:r>
                <w:rPr>
                  <w:rFonts w:ascii="Arial" w:cs="Arial" w:eastAsia="Arial" w:hAnsi="Arial"/>
                  <w:sz w:val="18"/>
                  <w:szCs w:val="18"/>
                  <w:color w:val="0000FF"/>
                </w:rPr>
                <w:t>Management’s Discussion and Analysis of Financial Condition and Results of Operations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w:anchor="page128">
              <w:r>
                <w:rPr>
                  <w:rFonts w:ascii="Arial" w:cs="Arial" w:eastAsia="Arial" w:hAnsi="Arial"/>
                  <w:sz w:val="18"/>
                  <w:szCs w:val="18"/>
                  <w:color w:val="0000FF"/>
                </w:rPr>
                <w:t>Quantitative and Qualitative Disclosures About Market Risk</w:t>
              </w:r>
            </w:hyperlink>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20"/>
          </w:tcPr>
          <w:p>
            <w:pPr>
              <w:spacing w:after="0" w:line="182" w:lineRule="exact"/>
              <w:rPr>
                <w:rFonts w:ascii="Arial" w:cs="Arial" w:eastAsia="Arial" w:hAnsi="Arial"/>
                <w:sz w:val="18"/>
                <w:szCs w:val="18"/>
                <w:color w:val="0000FF"/>
                <w:w w:val="89"/>
              </w:rPr>
            </w:pPr>
            <w:hyperlink w:anchor="page128">
              <w:r>
                <w:rPr>
                  <w:rFonts w:ascii="Arial" w:cs="Arial" w:eastAsia="Arial" w:hAnsi="Arial"/>
                  <w:sz w:val="18"/>
                  <w:szCs w:val="18"/>
                  <w:color w:val="0000FF"/>
                  <w:w w:val="89"/>
                </w:rPr>
                <w:t>Financial Statements and Supplementary Data</w:t>
              </w:r>
            </w:hyperlink>
          </w:p>
        </w:tc>
        <w:tc>
          <w:tcPr>
            <w:tcW w:w="20" w:type="dxa"/>
            <w:vAlign w:val="bottom"/>
            <w:tcBorders>
              <w:top w:val="single" w:sz="8" w:color="0000FF"/>
              <w:bottom w:val="single" w:sz="8" w:color="0000EE"/>
            </w:tcBorders>
          </w:tcPr>
          <w:p>
            <w:pPr>
              <w:spacing w:after="0"/>
              <w:rPr>
                <w:sz w:val="15"/>
                <w:szCs w:val="15"/>
                <w:color w:val="auto"/>
              </w:rPr>
            </w:pPr>
          </w:p>
        </w:tc>
        <w:tc>
          <w:tcPr>
            <w:tcW w:w="1000" w:type="dxa"/>
            <w:vAlign w:val="bottom"/>
            <w:tcBorders>
              <w:top w:val="single" w:sz="8" w:color="0000FF"/>
            </w:tcBorders>
            <w:gridSpan w:val="2"/>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20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9.</w:t>
            </w:r>
          </w:p>
        </w:tc>
        <w:tc>
          <w:tcPr>
            <w:tcW w:w="3360" w:type="dxa"/>
            <w:vAlign w:val="bottom"/>
            <w:gridSpan w:val="21"/>
          </w:tcPr>
          <w:p>
            <w:pPr>
              <w:spacing w:after="0" w:line="182" w:lineRule="exact"/>
              <w:rPr>
                <w:rFonts w:ascii="Arial" w:cs="Arial" w:eastAsia="Arial" w:hAnsi="Arial"/>
                <w:sz w:val="18"/>
                <w:szCs w:val="18"/>
                <w:color w:val="0000FF"/>
                <w:w w:val="84"/>
              </w:rPr>
            </w:pPr>
            <w:hyperlink w:anchor="page128">
              <w:r>
                <w:rPr>
                  <w:rFonts w:ascii="Arial" w:cs="Arial" w:eastAsia="Arial" w:hAnsi="Arial"/>
                  <w:sz w:val="18"/>
                  <w:szCs w:val="18"/>
                  <w:color w:val="0000FF"/>
                  <w:w w:val="84"/>
                </w:rPr>
                <w:t>Changes in and Disagreements with Accountants</w:t>
              </w:r>
            </w:hyperlink>
          </w:p>
        </w:tc>
        <w:tc>
          <w:tcPr>
            <w:tcW w:w="6020" w:type="dxa"/>
            <w:vAlign w:val="bottom"/>
            <w:gridSpan w:val="9"/>
          </w:tcPr>
          <w:p>
            <w:pPr>
              <w:ind w:left="220"/>
              <w:spacing w:after="0" w:line="182" w:lineRule="exact"/>
              <w:rPr>
                <w:rFonts w:ascii="Arial" w:cs="Arial" w:eastAsia="Arial" w:hAnsi="Arial"/>
                <w:sz w:val="18"/>
                <w:szCs w:val="18"/>
                <w:color w:val="0000FF"/>
              </w:rPr>
            </w:pPr>
            <w:hyperlink w:anchor="page128">
              <w:r>
                <w:rPr>
                  <w:rFonts w:ascii="Arial" w:cs="Arial" w:eastAsia="Arial" w:hAnsi="Arial"/>
                  <w:sz w:val="18"/>
                  <w:szCs w:val="18"/>
                  <w:color w:val="0000FF"/>
                </w:rPr>
                <w:t>on Accounting and Financial Disclosure</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w:anchor="page128">
              <w:r>
                <w:rPr>
                  <w:rFonts w:ascii="Arial" w:cs="Arial" w:eastAsia="Arial" w:hAnsi="Arial"/>
                  <w:sz w:val="18"/>
                  <w:szCs w:val="18"/>
                  <w:color w:val="0000FF"/>
                </w:rPr>
                <w:t>Controls and Procedures</w:t>
              </w:r>
            </w:hyperlink>
          </w:p>
        </w:tc>
        <w:tc>
          <w:tcPr>
            <w:tcW w:w="820" w:type="dxa"/>
            <w:vAlign w:val="bottom"/>
          </w:tcPr>
          <w:p>
            <w:pPr>
              <w:spacing w:after="0"/>
              <w:rPr>
                <w:sz w:val="15"/>
                <w:szCs w:val="15"/>
                <w:color w:val="auto"/>
              </w:rPr>
            </w:pPr>
          </w:p>
        </w:tc>
        <w:tc>
          <w:tcPr>
            <w:tcW w:w="20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2"/>
              </w:rPr>
            </w:pPr>
            <w:hyperlink w:anchor="page130">
              <w:r>
                <w:rPr>
                  <w:rFonts w:ascii="Arial" w:cs="Arial" w:eastAsia="Arial" w:hAnsi="Arial"/>
                  <w:sz w:val="18"/>
                  <w:szCs w:val="18"/>
                  <w:color w:val="0000FF"/>
                  <w:w w:val="92"/>
                </w:rPr>
                <w:t>Other Information</w:t>
              </w:r>
            </w:hyperlink>
          </w:p>
        </w:tc>
        <w:tc>
          <w:tcPr>
            <w:tcW w:w="20" w:type="dxa"/>
            <w:vAlign w:val="bottom"/>
            <w:tcBorders>
              <w:top w:val="single" w:sz="8" w:color="0000FF"/>
              <w:bottom w:val="single" w:sz="8" w:color="0000EE"/>
            </w:tcBorders>
          </w:tcPr>
          <w:p>
            <w:pPr>
              <w:spacing w:after="0"/>
              <w:rPr>
                <w:sz w:val="15"/>
                <w:szCs w:val="15"/>
                <w:color w:val="auto"/>
              </w:rPr>
            </w:pPr>
          </w:p>
        </w:tc>
        <w:tc>
          <w:tcPr>
            <w:tcW w:w="44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tcPr>
          <w:p>
            <w:pPr>
              <w:spacing w:after="0"/>
              <w:rPr>
                <w:sz w:val="15"/>
                <w:szCs w:val="15"/>
                <w:color w:val="auto"/>
              </w:rPr>
            </w:pPr>
          </w:p>
        </w:tc>
        <w:tc>
          <w:tcPr>
            <w:tcW w:w="86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gridSpan w:val="3"/>
          </w:tcPr>
          <w:p>
            <w:pPr>
              <w:spacing w:after="0"/>
              <w:rPr>
                <w:sz w:val="15"/>
                <w:szCs w:val="15"/>
                <w:color w:val="auto"/>
              </w:rPr>
            </w:pPr>
          </w:p>
        </w:tc>
        <w:tc>
          <w:tcPr>
            <w:tcW w:w="20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9C</w:t>
            </w:r>
          </w:p>
        </w:tc>
        <w:tc>
          <w:tcPr>
            <w:tcW w:w="9380" w:type="dxa"/>
            <w:vAlign w:val="bottom"/>
            <w:gridSpan w:val="30"/>
          </w:tcPr>
          <w:p>
            <w:pPr>
              <w:spacing w:after="0" w:line="182" w:lineRule="exact"/>
              <w:rPr>
                <w:rFonts w:ascii="Arial" w:cs="Arial" w:eastAsia="Arial" w:hAnsi="Arial"/>
                <w:sz w:val="18"/>
                <w:szCs w:val="18"/>
                <w:color w:val="0000FF"/>
              </w:rPr>
            </w:pPr>
            <w:hyperlink w:anchor="page130">
              <w:r>
                <w:rPr>
                  <w:rFonts w:ascii="Arial" w:cs="Arial" w:eastAsia="Arial" w:hAnsi="Arial"/>
                  <w:sz w:val="18"/>
                  <w:szCs w:val="18"/>
                  <w:color w:val="0000FF"/>
                </w:rPr>
                <w:t>Disclosure Regarding Foreign Jurisdictions That Prevent Inspections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411"/>
        </w:trPr>
        <w:tc>
          <w:tcPr>
            <w:tcW w:w="1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16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9380" w:type="dxa"/>
            <w:vAlign w:val="bottom"/>
            <w:gridSpan w:val="30"/>
          </w:tcPr>
          <w:p>
            <w:pPr>
              <w:spacing w:after="0" w:line="190" w:lineRule="exact"/>
              <w:rPr>
                <w:rFonts w:ascii="Arial" w:cs="Arial" w:eastAsia="Arial" w:hAnsi="Arial"/>
                <w:sz w:val="18"/>
                <w:szCs w:val="18"/>
                <w:color w:val="0000FF"/>
              </w:rPr>
            </w:pPr>
            <w:hyperlink w:anchor="page131">
              <w:r>
                <w:rPr>
                  <w:rFonts w:ascii="Arial" w:cs="Arial" w:eastAsia="Arial" w:hAnsi="Arial"/>
                  <w:sz w:val="18"/>
                  <w:szCs w:val="18"/>
                  <w:color w:val="0000FF"/>
                </w:rPr>
                <w:t>Directors, Executive Officers and Corporate Governance</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w:anchor="page131">
              <w:r>
                <w:rPr>
                  <w:rFonts w:ascii="Arial" w:cs="Arial" w:eastAsia="Arial" w:hAnsi="Arial"/>
                  <w:sz w:val="18"/>
                  <w:szCs w:val="18"/>
                  <w:color w:val="0000FF"/>
                </w:rPr>
                <w:t>Executive Compensation</w:t>
              </w:r>
            </w:hyperlink>
          </w:p>
        </w:tc>
        <w:tc>
          <w:tcPr>
            <w:tcW w:w="1360" w:type="dxa"/>
            <w:vAlign w:val="bottom"/>
            <w:gridSpan w:val="3"/>
          </w:tcPr>
          <w:p>
            <w:pPr>
              <w:spacing w:after="0"/>
              <w:rPr>
                <w:sz w:val="15"/>
                <w:szCs w:val="15"/>
                <w:color w:val="auto"/>
              </w:rPr>
            </w:pPr>
          </w:p>
        </w:tc>
        <w:tc>
          <w:tcPr>
            <w:tcW w:w="1840" w:type="dxa"/>
            <w:vAlign w:val="bottom"/>
            <w:gridSpan w:val="3"/>
          </w:tcPr>
          <w:p>
            <w:pPr>
              <w:spacing w:after="0"/>
              <w:rPr>
                <w:sz w:val="15"/>
                <w:szCs w:val="15"/>
                <w:color w:val="auto"/>
              </w:rPr>
            </w:pPr>
          </w:p>
        </w:tc>
        <w:tc>
          <w:tcPr>
            <w:tcW w:w="20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12.</w:t>
            </w:r>
          </w:p>
        </w:tc>
        <w:tc>
          <w:tcPr>
            <w:tcW w:w="180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w:anchor="page131">
              <w:r>
                <w:rPr>
                  <w:rFonts w:ascii="Arial" w:cs="Arial" w:eastAsia="Arial" w:hAnsi="Arial"/>
                  <w:sz w:val="18"/>
                  <w:szCs w:val="18"/>
                  <w:color w:val="0000FF"/>
                </w:rPr>
                <w:t>Security Ownership of</w:t>
              </w:r>
            </w:hyperlink>
          </w:p>
        </w:tc>
        <w:tc>
          <w:tcPr>
            <w:tcW w:w="20" w:type="dxa"/>
            <w:vAlign w:val="bottom"/>
            <w:tcBorders>
              <w:top w:val="single" w:sz="8" w:color="0000EE"/>
            </w:tcBorders>
          </w:tcPr>
          <w:p>
            <w:pPr>
              <w:spacing w:after="0"/>
              <w:rPr>
                <w:sz w:val="15"/>
                <w:szCs w:val="15"/>
                <w:color w:val="auto"/>
              </w:rPr>
            </w:pPr>
          </w:p>
        </w:tc>
        <w:tc>
          <w:tcPr>
            <w:tcW w:w="7560" w:type="dxa"/>
            <w:vAlign w:val="bottom"/>
            <w:gridSpan w:val="14"/>
          </w:tcPr>
          <w:p>
            <w:pPr>
              <w:spacing w:after="0" w:line="182" w:lineRule="exact"/>
              <w:rPr>
                <w:rFonts w:ascii="Arial" w:cs="Arial" w:eastAsia="Arial" w:hAnsi="Arial"/>
                <w:sz w:val="18"/>
                <w:szCs w:val="18"/>
                <w:color w:val="0000FF"/>
              </w:rPr>
            </w:pPr>
            <w:hyperlink w:anchor="page131">
              <w:r>
                <w:rPr>
                  <w:rFonts w:ascii="Arial" w:cs="Arial" w:eastAsia="Arial" w:hAnsi="Arial"/>
                  <w:sz w:val="18"/>
                  <w:szCs w:val="18"/>
                  <w:color w:val="0000FF"/>
                </w:rPr>
                <w:t>Certain Beneficial Owners and Management and Related Stockholder Matters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w:anchor="page131">
              <w:r>
                <w:rPr>
                  <w:rFonts w:ascii="Arial" w:cs="Arial" w:eastAsia="Arial" w:hAnsi="Arial"/>
                  <w:sz w:val="18"/>
                  <w:szCs w:val="18"/>
                  <w:color w:val="0000FF"/>
                </w:rPr>
                <w:t>Certain Relationships and Related Transactions, and Director Independence</w:t>
              </w:r>
            </w:hyperlink>
          </w:p>
        </w:tc>
        <w:tc>
          <w:tcPr>
            <w:tcW w:w="2080" w:type="dxa"/>
            <w:vAlign w:val="bottom"/>
            <w:gridSpan w:val="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w:anchor="page131">
              <w:r>
                <w:rPr>
                  <w:rFonts w:ascii="Arial" w:cs="Arial" w:eastAsia="Arial" w:hAnsi="Arial"/>
                  <w:sz w:val="18"/>
                  <w:szCs w:val="18"/>
                  <w:color w:val="0000FF"/>
                </w:rPr>
                <w:t>Principal Accounting Fees and Services</w:t>
              </w:r>
            </w:hyperlink>
          </w:p>
        </w:tc>
        <w:tc>
          <w:tcPr>
            <w:tcW w:w="3920" w:type="dxa"/>
            <w:vAlign w:val="bottom"/>
            <w:gridSpan w:val="5"/>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411"/>
        </w:trPr>
        <w:tc>
          <w:tcPr>
            <w:tcW w:w="1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16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9380" w:type="dxa"/>
            <w:vAlign w:val="bottom"/>
            <w:gridSpan w:val="30"/>
          </w:tcPr>
          <w:p>
            <w:pPr>
              <w:spacing w:after="0" w:line="190" w:lineRule="exact"/>
              <w:rPr>
                <w:rFonts w:ascii="Arial" w:cs="Arial" w:eastAsia="Arial" w:hAnsi="Arial"/>
                <w:sz w:val="18"/>
                <w:szCs w:val="18"/>
                <w:color w:val="0000FF"/>
              </w:rPr>
            </w:pPr>
            <w:hyperlink w:anchor="page132">
              <w:r>
                <w:rPr>
                  <w:rFonts w:ascii="Arial" w:cs="Arial" w:eastAsia="Arial" w:hAnsi="Arial"/>
                  <w:sz w:val="18"/>
                  <w:szCs w:val="18"/>
                  <w:color w:val="0000FF"/>
                </w:rPr>
                <w:t>Exhibits, Financial Statement Schedules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w:anchor="page135">
              <w:r>
                <w:rPr>
                  <w:rFonts w:ascii="Arial" w:cs="Arial" w:eastAsia="Arial" w:hAnsi="Arial"/>
                  <w:sz w:val="18"/>
                  <w:szCs w:val="18"/>
                  <w:color w:val="0000FF"/>
                </w:rPr>
                <w:t>Form 10-K Summary</w:t>
              </w:r>
            </w:hyperlink>
          </w:p>
        </w:tc>
        <w:tc>
          <w:tcPr>
            <w:tcW w:w="6480" w:type="dxa"/>
            <w:vAlign w:val="bottom"/>
            <w:gridSpan w:val="11"/>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675"/>
        </w:trPr>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or the Securities Act, and Section 21E of the Securities Exchange Act of 1934, as amended, or the Exchange Act. Such forward-looking statements reflect, among other things, our current expectations and anticipated results of operations, all of which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important risks, uncertainties and assumptions, including those described in “Risk Factors Summary” and in “Risk Factors” in Part I, Item 1A of this report. Unless legally required, we assume no obligation to update any such forward-looking information to reflect actual results or changes in the factors affecting such forward-looking information. These forward-looking statements reflect, among other things:</w:t>
      </w:r>
    </w:p>
    <w:p>
      <w:pPr>
        <w:spacing w:after="0" w:line="86"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expectations and anticipated results of operations;</w:t>
      </w:r>
    </w:p>
    <w:p>
      <w:pPr>
        <w:spacing w:after="0" w:line="103" w:lineRule="exact"/>
        <w:rPr>
          <w:rFonts w:ascii="Arial" w:cs="Arial" w:eastAsia="Arial" w:hAnsi="Arial"/>
          <w:sz w:val="18"/>
          <w:szCs w:val="18"/>
          <w:color w:val="auto"/>
        </w:rPr>
      </w:pPr>
    </w:p>
    <w:p>
      <w:pPr>
        <w:ind w:left="1020" w:right="140" w:hanging="503"/>
        <w:spacing w:after="0" w:line="25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our expectations regarding the initiation, timing, progress and results of our research and development programs and preclinical studies, including our expectations that we will submit an Investigational New Drug application, or IND, for BEAM-102 for the treatment of sickle cell disease and BEAM-201 for the treatment of relapsed/refractory T-cell acute lymphoblastic leukemia, that we will initiate IND-enabling studies for BEAM-301 for the treatment Glycogen Storage Disease Type IA (R83C mutation) and that we will nominate a CAR-T development candidate and an additional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liver development candidate during 2022;</w:t>
      </w:r>
    </w:p>
    <w:p>
      <w:pPr>
        <w:spacing w:after="0" w:line="65" w:lineRule="exact"/>
        <w:rPr>
          <w:rFonts w:ascii="Arial" w:cs="Arial" w:eastAsia="Arial" w:hAnsi="Arial"/>
          <w:sz w:val="17"/>
          <w:szCs w:val="17"/>
          <w:color w:val="auto"/>
        </w:rPr>
      </w:pPr>
    </w:p>
    <w:p>
      <w:pPr>
        <w:ind w:left="1020" w:right="200" w:hanging="503"/>
        <w:spacing w:after="0" w:line="324"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initiation, timing, progress and results of our clinical trials, including our Phase 1/2 clinical trial designed to assess the safety and efficacy of BEAM-101 for the treatment of sickle cell disease, which we refer to as our BEACON-101 trial;</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a sustainable portfolio of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life-long, curative, precision genetic medicines for patients through base editing;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create a hub for partnering with other companies;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preclinical studies for product candidates in our pipeline;</w:t>
      </w:r>
    </w:p>
    <w:p>
      <w:pPr>
        <w:spacing w:after="0" w:line="103"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any product candidates that we may develop and successfully complete any clinical trials or preclinical studies, including the manufacture of any such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pursue a broad suite of clinically validated delivery modalities;</w:t>
      </w:r>
    </w:p>
    <w:p>
      <w:pPr>
        <w:spacing w:after="0" w:line="103"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generate additional novel lipid nanoparticles that we believe could accelerate novel nonviral delivery of gene editing or other nucleic acid payloads to tissues beyond the liver and our ability to expand the reach of our programs, including as a result of our acquisition of Guide Therapeutics, Inc., or Guide;</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related to our competitors and our industry;</w:t>
      </w:r>
    </w:p>
    <w:p>
      <w:pPr>
        <w:spacing w:after="0" w:line="103" w:lineRule="exact"/>
        <w:rPr>
          <w:rFonts w:ascii="Arial" w:cs="Arial" w:eastAsia="Arial" w:hAnsi="Arial"/>
          <w:sz w:val="18"/>
          <w:szCs w:val="18"/>
          <w:color w:val="auto"/>
        </w:rPr>
      </w:pPr>
    </w:p>
    <w:p>
      <w:pPr>
        <w:ind w:left="1020" w:right="180" w:hanging="503"/>
        <w:spacing w:after="0" w:line="359"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expected timing, progress and success of our collaborations with third parties, including any future payments we may receive under our collaboration and license agreements, and our ability to identify and enter into future license agreements and collaborations;</w:t>
      </w:r>
    </w:p>
    <w:p>
      <w:pPr>
        <w:spacing w:after="0" w:line="3"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related to base editing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our delivery modalities and obtain and maintain approval for our product candidates;</w:t>
      </w:r>
    </w:p>
    <w:p>
      <w:pPr>
        <w:spacing w:after="0" w:line="10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establish and maintain a commercial-scale current Good Manufacturing Practice, or cGMP, manufacturing facility and our expectations that this facility will be operational in the first quarter of 2023;</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 w:name="page4"/>
    <w:bookmarkEnd w:id="3"/>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strategic and other potential benefits of our acquisition of Guide; and</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coronavirus disease of 2019, or COVID-19, pandemic on our business.</w:t>
      </w:r>
    </w:p>
    <w:p>
      <w:pPr>
        <w:spacing w:after="0" w:line="104"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When we use the terms “Beam,” the “Company,” “we,” “us” or “our” in this Annual Report on Form 10-K, we mean Beam Therapeutics Inc. and its subsidiaries on a consolidated basis, unless the context indicates otherwise.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We use BEAM, REPAIR and RESCUE and other marks as trademarks in the United States and/or in other countries. This Annual Report on Form 10-K contains references to our trademarks and service marks and to those belonging to other entities. Solely for convenience, trademarks and trade names referred to in this report,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Unless otherwise indicated, information contained in this Annual Report on Form 10-K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that the information from these third-party publications, research, surveys and studies included in this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“Risk Factors Summary” and “Risk Factors” in Part I, Item 1A of this report. These and other factors could cause our future performance to differ materially from our assumptions and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An investment in our common stock involves risks. You should consider carefully the following risks, which are discussed more fully in “Item 1.A. Risk Factors”, and all of the other information contained in this Annual Report on Form 10-K before investing in our common stock. These risks include, but are not limited to, the following:</w:t>
      </w:r>
    </w:p>
    <w:p>
      <w:pPr>
        <w:spacing w:after="0" w:line="74" w:lineRule="exact"/>
        <w:rPr>
          <w:sz w:val="20"/>
          <w:szCs w:val="20"/>
          <w:color w:val="auto"/>
        </w:rPr>
      </w:pPr>
    </w:p>
    <w:p>
      <w:pPr>
        <w:ind w:left="102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We expect to incur losses for the foreseeable future and may never achieve or maintain profitability.</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short operating history may make it difficult for you to evaluate the success of our business to date and to assess our future viability.</w:t>
      </w:r>
    </w:p>
    <w:p>
      <w:pPr>
        <w:spacing w:after="0" w:line="126" w:lineRule="exact"/>
        <w:rPr>
          <w:rFonts w:ascii="Arial" w:cs="Arial" w:eastAsia="Arial" w:hAnsi="Arial"/>
          <w:sz w:val="16"/>
          <w:szCs w:val="16"/>
          <w:color w:val="auto"/>
        </w:rPr>
      </w:pPr>
    </w:p>
    <w:p>
      <w:pPr>
        <w:ind w:left="1020" w:right="12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our efforts to identify and develop potential product candidates. If these efforts are unsuccessful, we may never become a commercial stage company or generate any revenues.</w:t>
      </w:r>
    </w:p>
    <w:p>
      <w:pPr>
        <w:spacing w:after="0" w:line="62" w:lineRule="exact"/>
        <w:rPr>
          <w:rFonts w:ascii="Arial" w:cs="Arial" w:eastAsia="Arial" w:hAnsi="Arial"/>
          <w:sz w:val="18"/>
          <w:szCs w:val="18"/>
          <w:color w:val="auto"/>
        </w:rPr>
      </w:pPr>
    </w:p>
    <w:p>
      <w:pPr>
        <w:ind w:left="1020" w:right="120" w:hanging="503"/>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very early in our development efforts. Nearly all of our product candidates are still in preclinical development or earlier stages and it will be many years before we or our collaborators commercialize a product candidate, if ever. If we are unable to advance our product candidates to and through clinical development, obtain regulatory approval and ultimately commercialize our product candidates, or experience significant delays in doing so, our business will be materially harmed.</w:t>
      </w:r>
    </w:p>
    <w:p>
      <w:pPr>
        <w:spacing w:after="0" w:line="79" w:lineRule="exact"/>
        <w:rPr>
          <w:rFonts w:ascii="Arial" w:cs="Arial" w:eastAsia="Arial" w:hAnsi="Arial"/>
          <w:sz w:val="18"/>
          <w:szCs w:val="18"/>
          <w:color w:val="auto"/>
        </w:rPr>
      </w:pPr>
    </w:p>
    <w:p>
      <w:pPr>
        <w:ind w:left="1020" w:right="20" w:hanging="503"/>
        <w:spacing w:after="0" w:line="294"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any of the product candidates we may develop or the delivery modalities we rely on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39" w:lineRule="exact"/>
        <w:rPr>
          <w:rFonts w:ascii="Arial" w:cs="Arial" w:eastAsia="Arial" w:hAnsi="Arial"/>
          <w:sz w:val="16"/>
          <w:szCs w:val="16"/>
          <w:color w:val="auto"/>
        </w:rPr>
      </w:pPr>
    </w:p>
    <w:p>
      <w:pPr>
        <w:ind w:left="1020" w:right="120" w:hanging="503"/>
        <w:spacing w:after="0" w:line="270"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 w:name="page5"/>
    <w:bookmarkEnd w:id="4"/>
    <w:p>
      <w:pPr>
        <w:ind w:left="503" w:right="340" w:hanging="503"/>
        <w:spacing w:after="0" w:line="261"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continuing effects and impacts of the COVID-19 pandemic could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503" w:right="160" w:hanging="503"/>
        <w:spacing w:after="0" w:line="261"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tested any of our proposed delivery modalities and product candidates in clinical trials and any favorable preclinical results are not predictive of results that may be observed in clinical trials.</w:t>
      </w:r>
    </w:p>
    <w:p>
      <w:pPr>
        <w:spacing w:after="0" w:line="62" w:lineRule="exact"/>
        <w:rPr>
          <w:rFonts w:ascii="Arial" w:cs="Arial" w:eastAsia="Arial" w:hAnsi="Arial"/>
          <w:sz w:val="18"/>
          <w:szCs w:val="18"/>
          <w:color w:val="auto"/>
        </w:rPr>
      </w:pPr>
    </w:p>
    <w:p>
      <w:pPr>
        <w:ind w:left="503" w:right="180" w:hanging="503"/>
        <w:spacing w:after="0" w:line="261"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public perception of genetic medicines, and gene editing and base editing in particular, may negatively impact regulatory approval of, and/or demand for, our potential products.</w:t>
      </w:r>
    </w:p>
    <w:p>
      <w:pPr>
        <w:spacing w:after="0" w:line="62" w:lineRule="exact"/>
        <w:rPr>
          <w:rFonts w:ascii="Arial" w:cs="Arial" w:eastAsia="Arial" w:hAnsi="Arial"/>
          <w:sz w:val="18"/>
          <w:szCs w:val="18"/>
          <w:color w:val="auto"/>
        </w:rPr>
      </w:pPr>
    </w:p>
    <w:p>
      <w:pPr>
        <w:jc w:val="both"/>
        <w:ind w:left="503" w:right="140" w:hanging="503"/>
        <w:spacing w:after="0" w:line="248"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gene editing field is relatively new and is evolving rapidly. We are focusing our research and development efforts on gene editing using base editing technology, but other gene editing technologies may be discovered that provide significant advantages over base editing, which could materially harm our business.</w:t>
      </w:r>
    </w:p>
    <w:p>
      <w:pPr>
        <w:spacing w:after="0" w:line="73" w:lineRule="exact"/>
        <w:rPr>
          <w:rFonts w:ascii="Arial" w:cs="Arial" w:eastAsia="Arial" w:hAnsi="Arial"/>
          <w:sz w:val="18"/>
          <w:szCs w:val="18"/>
          <w:color w:val="auto"/>
        </w:rPr>
      </w:pPr>
    </w:p>
    <w:p>
      <w:pPr>
        <w:ind w:left="503" w:right="660" w:hanging="503"/>
        <w:spacing w:after="0" w:line="261"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requirements governing genetic medicines, and in particular any novel genetic medicines we may develop, have changed frequently and may continue to change in the future.</w:t>
      </w:r>
    </w:p>
    <w:p>
      <w:pPr>
        <w:spacing w:after="0" w:line="62" w:lineRule="exact"/>
        <w:rPr>
          <w:rFonts w:ascii="Arial" w:cs="Arial" w:eastAsia="Arial" w:hAnsi="Arial"/>
          <w:sz w:val="18"/>
          <w:szCs w:val="18"/>
          <w:color w:val="auto"/>
        </w:rPr>
      </w:pPr>
    </w:p>
    <w:p>
      <w:pPr>
        <w:ind w:left="503" w:right="260" w:hanging="503"/>
        <w:spacing w:after="0" w:line="248"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73" w:lineRule="exact"/>
        <w:rPr>
          <w:rFonts w:ascii="Arial" w:cs="Arial" w:eastAsia="Arial" w:hAnsi="Arial"/>
          <w:sz w:val="18"/>
          <w:szCs w:val="18"/>
          <w:color w:val="auto"/>
        </w:rPr>
      </w:pPr>
    </w:p>
    <w:p>
      <w:pPr>
        <w:ind w:left="503" w:right="20" w:hanging="503"/>
        <w:spacing w:after="0" w:line="279" w:lineRule="auto"/>
        <w:tabs>
          <w:tab w:leader="none" w:pos="503"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contract with third parties for the manufacture of materials for our research programs, preclinical studies and clinical trial and expect to continue to do so for at least a portion of the manufacturing process for our research programs, preclinical studies,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51" w:lineRule="exact"/>
        <w:rPr>
          <w:rFonts w:ascii="Arial" w:cs="Arial" w:eastAsia="Arial" w:hAnsi="Arial"/>
          <w:sz w:val="16"/>
          <w:szCs w:val="16"/>
          <w:color w:val="auto"/>
        </w:rPr>
      </w:pPr>
    </w:p>
    <w:p>
      <w:pPr>
        <w:ind w:left="503" w:hanging="503"/>
        <w:spacing w:after="0" w:line="243"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we are developing product candidates in the field of genetics medicines, a field that includes gene therapy and gene editing, in which there is little clinical experience, there is increased risk that the U.S. Food and Drug Administration, the European Medicines Agency or other regulatory authorities may not consider the endpoints of our clinical trials to provide clinically meaningful results and that these results may be difficult to analyze.</w:t>
      </w:r>
    </w:p>
    <w:p>
      <w:pPr>
        <w:spacing w:after="0" w:line="79" w:lineRule="exact"/>
        <w:rPr>
          <w:rFonts w:ascii="Arial" w:cs="Arial" w:eastAsia="Arial" w:hAnsi="Arial"/>
          <w:sz w:val="18"/>
          <w:szCs w:val="18"/>
          <w:color w:val="auto"/>
        </w:rPr>
      </w:pPr>
    </w:p>
    <w:p>
      <w:pPr>
        <w:ind w:left="503" w:right="60" w:hanging="503"/>
        <w:spacing w:after="0" w:line="241"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any product candidates we develop and for our technology, or if the scope of the patent protection obtained is not sufficiently broad, or if we or our licensors are unable to successfully defend our or our licensors’ patents against third-party challenges or enforce our or our licensors’ patents against third parties our competitors could develop and commercialize products and technology similar or identical to ours, and our ability to successfully commercialize any product candidates we may develop, and our technology may be adversely affected.</w:t>
      </w:r>
    </w:p>
    <w:p>
      <w:pPr>
        <w:spacing w:after="0" w:line="81" w:lineRule="exact"/>
        <w:rPr>
          <w:rFonts w:ascii="Arial" w:cs="Arial" w:eastAsia="Arial" w:hAnsi="Arial"/>
          <w:sz w:val="18"/>
          <w:szCs w:val="18"/>
          <w:color w:val="auto"/>
        </w:rPr>
      </w:pPr>
    </w:p>
    <w:p>
      <w:pPr>
        <w:ind w:left="503" w:right="500" w:hanging="503"/>
        <w:spacing w:after="0" w:line="261"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rights to develop and commercialize technology and product candidates are subject, in part, to the terms and conditions of licenses granted to us by others.</w:t>
      </w:r>
    </w:p>
    <w:p>
      <w:pPr>
        <w:spacing w:after="0" w:line="62" w:lineRule="exact"/>
        <w:rPr>
          <w:rFonts w:ascii="Arial" w:cs="Arial" w:eastAsia="Arial" w:hAnsi="Arial"/>
          <w:sz w:val="18"/>
          <w:szCs w:val="18"/>
          <w:color w:val="auto"/>
        </w:rPr>
      </w:pPr>
    </w:p>
    <w:p>
      <w:pPr>
        <w:ind w:left="503" w:right="60" w:hanging="503"/>
        <w:spacing w:after="0" w:line="243"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79" w:lineRule="exact"/>
        <w:rPr>
          <w:rFonts w:ascii="Arial" w:cs="Arial" w:eastAsia="Arial" w:hAnsi="Arial"/>
          <w:sz w:val="18"/>
          <w:szCs w:val="18"/>
          <w:color w:val="auto"/>
        </w:rPr>
      </w:pPr>
    </w:p>
    <w:p>
      <w:pPr>
        <w:ind w:left="503" w:right="20" w:hanging="503"/>
        <w:spacing w:after="0" w:line="248"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activities rely on information technology in our own systems and those of our business partners. These systems are subject to a wide and growing variety of cybersecurity risks that may adversely impact our business activities or our ability to engage in various transactions to support our business activities.</w:t>
      </w:r>
    </w:p>
    <w:p>
      <w:pPr>
        <w:spacing w:after="0" w:line="73" w:lineRule="exact"/>
        <w:rPr>
          <w:rFonts w:ascii="Arial" w:cs="Arial" w:eastAsia="Arial" w:hAnsi="Arial"/>
          <w:sz w:val="18"/>
          <w:szCs w:val="18"/>
          <w:color w:val="auto"/>
        </w:rPr>
      </w:pPr>
    </w:p>
    <w:p>
      <w:pPr>
        <w:ind w:left="503" w:right="20" w:hanging="503"/>
        <w:spacing w:after="0" w:line="248" w:lineRule="auto"/>
        <w:tabs>
          <w:tab w:leader="none" w:pos="503"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research activities depend on the use and disclosure of personal data related to individuals participating in our clinical trials. The rules addressing this data are changing across the world, and these rules may adversely impact our ability to identify individuals for clinical trials or conduct our trials.</w:t>
      </w:r>
    </w:p>
    <w:p>
      <w:pPr>
        <w:spacing w:after="0" w:line="73" w:lineRule="exact"/>
        <w:rPr>
          <w:rFonts w:ascii="Arial" w:cs="Arial" w:eastAsia="Arial" w:hAnsi="Arial"/>
          <w:sz w:val="18"/>
          <w:szCs w:val="18"/>
          <w:color w:val="auto"/>
        </w:rPr>
      </w:pPr>
    </w:p>
    <w:p>
      <w:pPr>
        <w:ind w:left="503" w:right="100" w:hanging="503"/>
        <w:spacing w:after="0" w:line="279" w:lineRule="auto"/>
        <w:tabs>
          <w:tab w:leader="none" w:pos="503"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owned and in-licensed patents and other intellectual property may be subject to priority disputes or inventorship disputes or we may be subject to claims that we have infringed, misappropriated or otherwise violated the intellectual property of a third party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159"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76"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and are in the process of developing internal manufacturing capabilities.</w:t>
      </w:r>
    </w:p>
    <w:p>
      <w:pPr>
        <w:spacing w:after="0" w:line="7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w:t>
      </w:r>
    </w:p>
    <w:p>
      <w:pPr>
        <w:ind w:right="80" w:firstLine="8"/>
        <w:spacing w:after="0" w:line="274"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which operate by creating targeted double-stranded breaks in the DNA that can result in unwanted DNA modifications. We believe that the precision of our editors will dramatically increase the impact of gene editing for a broad range of therapeutic applications.</w:t>
      </w:r>
    </w:p>
    <w:p>
      <w:pPr>
        <w:spacing w:after="0" w:line="5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 xml:space="preserve">To unlock the full potential of our base editing technology across a wide range of therapeutic applications, we are pursuing a broad suite of both clinically validated and novel delivery modalities, depending on tissue type, including: (1) electroporation for efficient delivery to blood cells and immune cells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vivo</w:t>
      </w:r>
      <w:r>
        <w:rPr>
          <w:rFonts w:ascii="Arial" w:cs="Arial" w:eastAsia="Arial" w:hAnsi="Arial"/>
          <w:sz w:val="18"/>
          <w:szCs w:val="18"/>
          <w:color w:val="auto"/>
        </w:rPr>
        <w:t>; (2) lipid nanoparticles, or LNPs, for non-viral</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delivery to the liver and potentially other organs in the future; and (3) adeno-associated viral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vectors, or AAV,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viral delivery to the eye and potentially other organs.</w:t>
      </w:r>
    </w:p>
    <w:p>
      <w:pPr>
        <w:spacing w:after="0" w:line="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elegance of the base editing approach combined with a tissue specific delivery modality provides the basis for a targeted efficient, precise, and highly versatile gene editing system, capable of gene correction, gene modification, gene silencing or gene activation, and/or multiplex editing of several genes simultaneously. We are currently advancing a broad, diversified portfolio of base editing programs against distinct editing targets, utilizing the full range of our development capabilities. Furthermore, in addition to our portfolio, we are also pursuing an innovative, platform-based business model with the goal of further expanding our access to new technologies in genetic medicine and increasing the reach of our programs to more patients. Overall, we are seeking to build the leading integrated platform for precision genetic medicine, which may have broad therapeutic applicability and the potential to transform the field of precision genetic medicines.</w:t>
      </w:r>
    </w:p>
    <w:p>
      <w:pPr>
        <w:spacing w:after="0" w:line="83" w:lineRule="exact"/>
        <w:rPr>
          <w:sz w:val="20"/>
          <w:szCs w:val="20"/>
          <w:color w:val="auto"/>
        </w:rPr>
      </w:pPr>
    </w:p>
    <w:p>
      <w:pPr>
        <w:jc w:val="both"/>
        <w:ind w:right="480"/>
        <w:spacing w:after="0" w:line="248" w:lineRule="auto"/>
        <w:rPr>
          <w:sz w:val="20"/>
          <w:szCs w:val="20"/>
          <w:color w:val="auto"/>
        </w:rPr>
      </w:pPr>
      <w:r>
        <w:rPr>
          <w:rFonts w:ascii="Arial" w:cs="Arial" w:eastAsia="Arial" w:hAnsi="Arial"/>
          <w:sz w:val="18"/>
          <w:szCs w:val="18"/>
          <w:color w:val="auto"/>
        </w:rPr>
        <w:t xml:space="preserve">We continue to make meaningful advancements across our programs. We have identified four development candidates to date: three from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platform, with two candidates targeting hemoglobinopathies and one candidate targeting T-cell leukemia, and one from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platform targeting glycogen storage disease:</w:t>
      </w:r>
    </w:p>
    <w:p>
      <w:pPr>
        <w:spacing w:after="0" w:line="74" w:lineRule="exact"/>
        <w:rPr>
          <w:sz w:val="20"/>
          <w:szCs w:val="20"/>
          <w:color w:val="auto"/>
        </w:rPr>
      </w:pPr>
    </w:p>
    <w:p>
      <w:pPr>
        <w:ind w:left="1020" w:right="80" w:hanging="503"/>
        <w:spacing w:after="0" w:line="27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BEAM-101, our patient-specific, autologous hematopoietic investigational cell therapy, is designed to reproduce single base changes seen in individuals with Hereditary Persistence of Fetal Hemoglobin, or HPFH, to potentially protect them from the effects of mutations causing sickle cell disease or beta thalassemia by increasing their levels of fetal hemoglobin. We have achieved proof-of-concept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with long-term engraftment of base edited human CD34 cells in mice administered BEAM-101. Persistence of engraftment and high levels of editing have been confirmed in several other preclinical studies, including in studies using material generated at a clinically relevant scale. In November 2021, we announced that our Investigational New Drug application, or IND, for BEAM-101 for the treatment of sickle cell disease was cleared by the U.S. Food and Drug Administration, or FDA. We are currently preparing to initiate our BEACON-101 trial, a Phase 1/2 clinical trial designed to assess the safety and efficacy of BEAM-101 for the treatment of sickle cell disease. We have begun site selection and the institutional review board approval processes for this trial and plan to enroll the first subject in the second half of 2022.</w:t>
      </w:r>
    </w:p>
    <w:p>
      <w:pPr>
        <w:spacing w:after="0" w:line="60" w:lineRule="exact"/>
        <w:rPr>
          <w:rFonts w:ascii="Arial" w:cs="Arial" w:eastAsia="Arial" w:hAnsi="Arial"/>
          <w:sz w:val="16"/>
          <w:szCs w:val="16"/>
          <w:color w:val="auto"/>
        </w:rPr>
      </w:pPr>
    </w:p>
    <w:p>
      <w:pPr>
        <w:ind w:left="1020" w:hanging="503"/>
        <w:spacing w:after="0" w:line="23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BEAM-102, our second investigational base editing approach for sickle cell disease, is designed to directly correct the causative mutation in sickle cell disease by recreating a naturally-occurring normal human hemoglobin variant, HbG-Makassar. In preclinical studies of BEAM-102, we have demonstrated that our adenine base editors, or ABEs, can efficiently convert the causative Hemoglobin S, or HbS, point mutation, to HbG-Makassar, with high editing efficiency (more than 80%). In these studies, the Makassar variant did not cause hemoglobin to polymerize and red blood cells to sickle under hypoxic conditions and, therefore, edited cells behaved similarly to normal red blood cells with elimination of the disease-causing HbS. The results from these studies support the conclusion that the Makassar variant is able to protect cells from sickling, even in the context of mono-allelic editing (with one sickle allele and one corrected allele). We initiated IND-enabling studies for BEAM-102 during 2021 and expect to submit an IND to the FDA for the treatment of sickle cell disease during the second half of 2022.</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ind w:left="1020" w:right="40" w:hanging="503"/>
        <w:spacing w:after="0" w:line="23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BEAM-201 is a potent and specific anti-CD7, multiplex-edited, allogeneic chimeric antigen receptor T cell, or CAR-T, development candidate for the treatment of relapsed/refractory T-cell acute lymphoblastic leukemia/T cell lymphoblastic lymphoma, or T-ALL/T-LL, a severe disease affecting children and adults with a five-year overall survival rate of less than 25%. BEAM-201 is produced using a Good Manufacturing Practice, or GMP, compliant, clinical-scale process in which T-cells derived from healthy donors are simultaneously base edited at four genomic loci, then transduced with a lentivirus coding for an anti-CD7 CAR. The resulting cells are designed to be universally-compatible, allogeneic (“off the shelf”) CD7-targeting CAR-T cells, resistant to both fratricide and immunosuppression. We initiated IND-enabling studies for BEAM-201 during 2021 and expect to submit an IND to the FDA for the treatment of relapsed, refractory T-ALL/T-LL during the second half of 2022.</w:t>
      </w:r>
    </w:p>
    <w:p>
      <w:pPr>
        <w:spacing w:after="0" w:line="85"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BEAM-301, our first liver-targeted development candidate, is designed to apply base editing via LNP delivery to repair the R83C mutation of the G6PC gene, one of the most prevalent causes of Glycogen Storage Disease Type Ia, or GSDIa. In October 2021, we presented preclinical data demonstrating that administration of our LNP-delivered ABEs in a newborn humanized GSDIa R83C mouse model resulted in normal growth to the end of the study at three weeks of age and normalization of these subjects' metabolic profile (glucose and lipids). In contrast, homozygous animals died shortly after birth in the absence of glucose supplementation. In addition, we observed editing efficiencies up to approximately 60% by next generation sequencing of DNA isolated from the whole liver. Published third party studies suggest that normal G6Pase activity of approximately 11% in the liver is sufficient to mitigate fasting hypoglycemia in animal models of GSDIa. In December 2021, we nominated BEAM-301 as our first development candidate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base editing in the liver using LNP delivery for the treatment of patients with GSDIa (R83C mutation), and anticipate initiating IND-enabling studies for BEAM-301 in 2022.</w:t>
      </w:r>
    </w:p>
    <w:p>
      <w:pPr>
        <w:spacing w:after="0" w:line="6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We also continue to advance numerous other programs in a range of therapeutic areas. We have shown the ability to directly correct the mutation causing alpha-1 antitrypsin deficiency, providing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proof-of-concept for base editing to address this disease. We have also achieved editing levels </w:t>
      </w:r>
      <w:r>
        <w:rPr>
          <w:rFonts w:ascii="Arial" w:cs="Arial" w:eastAsia="Arial" w:hAnsi="Arial"/>
          <w:sz w:val="18"/>
          <w:szCs w:val="18"/>
          <w:i w:val="1"/>
          <w:iCs w:val="1"/>
          <w:color w:val="auto"/>
        </w:rPr>
        <w:t>in vivo</w:t>
      </w:r>
      <w:r>
        <w:rPr>
          <w:rFonts w:ascii="Arial" w:cs="Arial" w:eastAsia="Arial" w:hAnsi="Arial"/>
          <w:sz w:val="18"/>
          <w:szCs w:val="18"/>
          <w:color w:val="auto"/>
        </w:rPr>
        <w:t>, in preclinical models, for the correction of the Q347X mutation, which is the other most prevalent mutation causing GSDIa, that could be clinically relevant if reproduced in humans. We anticipate nominating a second liver-targeted development candidate in 2022. In addition, in preclinical studies in our multiplex-edited allogeneic CAR-T research program, we have demonstrated knockout of CD5 expression to be a general mechanism to enhance potency and potentially improve durability of highly multiplexed CAR-T cells. We plan to nominate a second CAR-T development candidate, in addition to BEAM-201, in 2022.</w:t>
      </w:r>
    </w:p>
    <w:p>
      <w:pPr>
        <w:spacing w:after="0" w:line="8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modularity of our platform means that establishing preclinical proof-of-concept of base editing using a particular delivery modality will potentially reduce risk and accelerate the timeline for the development of additional product candidates targeting the same tissue. In some cases, a new product candidate may only require changing the guide RNA. Subsequent programs using the same delivery modality can also take advantage of shared capabilities and resources of earlier programs.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current methods in genetic medicines</w:t>
      </w:r>
    </w:p>
    <w:p>
      <w:pPr>
        <w:spacing w:after="0" w:line="108"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human genome has four types of bases found in DNA: adenine (A), cytosine (C), guanine (G), and thymine (T). Adenine pairs with thymine, and cytosine pairs with guanine. The genome is comprised of over three billion of these base pairs in two intertwining strands of DNA; the sequence of these bases encodes genes. In a living cell, these DNA sequences are continuously copied into short ribonucleic acid transcripts, called messenger RNA, or mRNA, which are then translated into proteins that perform the functions of life. By precisely modulating the DNA sequence, it is possible to develop different therapeutic approaches. One of these approaches involves correcting misspellings in genes, known as mutations, which can yield proteins that are dysfunctional or missing altogether, causing disease. An additional example, involves modulating genes in immune cells that can improve the ability of these cells to kill certain cancers as, for example, in the case of CAR-T cells.</w:t>
      </w:r>
    </w:p>
    <w:p>
      <w:pPr>
        <w:spacing w:after="0" w:line="7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We believe we are well-positioned to accelerate progression of our base editing programs to clinical trials and through potential approval by leveraging the clinical, regulatory, and manufacturing advancements made to date in the field of genetic medicine as well as the significant internal development capabilities we have established. In addition, we believe the combination of our base editing technology and our proprietary delivery technologies has the potential to provide life-long cures after a single treatment by overcoming challenges associated with current methods in gene editing.</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challenges in gene editing</w:t>
      </w:r>
    </w:p>
    <w:p>
      <w:pPr>
        <w:spacing w:after="0" w:line="10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Gene editing works by disrupting, inserting, or modifying genes in the natural context of the genome. The vast majority of established gene editing methods rely on a class of enzymes, called nucleases, to make a double-stranded break in the DNA at a targeted location. These enzymes include CRISPR, Zinc Fingers, Arcuses, and TAL Nucleases, and, while these approaches have distinct technical features relative to each other, they each make the same type of edit and, therefore, share several similar limitations.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 w:name="page8"/>
    <w:bookmarkEnd w:id="7"/>
    <w:p>
      <w:pPr>
        <w:ind w:right="260"/>
        <w:spacing w:after="0" w:line="241" w:lineRule="auto"/>
        <w:rPr>
          <w:sz w:val="20"/>
          <w:szCs w:val="20"/>
          <w:color w:val="auto"/>
        </w:rPr>
      </w:pPr>
      <w:r>
        <w:rPr>
          <w:rFonts w:ascii="Arial" w:cs="Arial" w:eastAsia="Arial" w:hAnsi="Arial"/>
          <w:sz w:val="18"/>
          <w:szCs w:val="18"/>
          <w:color w:val="auto"/>
        </w:rPr>
        <w:t>First, there is a lack of predictability in genetic outcomes when altering gene sequences with nucleases. The dominant, naturally-occurring DNA repair system that corrects double-stranded breaks within cells is called Non-Homologous End Joining, or NHEJ. This system can patch the broken ends of the chromosomes back together but will simultaneously insert or delete sequences at random near the location where the break occurs. While this NHEJ approach can be effective if the desired outcome is to knock out or switch off the whole gene, it does not allow for precise control of the specific genetic outcome at the target site and its effects may vary from individual to individual.</w:t>
      </w:r>
    </w:p>
    <w:p>
      <w:pPr>
        <w:spacing w:after="0" w:line="8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Second, there are potential toxicities associated with double-stranded breaks, such as activating the cell death response and/or genomic instability. In addition, if the double-stranded break occurs in the wrong place, the break can also lead to unwanted gene disruptions. Multiple edits using NHEJ, and thus multiple double-stranded breaks, can compound this issue and lead to large-scale genomic translocations and rearrangements, potentially limiting the applicability of nuclease-based approaches in multiplex editing.</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Third, while gene disruption with nucleases is efficient, making specific sequence changes to correct or modify genes remains largely inefficient. To change a gene sequence, gene editing using nucleases relies on a DNA repair pathway called Homology Directed Repair, or HDR. HDR is a low-efficiency DNA repair pathway, typically yielding single digit percentage editing. This pathway also requires the simultaneous delivery of an additional DNA template containing the desired, corrected gene sequence, which needs to be positioned at the precise location where the double-stranded break has occurred. The requirement of an additional DNA template significantly increases the complexity of delivery. More recently, approaches have been developed to insert sequences into certain highly expressed genes, such as the albumin locus in liver cells. These editing approaches currently can only be used to address diseases that are associated with circulating proteins, and the efficiency of these approaches remains low.</w:t>
      </w:r>
    </w:p>
    <w:p>
      <w:pPr>
        <w:spacing w:after="0" w:line="7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Finally, gene editing through HDR does not allow for the correction of genes in non-dividing cells, since this DNA repair machinery is only expressed in dividing cells, further limiting their applications, given that the majority of cells in the adult body are non-dividing.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editors: A potential differentiated class of medicines that perform precision chemistry on genes</w:t>
      </w:r>
    </w:p>
    <w:p>
      <w:pPr>
        <w:spacing w:after="0" w:line="10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Errors of a single base, known as point mutations, are the most common class of genetic mutations, representing approximately 58% of all the known genetic errors associated with disease. Other natural genetic variations of a single base among human populations, revealed by population-level genomic studies, are known to protect against certain diseases. Established gene editing technologies, including CRISPR, Zinc Fingers, Arcuses and TAL Nucleases, typically do not edit at the single base level, due to the low efficiency of HDR. Instead, these technologies operate by creating a targeted double-stranded break in the DNA, and then rely on cellular mechanisms to complete the editing process. Such approaches can be effective in the disruption of gene expression; however, they have limited control of the editing outcome and low efficiency of precise gene correction, and can result in unwanted DNA modifications.</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Our base editing technology is a differentiated therapeutic approach, potentially capable of altering the human genome at the foundational level of genetic information – a single base – without making a double-stranded break in the DNA. Base editing involves the enzymatic modification of a single type of base, at a targeted location directly on the gene, specifically C-to-T or A-to-G. The elegance and simplicity of this approach can be thought of as a “pencil,” where the error is erased and the correct letter is written. This approach is designed to create precise, predictable and efficient genetic outcomes at a targeted sequence, which can be used in a variety of editing strategies, including the correction of single mutations or the engineering of advanced cell therapies, aimed at providing a compelling therapeutic benefit. We believe, therefore, that base editors may have broad therapeutic applicability and transformational potential for the field of precision genetic medicines.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Advantages of base editing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base editing platform offers meaningful advantages over established approaches in gene editing, including:</w:t>
      </w:r>
    </w:p>
    <w:p>
      <w:pPr>
        <w:spacing w:after="0" w:line="104"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Highly precise and predictable gene editing, designed to make only one type of base edit at the desired target location;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Highly efficient and therapeutically relevant levels of gene correction, which are generally unachievable by nuclease-based editing methods;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applicability in a wide range of cell types, including both dividing and non-dividing cells;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chemical modification of DNA with no requirement for delivery of the corrected DNA sequence;</w:t>
      </w:r>
    </w:p>
    <w:p>
      <w:pPr>
        <w:spacing w:after="0" w:line="103" w:lineRule="exact"/>
        <w:rPr>
          <w:rFonts w:ascii="Arial" w:cs="Arial" w:eastAsia="Arial" w:hAnsi="Arial"/>
          <w:sz w:val="18"/>
          <w:szCs w:val="18"/>
          <w:color w:val="auto"/>
        </w:rPr>
      </w:pPr>
    </w:p>
    <w:p>
      <w:pPr>
        <w:ind w:left="1020" w:right="84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Avoidance of unwanted DNA modifications associated with double-stranded breaks, including gene disruptions and chromosomal rearrangements, such as translocations or deletions;</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permanent editing of genes, creating the opportunity for a life-long therapeutic outcome, including the ability to treat infants or young children since the edit will be passed on by dividing cells as the child grows;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ind w:left="1020" w:right="36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Preservation of natural regulation and a normal number of copies of the gene in the cell by modification of genes in their native genomic setting;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versatile and modular product engine that can target a different gene sequence with the same base editor and a different guide RNA.</w:t>
      </w:r>
    </w:p>
    <w:p>
      <w:pPr>
        <w:spacing w:after="0" w:line="11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color w:val="auto"/>
        </w:rPr>
        <w:t>Our base editing platform</w:t>
      </w:r>
    </w:p>
    <w:p>
      <w:pPr>
        <w:spacing w:after="0" w:line="10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Our proprietary DNA base editors have two principal components that may be fused together or incorporated into one another to form a single protein: (i) a CRISPR protein, bound to a guide RNA, that leverages the established DNA-targeting ability of CRISPR, but modified to not cause a double-stranded break, and (ii) a base editing enzyme, such as a deaminase, which carries out the desired chemical modification of the target DNA base. This proprietary combination enables the precise and targeted editing of a single base pair of DNA, which has not been previously possible with established gene editing technologies.</w:t>
      </w:r>
    </w:p>
    <w:p>
      <w:pPr>
        <w:spacing w:after="0" w:line="81"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CRISPR proteins enable precise targeting of genomic DNA sequences. These proteins have been adapted and engineered over the years to target specific genomic locations with high specificity in human cells. CRISPR proteins incorporate a programmable component called a guide RNA. The guide RNA includes a region of approximately 20 bases, which allows the CRISPR protein to recognize any DNA sequence that is complementary to the guide RNA. This complementary sequence on DNA, also approximately 20 bases, is known as a protospacer. The short sequence of about three bases immediately following the protospacer on the genomic DNA is referred to as the protospacer adjacent motif, or PAM. The presence of the PAM is necessary for RNA-DNA pairing to occur when a matching protospacer sequence is present.</w:t>
      </w:r>
    </w:p>
    <w:p>
      <w:pPr>
        <w:spacing w:after="0" w:line="6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our base editors, the first component is the CRISPR protein. We currently use a CRISPR associated protein 9, or Cas9, protein for our DNA base editors. We also have ongoing efforts to create base editors with other CRISPR associated, or Cas, proteins, including Cas protein 12b, or Cas12b, a nuclease that is proprietary to Beam. The targeting ability of the CRISPR protein has been preserved, but the cutting ability has been modified such that the CRISPR protein does not make a double-stranded break in the DNA. Our base editors benefit from an additional feature of the CRISPR protein, which, upon binding to its double-stranded DNA target, opens a four to five base single-stranded segment, known as the editing window.</w:t>
      </w:r>
    </w:p>
    <w:p>
      <w:pPr>
        <w:spacing w:after="0" w:line="66"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The second component of our base editors is a deaminase, a class of naturally occurring enzymes. For our Cytosine Base Editors, or CBEs, we use a deaminase that is designed to act only on single-stranded DNA. This helps to minimize edits in other parts of the genome, where DNA is predominantly double-stranded. Similarly, for our Adenine Base Editors, or ABEs, we use a different, engineered deaminase that is also designed to act only on single-stranded DNA.</w:t>
      </w:r>
    </w:p>
    <w:p>
      <w:pPr>
        <w:spacing w:after="0" w:line="8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deaminase makes a predictable chemical modification, called deamination, of the amine group on either adenine or cytosine. The deaminase in a CBE will convert an amine group of C, resulting in the formation of uracil, which is read by the DNA polymerase as a T. Once this strand has been edited, the intermediate DNA consists of an edited strand, containing a U at the target locus, and an unedited strand with a G. The U:G is a mismatch, which the cell will normally attempt to repair in a process that can potentially lose the edit. In order to preserve the editing, we modify the CRISPR in our base editors to cleave the unedited single strand of the DNA, referred to as nicking, rather than creating double-stranded breaks. Nicking is intended to increase the efficiency of editing by inducing the cell to use the newly edited strand, and not the unedited strand, as the template for repair, resulting in a U:A pair without any translocations. Upon DNA repair or replication, the U is read as a T, resulting in a T:A pair, thereby completing the permanent conversion of a C:G base pair to a T:A base pair.</w:t>
      </w:r>
    </w:p>
    <w:p>
      <w:pPr>
        <w:spacing w:after="0" w:line="8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Analogously, when an ABE is used instead of a CBE, the conversion of an amine group of A results in the formation of inosine, which is read by the DNA polymerase as a G, which subsequently leads to an A-to-G change. As a result, an A:T pair is converted to a G:C pair. Because the DNA is double-stranded, by targeting the non-coding strand, we can also convert a T:A pair to a C:G and a G:C pair to a A:T pair in the coding strand. For example, using ABE to install an A-to-G edit on the non-coding strand of the DNA will cause a T-to-C change in the coding sequence of the gene once the base pair has been fully modified.</w:t>
      </w:r>
    </w:p>
    <w:p>
      <w:pPr>
        <w:spacing w:after="0" w:line="8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modular and individual components of our base editors have the potential to be rapidly customized for specific diseases, potentially allowing us to create new programs with significant efficiencies in development. By changing the guide RNA portions of the CRISPR protein, we believe we can quickly and precisely retarget base editors to different genomic locations based on their gene sequences. By changing the deaminase, for example, we can quickly and precisely retarget which base is edited (e.g., C or A). As a result, we believe our base editing platform is highly versatile, efficient, and scalable for the discovery of drug candidates.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Diverse therapeutic applications of base editing</w:t>
      </w:r>
    </w:p>
    <w:p>
      <w:pPr>
        <w:spacing w:after="0" w:line="10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believe the unique advantages of our base editing platform – single base editing precision, predictable editing outcome, high editing efficiency, and the avoidance of double-stranded breaks – make base editing a compelling approach for a wide range of therapeutic applications. This includes gene correction, gene modification, gene silencing and gene activation, as well as multiplex editing of several genes simultaneously.</w:t>
      </w:r>
    </w:p>
    <w:p>
      <w:pPr>
        <w:spacing w:after="0" w:line="52" w:lineRule="exact"/>
        <w:rPr>
          <w:sz w:val="20"/>
          <w:szCs w:val="20"/>
          <w:color w:val="auto"/>
        </w:rPr>
      </w:pPr>
    </w:p>
    <w:p>
      <w:pPr>
        <w:ind w:left="1020" w:right="80" w:hanging="503"/>
        <w:spacing w:after="0" w:line="264"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Gene Correction </w:t>
      </w:r>
      <w:r>
        <w:rPr>
          <w:rFonts w:ascii="Arial" w:cs="Arial" w:eastAsia="Arial" w:hAnsi="Arial"/>
          <w:sz w:val="17"/>
          <w:szCs w:val="17"/>
          <w:color w:val="auto"/>
        </w:rPr>
        <w:t>- Errors of a single base, known as point mutations, are the most common form of genetic mutations, representing</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58% of all the known genetic errors associated with disease. For example, sickle cell disease is caused by a single point mutation at position 6 in the adult hemoglobin gene, while alpha-1 antitrypsin deficiency is caused by a single point mutation at position 342 in the SERPINA1 gene. We believe base editors may be an ideal tool for repairing point mutations.</w:t>
      </w:r>
    </w:p>
    <w:p>
      <w:pPr>
        <w:spacing w:after="0" w:line="57" w:lineRule="exact"/>
        <w:rPr>
          <w:rFonts w:ascii="Arial" w:cs="Arial" w:eastAsia="Arial" w:hAnsi="Arial"/>
          <w:sz w:val="17"/>
          <w:szCs w:val="17"/>
          <w:color w:val="auto"/>
        </w:rPr>
      </w:pPr>
    </w:p>
    <w:p>
      <w:pPr>
        <w:ind w:left="1020" w:right="60" w:hanging="503"/>
        <w:spacing w:after="0" w:line="260"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Gene Modification </w:t>
      </w:r>
      <w:r>
        <w:rPr>
          <w:rFonts w:ascii="Arial" w:cs="Arial" w:eastAsia="Arial" w:hAnsi="Arial"/>
          <w:sz w:val="17"/>
          <w:szCs w:val="17"/>
          <w:color w:val="auto"/>
        </w:rPr>
        <w:t>- In addition to repairing point mutations, base editors are also capable of making other kinds of precise modifications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genes that could be used to treat disease. Natural genetic variations of a single base among human populations, revealed by population-level genomic studies, are now known to protect against or modify risk for many diseases, including Alzheimer’s disease, cardiovascular disease and liver disease. We believe base editors could potentially prevent or modify risk of disease by making these kinds of precise single-base modifications to genes, informed by human clinical genetics.</w:t>
      </w:r>
    </w:p>
    <w:p>
      <w:pPr>
        <w:spacing w:after="0" w:line="61" w:lineRule="exact"/>
        <w:rPr>
          <w:rFonts w:ascii="Arial" w:cs="Arial" w:eastAsia="Arial" w:hAnsi="Arial"/>
          <w:sz w:val="17"/>
          <w:szCs w:val="17"/>
          <w:color w:val="auto"/>
        </w:rPr>
      </w:pPr>
    </w:p>
    <w:p>
      <w:pPr>
        <w:ind w:left="1020" w:right="200" w:hanging="503"/>
        <w:spacing w:after="0" w:line="272"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Gene Silencing or Activation </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Upregulation or downregulation, including silencing and activation, of gene expression is a desirable</w:t>
      </w:r>
      <w:r>
        <w:rPr>
          <w:rFonts w:ascii="Arial" w:cs="Arial" w:eastAsia="Arial" w:hAnsi="Arial"/>
          <w:sz w:val="16"/>
          <w:szCs w:val="16"/>
          <w:b w:val="1"/>
          <w:bCs w:val="1"/>
          <w:color w:val="auto"/>
        </w:rPr>
        <w:t xml:space="preserve"> </w:t>
      </w:r>
      <w:r>
        <w:rPr>
          <w:rFonts w:ascii="Arial" w:cs="Arial" w:eastAsia="Arial" w:hAnsi="Arial"/>
          <w:sz w:val="16"/>
          <w:szCs w:val="16"/>
          <w:color w:val="auto"/>
        </w:rPr>
        <w:t>therapeutic approach to cure many diseases. The high level of precision of base editors is ideally suited to alter regulatory regions of genes, ensuring that only a few bases at precise locations are altered to achieve the desired effect without causing broader disruptions to adjacent regions that may still have important regulatory functions. For example, we have demonstrated in preclinical studies re-activation of expression of fetal hemoglobin by precisely changing the regulatory region of the relevant genes, thus preventing one or more repressor proteins, including B-cell lymphoma/leukemia 11A, from binding. Both our CBEs and ABEs can also be used to silence the expression of genes, with editing rates that are highly comparable to those achieved with nuclease-based editors but without requiring a double-stranded break. Gene silencing, such as targeting surface proteins in a CAR-T cell, can be achieved either by the conversion of certain short gene sequences, called codons, into STOP codons or by the disruption of splice donor-acceptor sites, in each case with a single base conversion.</w:t>
      </w:r>
    </w:p>
    <w:p>
      <w:pPr>
        <w:spacing w:after="0" w:line="53" w:lineRule="exact"/>
        <w:rPr>
          <w:rFonts w:ascii="Arial" w:cs="Arial" w:eastAsia="Arial" w:hAnsi="Arial"/>
          <w:sz w:val="16"/>
          <w:szCs w:val="16"/>
          <w:color w:val="auto"/>
        </w:rPr>
      </w:pPr>
    </w:p>
    <w:p>
      <w:pPr>
        <w:ind w:left="1020" w:hanging="503"/>
        <w:spacing w:after="0" w:line="253"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Multiplex base editing </w:t>
      </w:r>
      <w:r>
        <w:rPr>
          <w:rFonts w:ascii="Arial" w:cs="Arial" w:eastAsia="Arial" w:hAnsi="Arial"/>
          <w:sz w:val="17"/>
          <w:szCs w:val="17"/>
          <w:color w:val="auto"/>
        </w:rPr>
        <w:t>- By avoiding the creation of double-stranded breaks, base editors are particularly advantageous in situations where</w:t>
      </w:r>
      <w:r>
        <w:rPr>
          <w:rFonts w:ascii="Arial" w:cs="Arial" w:eastAsia="Arial" w:hAnsi="Arial"/>
          <w:sz w:val="17"/>
          <w:szCs w:val="17"/>
          <w:b w:val="1"/>
          <w:bCs w:val="1"/>
          <w:color w:val="auto"/>
        </w:rPr>
        <w:t xml:space="preserve"> </w:t>
      </w:r>
      <w:r>
        <w:rPr>
          <w:rFonts w:ascii="Arial" w:cs="Arial" w:eastAsia="Arial" w:hAnsi="Arial"/>
          <w:sz w:val="17"/>
          <w:szCs w:val="17"/>
          <w:color w:val="auto"/>
        </w:rPr>
        <w:t>multiple sequences in the genome must be simultaneously edited. This could include targeting duplicated or repetitive sequences in the genome, as is the case with the identical regulatory regions of the two neighboring genes for fetal hemoglobin, or targeting several genes at once, such as in the creation of advanced cell therapies like CAR-T cells with a combination of features that could dramatically enhance their therapeutic potential. Base editors are designed to not create double-stranded breaks, and we have demonstrated in preclinical cell line studies that they can edit multiple locations simultaneously without causing any detectable chromosomal rearrangements. Additionally, there are manufacturing benefits as cells that have three or more nuclease edits appear to have a significant growth deficit compared to cells that have been edited the same number of times with a base editor. We believe that our base editors can provide a significant and meaningful advancement in therapies where more complex gene editing is required, such as targeting multiple sequences across the genome or creating highly engineered cellular therapies.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genetic medicines</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To complement our next-generation gene editing technologies, we are also making significant investments in a broad suite of delivery technologies designed to deliver gene editing or other nucleic acid payloads to the right cells and enable potentially curative therapy. These delivery technologies include </w:t>
      </w:r>
      <w:r>
        <w:rPr>
          <w:rFonts w:ascii="Arial" w:cs="Arial" w:eastAsia="Arial" w:hAnsi="Arial"/>
          <w:sz w:val="18"/>
          <w:szCs w:val="18"/>
          <w:i w:val="1"/>
          <w:iCs w:val="1"/>
          <w:color w:val="auto"/>
        </w:rPr>
        <w:t xml:space="preserve">ex vivo </w:t>
      </w:r>
      <w:r>
        <w:rPr>
          <w:rFonts w:ascii="Arial" w:cs="Arial" w:eastAsia="Arial" w:hAnsi="Arial"/>
          <w:sz w:val="18"/>
          <w:szCs w:val="18"/>
          <w:color w:val="auto"/>
        </w:rPr>
        <w:t>electroporation, nonviral vectors such as LNPs, and viral vectors such as AAVs. In our pipeline, we have initially focused on applications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technologies where their delivery capabilities have already been clinically-validated by third parties, such as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editing of blood stem cells and LNP delivery to the liver. Longer term, we are also investing in more innovative delivery options, such as LNPs that could target other organs beyond the liver, or novel viral vectors beyond AAV. We have also developed critical enabling capabilities such as mRNA manufacturing and cell processing for autologous and allogeneic cell therapy.</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 xml:space="preserve">Consistent with this approach, our acquisition of Guide Therapeutics, Inc., or Guide, expanded our ability to explore new tissues and disease indications with our editing technologies. With Guide’s proprietary screening technology, which utilizes DNA barcodes to enable high throughput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LNP screening, we have a broad library of lipids and lipid formulations, and we have generated additional novel LNPs that we believe can accelerate novel nonviral delivery of gene editing or other nucleic acid payloads to tissues beyond the liver. For example, we have used our DNA barcoding technology to identify a family of LNPs for delivery of base editors to hematopoietic stem and progenitor cells, or HSPCs, in mice, and we have screened more than</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1,000 LNPs to identify LNPs that achieve durable, dose-dependent mRNA transfection in HSPCs in mice and non-human primates, or NHPs, in preclinical studies.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Manufacturing of genetic medicines</w:t>
      </w:r>
    </w:p>
    <w:p>
      <w:pPr>
        <w:spacing w:after="0" w:line="108"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To realize the full potential of base editors as a differentiated class of medicines and to enable our parallel investment strategy in multiple delivery modalities, we are building customized and integrated capabilities across discovery, manufacturing, and preclinical and clinical development. Due to the critical importance of high-quality manufacturing and control of production timing and know-how, we have taken steps toward establishing our own manufacturing facility, which will provide us the flexibility to manufacture a variety of different product modalities. We believe this investment will maximize the value of our portfolio and capabilities, the probability of technical success of our programs, and the speed at which we can provide potentially life-long cures to patients.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August 2020, we entered into a lease agreement with Alexandria Real Estate Equities, Inc. to build a 100,000 square foot current cGMP compliant manufacturing facility in Research Triangle Park, North Carolina intended to support a broad range of clinical programs. We anticipate that the facility will be operational in the first quarter of 2023. The facility is designed to support manufacturing for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programs in hematology and oncology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non-viral delivery programs for liver diseases, with flexibility to support manufacturing of our viral delivery programs, and ultimately, scale-up to support potential commercial supply. For our initial waves of clinical trials, we expect to use CMOs with relevant manufacturing experience in genetic medicines.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0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In summary, we believe that building an integrated platform combining our gene editing capabilities with advanced delivery and manufacturing capabilities will give us the flexibility to develop a sustainable portfolio, featuring rapid development of new programs and lifecycle improvements in our core programs. For example, for the treatment of sickle cell disease, we are pursuing both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autologous transplant-based approach with BEAM-101 and BEAM-102, but also are investing in a potential </w:t>
      </w:r>
      <w:r>
        <w:rPr>
          <w:rFonts w:ascii="Arial" w:cs="Arial" w:eastAsia="Arial" w:hAnsi="Arial"/>
          <w:sz w:val="18"/>
          <w:szCs w:val="18"/>
          <w:i w:val="1"/>
          <w:iCs w:val="1"/>
          <w:color w:val="auto"/>
        </w:rPr>
        <w:t>in vivo</w:t>
      </w:r>
      <w:r>
        <w:rPr>
          <w:rFonts w:ascii="Arial" w:cs="Arial" w:eastAsia="Arial" w:hAnsi="Arial"/>
          <w:sz w:val="18"/>
          <w:szCs w:val="18"/>
          <w:color w:val="auto"/>
        </w:rPr>
        <w:t>, LNP-based treatment to reach even more patients – all because we have consolidated both cell-based and novel HSC-targeting LNP technologies internally.</w:t>
      </w:r>
    </w:p>
    <w:p>
      <w:pPr>
        <w:spacing w:after="0" w:line="8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addition to our internal pipeline, the breadth and depth of our integrated technology platform gives us the opportunity to create a hub for partnering with other companies, which is an important part of our business model. We believe this model will help us to unlock the full potential of precision genetic medicine across a wider array of possible applications.</w:t>
      </w:r>
    </w:p>
    <w:p>
      <w:pPr>
        <w:spacing w:after="0" w:line="7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some cases, we have established collaborations that advance new programs in “whitespace” areas by giving a collaborator broad access to our various editing and delivery technologies, such as in our Verve collaboration in cardiovascular disease, our Apellis collaboration in complement-mediated disorders, and our Pfizer collaboration in rare diseases of the liver, muscle and central nervous system. In other cases, we have leveraged our team, capabilities and technologies to access other emerging technologies or capabilities, such as in our relationship with Prime Medicine. Our overall goal with these platform activities is to continue expanding our access to the technologies and teams in genetic medicine that will maximize our long-term value creation and impact on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317500</wp:posOffset>
            </wp:positionV>
            <wp:extent cx="4345940" cy="2211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4594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base editing portfolio</w:t>
      </w:r>
    </w:p>
    <w:p>
      <w:pPr>
        <w:spacing w:after="0" w:line="10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believe building a diversified portfolio leveraging the full breadth of our editing and delivery technologies in parallel will maximize our ability to provide life-long curative therapies to patients over the broadest possible range of diseases. We plan to advance multiple programs through clinical development in parallel, with each one potentially capable of delivering proof-of-concept in Phase 1 clinical trials in genetically defined patient populations and potentially reaching approval on an accelerated pathway. Our portfolio is purposefully built around a mix of strategic and technical profiles, creating significant optionality and risk diversification. We prioritize and advance programs based on a number of criteria, including significant unmet medical need, editing feasibility, clinically validated delivery modalities, favorable clinical and regulatory development pathways, and evidence that base editing offers potentially compelling advantages for patients over available standards-of-care and novel therapeutic modalities in development.</w:t>
      </w:r>
    </w:p>
    <w:p>
      <w:pPr>
        <w:spacing w:after="0" w:line="5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Our programs are organized by delivery modality: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hematopoietic stem cells, or HSCs,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 cells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using both LNP and AAV delivery technologies. The following table summarizes the status of certain of our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48895</wp:posOffset>
            </wp:positionV>
            <wp:extent cx="6172200" cy="2820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220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HSCs: Sickle cell disease and beta-thalassemia</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We are advancing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base editing programs in which HSCs are collected from a patient, edited using electroporation, a clinically validated technology for the delivery of therapeutic constructs into harvested cells, and then infused back into the patient following a myeloablative conditioning regimen, such as treatment with busulfan, the standard of care in HSC transplantation today. Once reinfused, the HSCs begin repopulating a portion of the bone marrow in a process known as engraftment. The engrafted, edited HSCs give rise to progenitor cell types with the corrected gene sequences. We plan to deploy this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approach in our BEAM-101 (sickle cell disease and beta thalassemia) and BEAM-102 (sickle cell disease) base editing programs.</w:t>
      </w:r>
    </w:p>
    <w:p>
      <w:pPr>
        <w:spacing w:after="0" w:line="5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Sickle cell disease, a severe inherited blood disease, is caused by a single point mutation, E6V, in the beta globin gene. This mutation causes the mutated form of HbS to aggregate into long, rigid molecules that bend red blood cells into a sickle shape under conditions of low oxygen. Sickled cells obstruct blood vessels and die prematurely, ultimately resulting in anemia, severe pain (crises), infections, stroke, organ failure, and early death. Sickle cell disease is the most common inherited blood disorder in the United States, affecting an estimated 100,000 individuals, of which a significant proportion are of African-American descent (1:365 births). Beta-thalassemia is another inherited blood disorder characterized by severe anemia caused by reduced production of functional hemoglobin due to insufficient expression of the beta globin protein. Transfusion-dependent beta-thalassemia, or TDBT, is the most severe form of this disease, often requiring multiple transfusions per year. Patients with TDBT suffer from failure to thrive, persistent infections, and life-threatening anemia. The incidence of symptomatic beta-thalassemia is estimated to be 1:100,000 worldwide, including 1:10,000 in Europe. In the United States, based on affected birth incidence of 0.7 in 100,000 births, and increasing survival rates, we expect the population of individuals affected by this disease to be more than 1,400 and rising. The only potentially curative therapy currently available for patients with sickle cell disease or beta-thalassemia is allogeneic HSC transplantation, or HSCT; however, this procedure holds a high level of risk, particularly Graft-versus-Host Disease resulting in a low number of patients opting for this treatment.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ind w:right="260"/>
        <w:spacing w:after="0" w:line="241" w:lineRule="auto"/>
        <w:rPr>
          <w:sz w:val="20"/>
          <w:szCs w:val="20"/>
          <w:color w:val="auto"/>
        </w:rPr>
      </w:pPr>
      <w:r>
        <w:rPr>
          <w:rFonts w:ascii="Arial" w:cs="Arial" w:eastAsia="Arial" w:hAnsi="Arial"/>
          <w:sz w:val="18"/>
          <w:szCs w:val="18"/>
          <w:color w:val="auto"/>
        </w:rPr>
        <w:t xml:space="preserve">We are pursuing a long-term, staged development strategy for our base editing approach to treat sickle cell disease that consists of advancing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programs, BEAM-101 and BEAM-102, in Wave 1, improving patient conditioning regimens in Wave 2, and enabling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base editing with delivery directly into HSCs of patients via LNPs in Wave 3. We believe this suite of technologies – base editing, improved conditioning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delivery for editing HSCs – can maximize the potential applicability of our sickle cell disease programs to patients as well as create a platform for the treatment of many other severe genetic blood disorders.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Wave 1: </w:t>
      </w:r>
      <w:r>
        <w:rPr>
          <w:rFonts w:ascii="Arial" w:cs="Arial" w:eastAsia="Arial" w:hAnsi="Arial"/>
          <w:sz w:val="18"/>
          <w:szCs w:val="18"/>
          <w:b w:val="1"/>
          <w:bCs w:val="1"/>
          <w:color w:val="auto"/>
        </w:rPr>
        <w:t>Ex Vivo</w:t>
      </w:r>
      <w:r>
        <w:rPr>
          <w:rFonts w:ascii="Arial" w:cs="Arial" w:eastAsia="Arial" w:hAnsi="Arial"/>
          <w:sz w:val="18"/>
          <w:szCs w:val="18"/>
          <w:b w:val="1"/>
          <w:bCs w:val="1"/>
          <w:i w:val="1"/>
          <w:iCs w:val="1"/>
          <w:color w:val="auto"/>
        </w:rPr>
        <w:t xml:space="preserve"> Base Editing via Autologous Transplant with BEAM-101 and BEAM-102</w:t>
      </w:r>
    </w:p>
    <w:p>
      <w:pPr>
        <w:spacing w:after="0" w:line="10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We are using base editing to pursue the development of two complementary approaches to treating sickle cell disease (BEAM-101 and BEAM-102), and one approach to treat beta-thalassemia (BEAM-101).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BEAM-101: Recreating naturally-occurring protective mutations to activate fetal hemoglobin</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BEAM-101 is an investigational, patient-specific, autologous hematopoietic investigational cell therapy which is designed to incorporate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base edits that mimic single nucleotide polymorphisms seen in individuals with HPFH to potentially alleviate the effects of mutations causing sickle cell disease or beta thalassemia. In November 2021, we announced that our IND for BEAM-101 for the treatment of sickle cell disease was cleared by the FDA. We are preparing to initiate our BEACON-101 trial, a Phase 1/2 clinical trial designed to assess the safety and efficacy of BEAM-101 for the treatment of sickle cell disease. The BEACON-101 trial is expected to include an initial “sentinel” cohort of three patients, treated one at a time to confirm successful engraftment, followed by dosing in up to a total of 45 patients. The clinical trial is designed to initially include patients between ages 18 and 35 with sickle cell disease who have received prior treatment with at least one disease-modifying agent with inadequate response or intolerance. Following mobilization, conditioning and HSC transplant with BEAM-101, patients will be assessed for safety, with safety endpoints including the proportion of patients with successful neutrophil engraftment by day 42 and safety and tolerability assessments, as well as for efficacy, with efficacy endpoints including the change from baseline in severe vaso-occlusive events, transfusion requirements, hemoglobin F levels, and quality of life and ability to function. We have begun site selection and the institutional review board approval processes for the BEACON-101 trial and plan to enroll the first subject in the second half of 2022.</w:t>
      </w:r>
    </w:p>
    <w:p>
      <w:pPr>
        <w:spacing w:after="0" w:line="5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beneficial effects of the fetal form of hemoglobin, or HbF, to compensate for mutations in adult hemoglobin were first identified in individuals with HPFH. Individuals who carry mutations that would have typically caused them to be beta-thalassemia or sickle cell disease patients, but who also have HPFH, are asymptomatic or experience a much milder form of their disease. HPFH is caused by single base changes in the regulatory region of the genes, HBG1 and HBG2, which prevents binding of one or more repressor proteins and increases the expression of gamma globin, which forms part of the HbF tetramer.</w:t>
      </w:r>
    </w:p>
    <w:p>
      <w:pPr>
        <w:spacing w:after="0" w:line="8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 xml:space="preserve">Using base editing, we are attempting to reproduce these specific, naturally occurring base changes in the regulatory elements of the gamma globin genes, preventing binding of repressor proteins and leading to re-activation of gamma globin expression, and thus the increase in gamma globin levels. Our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characterization of BEAM-101 using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delivery achieved precise and efficient editing of human CD34+ HSPCs, resulting in long-term engraftment and therapeutically-relevant increases in target gene expression in mice. Additionally, there have been no observed guide-dependent or guide-independent off-target events for this program.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characterization of BEAM-101:</w:t>
      </w:r>
    </w:p>
    <w:p>
      <w:pPr>
        <w:spacing w:after="0" w:line="104"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We demonstrated greater than 90% editing in healthy donor CD34 cells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020" w:right="80" w:hanging="503"/>
        <w:spacing w:after="0" w:line="225"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demonstrated gamma globin upregulation following erythroid differentiation is highly correlated (R</w:t>
      </w:r>
      <w:r>
        <w:rPr>
          <w:rFonts w:ascii="Arial" w:cs="Arial" w:eastAsia="Arial" w:hAnsi="Arial"/>
          <w:sz w:val="23"/>
          <w:szCs w:val="23"/>
          <w:color w:val="auto"/>
          <w:vertAlign w:val="superscript"/>
        </w:rPr>
        <w:t>2</w:t>
      </w:r>
      <w:r>
        <w:rPr>
          <w:rFonts w:ascii="Arial" w:cs="Arial" w:eastAsia="Arial" w:hAnsi="Arial"/>
          <w:sz w:val="17"/>
          <w:szCs w:val="17"/>
          <w:color w:val="auto"/>
        </w:rPr>
        <w:t>=0.993) with editing rates, where, at greater than 90% editing, we achieved a greater than 60% increase in gamma globin in healthy donor CD34+ cells.</w:t>
      </w:r>
    </w:p>
    <w:p>
      <w:pPr>
        <w:spacing w:after="0" w:line="81" w:lineRule="exact"/>
        <w:rPr>
          <w:rFonts w:ascii="Arial" w:cs="Arial" w:eastAsia="Arial" w:hAnsi="Arial"/>
          <w:sz w:val="17"/>
          <w:szCs w:val="17"/>
          <w:color w:val="auto"/>
        </w:rPr>
      </w:pPr>
    </w:p>
    <w:p>
      <w:pPr>
        <w:ind w:left="1020" w:right="120" w:hanging="503"/>
        <w:spacing w:after="0" w:line="32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We observed successful editing of CD34+ cells from a homozygous sickle cell disease patient, demonstrating a greater than 60% increase in gamma globin levels with a concomitant decrease to less than 40% sickle beta globin levels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after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differentiation.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performance of BEAM-101:</w:t>
      </w:r>
    </w:p>
    <w:p>
      <w:pPr>
        <w:spacing w:after="0" w:line="104" w:lineRule="exact"/>
        <w:rPr>
          <w:sz w:val="20"/>
          <w:szCs w:val="20"/>
          <w:color w:val="auto"/>
        </w:rPr>
      </w:pPr>
    </w:p>
    <w:p>
      <w:pPr>
        <w:ind w:left="1020" w:right="24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demonstrated that edited CD34+ cells from a healthy human donor engraft with high chimerism and maintain greater than 90% editing after 16 weeks in immunocompromised mice.</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demonstrated after 16-week engraftment that base edited cells lead to successful multilineage reconstitution with greater than 90% base editing achieved in sorted human HSPCs, myeloid, lymphoid and erythroid cells.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replicated these findings with cells from a second donor at 18 weeks post-engraftment.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BEAM-102: Direct correction of the sickle cell mutation</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Our second base editing approach for sickle cell disease, BEAM-102, is designed to directly correct the causative sickle mutation at position 6 of the beta globin gene. By making a single A-to-G edit, we have demonstrated in primary human CD34+ cells isolated from sickle cell disease patients the ability to create the naturally occurring HbG or “Makassar” variant of hemoglobin. This variant, which was identified in humans and first published in 1970, has the same function as the wild-type variant and does not cause sickle cell disease. Distinct from other approaches, cells that are successfully edited in this way are fully corrected, no longer containing the sickle protein. We have initiated IND-enabling studies for BEAM-102 and expect to submit an IND to the FDA for the treatment of sickle cell disease during the second half of 2022.</w:t>
      </w:r>
    </w:p>
    <w:p>
      <w:pPr>
        <w:spacing w:after="0" w:line="67" w:lineRule="exact"/>
        <w:rPr>
          <w:sz w:val="20"/>
          <w:szCs w:val="20"/>
          <w:color w:val="auto"/>
        </w:rPr>
      </w:pPr>
    </w:p>
    <w:p>
      <w:pPr>
        <w:jc w:val="both"/>
        <w:ind w:right="140"/>
        <w:spacing w:after="0" w:line="271" w:lineRule="auto"/>
        <w:rPr>
          <w:sz w:val="20"/>
          <w:szCs w:val="20"/>
          <w:color w:val="auto"/>
        </w:rPr>
      </w:pPr>
      <w:r>
        <w:rPr>
          <w:rFonts w:ascii="Arial" w:cs="Arial" w:eastAsia="Arial" w:hAnsi="Arial"/>
          <w:sz w:val="16"/>
          <w:szCs w:val="16"/>
          <w:color w:val="auto"/>
        </w:rPr>
        <w:t xml:space="preserve">BEAM-102 uses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delivery of our ABEs to edit CD34+ HSPCs. In cells isolated from donors with sickle cell disease, we achieved greater than 80% correction of the sickle point mutation to the HbG-Makassar variant, following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erythroid differentiation. Importantly, we observed a simultaneous reduction of HbS to less than 20% of control levels, a level that is lower than that typically observed in sickle trait individuals, who are asymptomatic.</w:t>
      </w:r>
    </w:p>
    <w:p>
      <w:pPr>
        <w:ind w:right="100"/>
        <w:spacing w:after="0" w:line="236" w:lineRule="auto"/>
        <w:rPr>
          <w:sz w:val="20"/>
          <w:szCs w:val="20"/>
          <w:color w:val="auto"/>
        </w:rPr>
      </w:pPr>
      <w:r>
        <w:rPr>
          <w:rFonts w:ascii="Arial" w:cs="Arial" w:eastAsia="Arial" w:hAnsi="Arial"/>
          <w:sz w:val="18"/>
          <w:szCs w:val="18"/>
          <w:color w:val="auto"/>
        </w:rPr>
        <w:t xml:space="preserve">More than 70% of erythroid colonies derived from edited patient cells showed biallelic editing (yielding cells that are potentially cured, no longer producing any sickle protein at all), and another 20% of cells had monoallelic editing (with one sickle allele and one corrected allele, conferring a level of protection expected to be similar to patients with “sickle cell trait” who do not show significant symptoms of disease). On a combined basis, we observed up to 93% of cells with potential elimination of sickle cell disease. Further, the correction of the HbS protein to the HbG-Makassar variant was shown to significantly reduce the propensity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differentiated erythroid cells to sickle when subjected to hypoxia. These findings represent therapeutic levels of correction if translated into clinic trials and support advancement of this program to potentially address the underlying genetic cause of sickle cell disease.</w:t>
      </w:r>
    </w:p>
    <w:p>
      <w:pPr>
        <w:spacing w:after="0" w:line="85"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 xml:space="preserve">Long-term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data generated using an early version of the Makassar base editor yielded approximately 50% conversion of the sickle allele to a Makassar allele. At 16 weeks post-transplant of CD34+ cells containing the sickle trait, we observed equivalent human chimerism between unedited and edited cells and evidence of multi-lineage reconstitution in mouse models. Levels of editing were sustained after long-term hematopoietic engraftment. Further, editing of the sickle allele led to the expression of the Makassar globin protein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6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December 2021, we presented data from preclinical studies further characterizing the Makassar hemoglobin created by BEAM-102 and demonstrating biophysical and biochemical properties consistent with normal hemoglobin. In these preclinical studies:</w:t>
      </w:r>
    </w:p>
    <w:p>
      <w:pPr>
        <w:spacing w:after="0" w:line="63"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BEAM-102 Makassar globin did not polymerize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Cells co-expressing BEAM-102 Makassar globin and sickle globin had properties similar to sickle trait cells, which are cells with one normal globin gene and one sickle globin gene and which do not sickle;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Oxygen binding of BEAM-102 Makassar globin was comparable to the most abundant normal adult hemoglobin (HbA);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crystal structures of BEAM-102 Makassar globin and of HbA were superimposable, suggesting no meaningful structural differences.</w:t>
      </w:r>
    </w:p>
    <w:p>
      <w:pPr>
        <w:spacing w:after="0" w:line="12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Published third party modeling studies suggest that at least 20% of cells no longer having the propensity to sickle, either by expressing HbF or because of the elimination of HbS, may be sufficient to cure sickle cell disease. With upregulation levels of more than 60% of gamma globin in the case of BEAM-101 or by generating more than 90% of cells having at least one HbS allele corrected in the case of BEAM-102, we have shown, in preclinical models, correction levels significantly above those expected to be disease modifying.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Wave 2: Improved Conditioning</w:t>
      </w:r>
    </w:p>
    <w:p>
      <w:pPr>
        <w:spacing w:after="0" w:line="104"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 xml:space="preserve">In parallel with Wave 1 development, we also aim to improve the transplant conditioning regimen for sickle cell disease patients undergoing HSCT, reducing toxicity challenges associated with HSCT standard of care. Conditioning is a critical component necessary to prepare a patient’s body to receive the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edited cells that must engraft in the patient’s bone marrow in order to be effective. Today’s conditioning regimens rely on nonspecific chemotherapy or radiation, which are associated with significant toxicities. We are collaborating with Magenta Therapeutics, Inc., or Magenta, to evaluate the potential utility of MGTA-117, Magenta’s novel antibody drug conjugate, in combination with BEAM-101 and BEAM-102, as well as other base editing programs in hematology. MGTA-117 is designed to spare immune cells and precisely target HSPCs, and has demonstrated high selectivity, potent efficacy, wide safety margins and broad tolerability in NHP models. We are also conducting our own research into novel conditioning strategies. Improved conditioning regimens could potentially be paired with BEAM-101 and BEAM-102, as well as other base editing programs in hematology.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 xml:space="preserve">Wave 3: </w:t>
      </w:r>
      <w:r>
        <w:rPr>
          <w:rFonts w:ascii="Arial" w:cs="Arial" w:eastAsia="Arial" w:hAnsi="Arial"/>
          <w:sz w:val="18"/>
          <w:szCs w:val="18"/>
          <w:b w:val="1"/>
          <w:bCs w:val="1"/>
          <w:color w:val="auto"/>
        </w:rPr>
        <w:t>In Vivo</w:t>
      </w:r>
      <w:r>
        <w:rPr>
          <w:rFonts w:ascii="Arial" w:cs="Arial" w:eastAsia="Arial" w:hAnsi="Arial"/>
          <w:sz w:val="18"/>
          <w:szCs w:val="18"/>
          <w:b w:val="1"/>
          <w:bCs w:val="1"/>
          <w:i w:val="1"/>
          <w:iCs w:val="1"/>
          <w:color w:val="auto"/>
        </w:rPr>
        <w:t xml:space="preserve"> Base Editing via HSC-targeted LNPs</w:t>
      </w:r>
    </w:p>
    <w:p>
      <w:pPr>
        <w:spacing w:after="0" w:line="108"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 xml:space="preserve">We are also exploring the potential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base editing programs for sickle cell disease, in which base editors would be delivered to the patient through an infusion of LNPs targeted to HSCs, eliminating the need for transplantation altogether. This approach could provide a more accessible option for patients, particularly in regions where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treatment is challenging. Building on our acquisition of Guide, we are using our proprietary DNA-barcoded LNP screening technology to enable high-throughput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identification of LNPs with novel biodistribution and selectivity for target organs beyond the liver. In December 2021, we announced we had screened more than 1,000 LNPs using this technology for potential to deliver to HSCs and had identified LNP-HSC1 as the most potent, with efficient transfection in both mice and NHPs. In preclinical studies, we demonstrated that:</w:t>
      </w:r>
    </w:p>
    <w:p>
      <w:pPr>
        <w:spacing w:after="0" w:line="54" w:lineRule="exact"/>
        <w:rPr>
          <w:sz w:val="20"/>
          <w:szCs w:val="20"/>
          <w:color w:val="auto"/>
        </w:rPr>
      </w:pPr>
    </w:p>
    <w:p>
      <w:pPr>
        <w:ind w:left="1020" w:right="460" w:hanging="503"/>
        <w:spacing w:after="0" w:line="261"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LNP-HSC1 was validated </w:t>
      </w:r>
      <w:r>
        <w:rPr>
          <w:rFonts w:ascii="Arial" w:cs="Arial" w:eastAsia="Arial" w:hAnsi="Arial"/>
          <w:sz w:val="18"/>
          <w:szCs w:val="18"/>
          <w:i w:val="1"/>
          <w:iCs w:val="1"/>
          <w:color w:val="auto"/>
        </w:rPr>
        <w:t>in vivo</w:t>
      </w:r>
      <w:r>
        <w:rPr>
          <w:rFonts w:ascii="Arial" w:cs="Arial" w:eastAsia="Arial" w:hAnsi="Arial"/>
          <w:sz w:val="18"/>
          <w:szCs w:val="18"/>
          <w:color w:val="auto"/>
        </w:rPr>
        <w:t>, leading to durable, dose-dependent mRNA transfection in HSCs and resulting in fluorescent reporter expression in more than 40% of cells, maintained out to 16 weeks post-delivery;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LNP-HSC1 efficiently transfected human CD34+ cells </w:t>
      </w:r>
      <w:r>
        <w:rPr>
          <w:rFonts w:ascii="Arial" w:cs="Arial" w:eastAsia="Arial" w:hAnsi="Arial"/>
          <w:sz w:val="18"/>
          <w:szCs w:val="18"/>
          <w:i w:val="1"/>
          <w:iCs w:val="1"/>
          <w:color w:val="auto"/>
        </w:rPr>
        <w:t>in vitro</w:t>
      </w:r>
      <w:r>
        <w:rPr>
          <w:rFonts w:ascii="Arial" w:cs="Arial" w:eastAsia="Arial" w:hAnsi="Arial"/>
          <w:sz w:val="18"/>
          <w:szCs w:val="18"/>
          <w:color w:val="auto"/>
        </w:rPr>
        <w: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LNP-HSC1 efficiently transfected nearly 20% of CD34+ HSCs in humanized mice and NHPs at a dose of 1.0 mg/kg.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T cell therapies</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starting material for our multiplex-edited allogeneic CAR-T cell products is white blood cells from a healthy donor, which are collected using a standard blood bank procedure known as leukapheresis. Using a single electroporation, we introduce the base editor as mRNA, and the guides encoding the target sequences. The edited cells are subsequently transduced with a lentivirus expressing the CAR. Once the T cells have been engineered, they are expanded and frozen. After the patient is lymphodepleted, the multiplex-edited, allogenic cell product is infused.</w:t>
      </w:r>
    </w:p>
    <w:p>
      <w:pPr>
        <w:spacing w:after="0" w:line="64"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believe base editing is a powerful tool to simultaneously multiplex edit many genes without the unintended on-target effects that can result from simultaneous editing with nucleases through the creation of double-stranded breaks. The ability to create a large number of multiplex edits in T cells could endow CAR-T cells and other cell therapies with combinations of features that have the potential to dramatically enhance their therapeutic potential in treating hematological or solid tumors. The initial indications that we plan to target with these product candidates are relapsed, refractory T-ALL/T-LL, and Acute Myeloid Leukemia, or AML. We believe that our approach has the potential to produce higher response rates and deeper remissions than existing approaches. Our proof-of-concept preclinical studies have demonstrated the ability of base editors to efficiently modify up to eight genomic loci simultaneously in primary human T cells with efficiencies ranging from 85-95% as measured by flow cytometry of target protein knockdown. Importantly, these results have been achieved without the generation of observed chromosomal rearrangements, as evaluated by sensitive methods such as UDiTaS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or G-banded Karyotyping and with no observed loss of cell viability from editing. The proof-of-concept preclinical studies have also demonstrated robust T cell killing of target tumor cells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We plan to nominate a second CAR-T development candidate, in addition to BEAM-201, in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BEAM-201: Universal CD7-targeting CAR-T cells</w:t>
      </w:r>
    </w:p>
    <w:p>
      <w:pPr>
        <w:spacing w:after="0" w:line="10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BEAM-201 is a development candidate comprised of T cells derived from healthy donors that are simultaneously edited at </w:t>
      </w:r>
      <w:r>
        <w:rPr>
          <w:rFonts w:ascii="Arial" w:cs="Arial" w:eastAsia="Arial" w:hAnsi="Arial"/>
          <w:sz w:val="18"/>
          <w:szCs w:val="18"/>
          <w:i w:val="1"/>
          <w:iCs w:val="1"/>
          <w:color w:val="auto"/>
        </w:rPr>
        <w:t>TRAC</w:t>
      </w:r>
      <w:r>
        <w:rPr>
          <w:rFonts w:ascii="Arial" w:cs="Arial" w:eastAsia="Arial" w:hAnsi="Arial"/>
          <w:sz w:val="18"/>
          <w:szCs w:val="18"/>
          <w:color w:val="auto"/>
        </w:rPr>
        <w:t xml:space="preserve">, </w:t>
      </w:r>
      <w:r>
        <w:rPr>
          <w:rFonts w:ascii="Arial" w:cs="Arial" w:eastAsia="Arial" w:hAnsi="Arial"/>
          <w:sz w:val="18"/>
          <w:szCs w:val="18"/>
          <w:i w:val="1"/>
          <w:iCs w:val="1"/>
          <w:color w:val="auto"/>
        </w:rPr>
        <w:t>CD7</w:t>
      </w:r>
      <w:r>
        <w:rPr>
          <w:rFonts w:ascii="Arial" w:cs="Arial" w:eastAsia="Arial" w:hAnsi="Arial"/>
          <w:sz w:val="18"/>
          <w:szCs w:val="18"/>
          <w:color w:val="auto"/>
        </w:rPr>
        <w:t xml:space="preserve">, </w:t>
      </w:r>
      <w:r>
        <w:rPr>
          <w:rFonts w:ascii="Arial" w:cs="Arial" w:eastAsia="Arial" w:hAnsi="Arial"/>
          <w:sz w:val="18"/>
          <w:szCs w:val="18"/>
          <w:i w:val="1"/>
          <w:iCs w:val="1"/>
          <w:color w:val="auto"/>
        </w:rPr>
        <w:t>CD52</w:t>
      </w:r>
      <w:r>
        <w:rPr>
          <w:rFonts w:ascii="Arial" w:cs="Arial" w:eastAsia="Arial" w:hAnsi="Arial"/>
          <w:sz w:val="18"/>
          <w:szCs w:val="18"/>
          <w:color w:val="auto"/>
        </w:rPr>
        <w:t xml:space="preserve"> and </w:t>
      </w:r>
      <w:r>
        <w:rPr>
          <w:rFonts w:ascii="Arial" w:cs="Arial" w:eastAsia="Arial" w:hAnsi="Arial"/>
          <w:sz w:val="18"/>
          <w:szCs w:val="18"/>
          <w:i w:val="1"/>
          <w:iCs w:val="1"/>
          <w:color w:val="auto"/>
        </w:rPr>
        <w:t>PDCD1</w:t>
      </w:r>
      <w:r>
        <w:rPr>
          <w:rFonts w:ascii="Arial" w:cs="Arial" w:eastAsia="Arial" w:hAnsi="Arial"/>
          <w:sz w:val="18"/>
          <w:szCs w:val="18"/>
          <w:color w:val="auto"/>
        </w:rPr>
        <w:t xml:space="preserve"> and then transduced with a lentivirus encoding for an anti-CD7 CAR that is designed to create allogenic CD7 targeting CAR-T cells, resistant to both fratricide and immunosuppression. To our knowledge, BEAM-201 is the first investigational cell therapy featuring four simultaneous edits. We have initiated IND-enabling studies for BEAM-201 and expect to submit an IND to the FDA for the treatment of relapsed, refractory T-ALL/T-LL and potentially other CD7+ malignancies during the second half of 2022.</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In our BEAM-201 program, we edit cells using our CBEs with the aim of conferring the following benefits:</w:t>
      </w:r>
    </w:p>
    <w:p>
      <w:pPr>
        <w:spacing w:after="0" w:line="104" w:lineRule="exact"/>
        <w:rPr>
          <w:sz w:val="20"/>
          <w:szCs w:val="20"/>
          <w:color w:val="auto"/>
        </w:rPr>
      </w:pPr>
    </w:p>
    <w:p>
      <w:pPr>
        <w:ind w:left="1020" w:right="1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TRAC</w:t>
      </w:r>
      <w:r>
        <w:rPr>
          <w:rFonts w:ascii="Arial" w:cs="Arial" w:eastAsia="Arial" w:hAnsi="Arial"/>
          <w:sz w:val="18"/>
          <w:szCs w:val="18"/>
          <w:color w:val="auto"/>
        </w:rPr>
        <w:t>: Prevent graft-vs-host disease via the elimination of the existing TCR to ensure that the CAR-T cell only attacks the CAR antigen on</w:t>
      </w:r>
      <w:r>
        <w:rPr>
          <w:rFonts w:ascii="Arial" w:cs="Arial" w:eastAsia="Arial" w:hAnsi="Arial"/>
          <w:sz w:val="18"/>
          <w:szCs w:val="18"/>
          <w:i w:val="1"/>
          <w:iCs w:val="1"/>
          <w:color w:val="auto"/>
        </w:rPr>
        <w:t xml:space="preserve"> </w:t>
      </w:r>
      <w:r>
        <w:rPr>
          <w:rFonts w:ascii="Arial" w:cs="Arial" w:eastAsia="Arial" w:hAnsi="Arial"/>
          <w:sz w:val="18"/>
          <w:szCs w:val="18"/>
          <w:color w:val="auto"/>
        </w:rPr>
        <w:t>the tumor and not the patient’s healthy cells.</w:t>
      </w:r>
    </w:p>
    <w:p>
      <w:pPr>
        <w:spacing w:after="0" w:line="62"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CD52</w:t>
      </w:r>
      <w:r>
        <w:rPr>
          <w:rFonts w:ascii="Arial" w:cs="Arial" w:eastAsia="Arial" w:hAnsi="Arial"/>
          <w:sz w:val="18"/>
          <w:szCs w:val="18"/>
          <w:color w:val="auto"/>
        </w:rPr>
        <w:t>: Enable an allogeneic cell source by masking BEAM-201 cells to anti-CD52 lymphodepleting agents to reduce host rejection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BEAM-201 cells.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PDCD1</w:t>
      </w:r>
      <w:r>
        <w:rPr>
          <w:rFonts w:ascii="Arial" w:cs="Arial" w:eastAsia="Arial" w:hAnsi="Arial"/>
          <w:sz w:val="17"/>
          <w:szCs w:val="17"/>
          <w:color w:val="auto"/>
        </w:rPr>
        <w:t>: Minimize immunosuppression of BEAM-201 cells by the tumor microenvironment and prolong efficacy for attacking the tumor.</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CD7</w:t>
      </w:r>
      <w:r>
        <w:rPr>
          <w:rFonts w:ascii="Arial" w:cs="Arial" w:eastAsia="Arial" w:hAnsi="Arial"/>
          <w:sz w:val="18"/>
          <w:szCs w:val="18"/>
          <w:color w:val="auto"/>
        </w:rPr>
        <w:t>: Prevent fratricide by eliminating antigens that are shared between malignant cells and CAR-T cells.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 xml:space="preserve">Preclinical </w:t>
      </w:r>
      <w:r>
        <w:rPr>
          <w:rFonts w:ascii="Arial" w:cs="Arial" w:eastAsia="Arial" w:hAnsi="Arial"/>
          <w:sz w:val="18"/>
          <w:szCs w:val="18"/>
          <w:color w:val="auto"/>
        </w:rPr>
        <w:t>in vitro</w:t>
      </w:r>
      <w:r>
        <w:rPr>
          <w:rFonts w:ascii="Arial" w:cs="Arial" w:eastAsia="Arial" w:hAnsi="Arial"/>
          <w:sz w:val="18"/>
          <w:szCs w:val="18"/>
          <w:i w:val="1"/>
          <w:iCs w:val="1"/>
          <w:color w:val="auto"/>
        </w:rPr>
        <w:t xml:space="preserve"> characterization of BEAM-201 and comparison to nuclease editing:</w:t>
      </w:r>
    </w:p>
    <w:p>
      <w:pPr>
        <w:spacing w:after="0" w:line="104" w:lineRule="exact"/>
        <w:rPr>
          <w:sz w:val="20"/>
          <w:szCs w:val="20"/>
          <w:color w:val="auto"/>
        </w:rPr>
      </w:pPr>
    </w:p>
    <w:p>
      <w:pPr>
        <w:ind w:left="1020" w:right="18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Simultaneous base editing at four target loci in primary human T cells using a clinical-scale process demonstrated 96-99% on-target editing of each of the four genes as measured by next-generation sequencing.</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Simultaneous quad base editing of T cells resulted in no detected genomic rearrangements; Cas9 nuclease editing with the same four guide RNAs produced chromosomal aberrations in 22 of 100 cells evaluated in G-banded karyotyping.</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Multiplex base editing did not demonstrate negative effects on cell expansion during manufacturing, while nuclease editing was observed to induce significant loss of cell expansion.</w:t>
      </w:r>
    </w:p>
    <w:p>
      <w:pPr>
        <w:spacing w:after="0" w:line="62" w:lineRule="exact"/>
        <w:rPr>
          <w:rFonts w:ascii="Arial" w:cs="Arial" w:eastAsia="Arial" w:hAnsi="Arial"/>
          <w:sz w:val="18"/>
          <w:szCs w:val="18"/>
          <w:color w:val="auto"/>
        </w:rPr>
      </w:pPr>
    </w:p>
    <w:p>
      <w:pPr>
        <w:ind w:left="1020" w:right="160" w:hanging="503"/>
        <w:spacing w:after="0" w:line="324"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CBE-edited cells demonstrated decreased expression of the four target genes with minimal effect on other genes, including key members of the p53 pathway that are upregulated in response to DNA double-stranded breaks produced by multiplex editing with nucleases.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Further preclinical characterization of BEAM-201 </w:t>
      </w:r>
      <w:r>
        <w:rPr>
          <w:rFonts w:ascii="Arial" w:cs="Arial" w:eastAsia="Arial" w:hAnsi="Arial"/>
          <w:sz w:val="18"/>
          <w:szCs w:val="18"/>
          <w:color w:val="auto"/>
        </w:rPr>
        <w:t>in vitro</w:t>
      </w:r>
      <w:r>
        <w:rPr>
          <w:rFonts w:ascii="Arial" w:cs="Arial" w:eastAsia="Arial" w:hAnsi="Arial"/>
          <w:sz w:val="18"/>
          <w:szCs w:val="18"/>
          <w:i w:val="1"/>
          <w:iCs w:val="1"/>
          <w:color w:val="auto"/>
        </w:rPr>
        <w:t xml:space="preserve"> and in a tumor mouse model:</w:t>
      </w:r>
    </w:p>
    <w:p>
      <w:pPr>
        <w:spacing w:after="0" w:line="104" w:lineRule="exact"/>
        <w:rPr>
          <w:sz w:val="20"/>
          <w:szCs w:val="20"/>
          <w:color w:val="auto"/>
        </w:rPr>
      </w:pPr>
    </w:p>
    <w:p>
      <w:pPr>
        <w:ind w:left="1020" w:hanging="503"/>
        <w:spacing w:after="0" w:line="24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GMP-compliant, clinical-scale process resulted in final BEAM-201 CAR-T cell populations with on-target editing efficiencies between 96-99.9% at each of the four target loci, and 85% CAR-expressing cells. As a result, we estimate that 91% of cells are bi-allelically quad base edited and 77% of cells have all five genetic modifications. We believe this is the highest level and uniformity of CAR expression and simultaneous editing across four target sites reported at clinical scale to date.</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BEAM-201 cells demonstrated robust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CD7-dependent cytokine production, and rapid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cytotoxicity.</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BEAM-201 cells also demonstrated dose-dependent clearance or control, across a 25-fold dose range, of an aggressive disseminated CCRF-CEM T-ALL tumor mouse model.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CD5-targeting CAR-T cells</w:t>
      </w:r>
    </w:p>
    <w:p>
      <w:pPr>
        <w:spacing w:after="0" w:line="10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In October 2021, we announced preclinical data from our multiplex edited allogeneic CAR-T research program targeting CD5-positive hematologic malignancies. These data demonstrated knockout of CD5 expression to be a general mechanism to enhance potency and potentially improve durability of highly multiplexed CAR-T cells.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 vivo </w:t>
      </w:r>
      <w:r>
        <w:rPr>
          <w:rFonts w:ascii="Arial" w:cs="Arial" w:eastAsia="Arial" w:hAnsi="Arial"/>
          <w:sz w:val="18"/>
          <w:szCs w:val="18"/>
          <w:b w:val="1"/>
          <w:bCs w:val="1"/>
          <w:color w:val="auto"/>
        </w:rPr>
        <w:t>LNP</w:t>
      </w:r>
    </w:p>
    <w:p>
      <w:pPr>
        <w:spacing w:after="0" w:line="108"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LNPs are a clinically validated technology for delivery of nucleic acid payloads to the liver. LNPs are multi-component particles that encapsulate the base editor mRNA and one or more guides and protect them from degradation while in an external environment, enabling the transient delivery of the base editor </w:t>
      </w:r>
      <w:r>
        <w:rPr>
          <w:rFonts w:ascii="Arial" w:cs="Arial" w:eastAsia="Arial" w:hAnsi="Arial"/>
          <w:sz w:val="16"/>
          <w:szCs w:val="16"/>
          <w:i w:val="1"/>
          <w:iCs w:val="1"/>
          <w:color w:val="auto"/>
        </w:rPr>
        <w:t>in vivo</w:t>
      </w:r>
      <w:r>
        <w:rPr>
          <w:rFonts w:ascii="Arial" w:cs="Arial" w:eastAsia="Arial" w:hAnsi="Arial"/>
          <w:sz w:val="16"/>
          <w:szCs w:val="16"/>
          <w:color w:val="auto"/>
        </w:rPr>
        <w:t>. Multiple third-party clinical trials have demonstrated the effective delivery of silencing RNA to the liver using LNPs. Because only one dose of a base editing therapy may be needed in a course of treatment, LNPs are a suitable delivery modality that we believe is unlikely to face the complications seen with chronic use of LNPs, such as those observed when delivering oligonucleotides or mRNA for gene therapy. All of the components of the LNP, as well as the mRNA encoding the base editor, are well-defined and can be manufactured synthetically, providing the opportunity for scalable manufacturing.</w:t>
      </w:r>
    </w:p>
    <w:p>
      <w:pPr>
        <w:spacing w:after="0" w:line="54"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 xml:space="preserve">We have developed several proprietary LNP formulations. In May 2021, we announced initial data from our evaluation of various LNP formulations and mRNA production processes using an mRNA-encoding ABE and guide RNA to target the ALAS1 gene, a surrogate payload for genetic liver diseases. These data showed improved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editing in the livers of NHPs from less than 10% initially to 52% at a total RNA dose of 1.5 mg/kg. Continued optimization of our LNP formulations has demonstrated further increases in liver editing potency in NHPs. In September 2021, we presented data demonstrating up to 60% editing in NHPs at a total RNA dose of 1.0 mg/kg. Data from our preclinical studies demonstrated that these formulations were well tolerated by NHPs treated with doses up to 1.5 mg/kg. Minimal to mild and transient liver enzyme elevations were observed and resolved by day 15 post-treatment. Additionally, the formulations showed promising interim stability, maintaining potency after three months at -20⁰C and -80⁰C.</w:t>
      </w:r>
    </w:p>
    <w:p>
      <w:pPr>
        <w:spacing w:after="0" w:line="34" w:lineRule="exact"/>
        <w:rPr>
          <w:sz w:val="20"/>
          <w:szCs w:val="20"/>
          <w:color w:val="auto"/>
        </w:rPr>
      </w:pPr>
    </w:p>
    <w:p>
      <w:pPr>
        <w:jc w:val="both"/>
        <w:ind w:right="300"/>
        <w:spacing w:after="0" w:line="262" w:lineRule="auto"/>
        <w:rPr>
          <w:sz w:val="20"/>
          <w:szCs w:val="20"/>
          <w:color w:val="auto"/>
        </w:rPr>
      </w:pPr>
      <w:r>
        <w:rPr>
          <w:rFonts w:ascii="Arial" w:cs="Arial" w:eastAsia="Arial" w:hAnsi="Arial"/>
          <w:sz w:val="17"/>
          <w:szCs w:val="17"/>
          <w:color w:val="auto"/>
        </w:rPr>
        <w:t xml:space="preserve">We are currently using LNP formulations to advance our programs for genetic liver diseases, including GSDIa, also known as Von Gierke disease, and Alpha-1 Antitrypsin Deficiency, or Alpha-1. In December 2021, we nominated BEAM-301, a liver-targeting LNP formulation of base editing reagents designed to correct the R83C mutation, the most common disease-causing mutation of GSDIa, as our first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development candidate. We anticipate initiating IND-enabling studies for BEAM-301 and nominating a second liver-targeted development candidate in 2022.</w:t>
      </w:r>
    </w:p>
    <w:p>
      <w:pPr>
        <w:spacing w:after="0" w:line="64" w:lineRule="exact"/>
        <w:rPr>
          <w:sz w:val="20"/>
          <w:szCs w:val="20"/>
          <w:color w:val="auto"/>
        </w:rPr>
      </w:pPr>
    </w:p>
    <w:p>
      <w:pPr>
        <w:ind w:right="3180"/>
        <w:spacing w:after="0" w:line="360" w:lineRule="auto"/>
        <w:rPr>
          <w:sz w:val="20"/>
          <w:szCs w:val="20"/>
          <w:color w:val="auto"/>
        </w:rPr>
      </w:pPr>
      <w:r>
        <w:rPr>
          <w:rFonts w:ascii="Arial" w:cs="Arial" w:eastAsia="Arial" w:hAnsi="Arial"/>
          <w:sz w:val="18"/>
          <w:szCs w:val="18"/>
          <w:b w:val="1"/>
          <w:bCs w:val="1"/>
          <w:i w:val="1"/>
          <w:iCs w:val="1"/>
          <w:color w:val="auto"/>
        </w:rPr>
        <w:t xml:space="preserve">Liver diseases: glycogen storage disorder 1a, alpha-1 antitrypsin deficiency and chronic hepatitis B infection </w:t>
      </w:r>
      <w:r>
        <w:rPr>
          <w:rFonts w:ascii="Arial" w:cs="Arial" w:eastAsia="Arial" w:hAnsi="Arial"/>
          <w:sz w:val="18"/>
          <w:szCs w:val="18"/>
          <w:i w:val="1"/>
          <w:iCs w:val="1"/>
          <w:color w:val="auto"/>
        </w:rPr>
        <w:t>GSDIa</w:t>
      </w:r>
    </w:p>
    <w:p>
      <w:pPr>
        <w:ind w:right="300"/>
        <w:spacing w:after="0" w:line="248" w:lineRule="auto"/>
        <w:rPr>
          <w:sz w:val="20"/>
          <w:szCs w:val="20"/>
          <w:color w:val="auto"/>
        </w:rPr>
      </w:pPr>
      <w:r>
        <w:rPr>
          <w:rFonts w:ascii="Arial" w:cs="Arial" w:eastAsia="Arial" w:hAnsi="Arial"/>
          <w:sz w:val="18"/>
          <w:szCs w:val="18"/>
          <w:color w:val="auto"/>
        </w:rPr>
        <w:t>GSDIa is an inborn disorder of glucose metabolism caused by mutations in the G6PC gene, which results in low blood glucose levels that can be fatal if patients do not adhere to a strict regimen of slow-release forms of glucose, administered every one to four hours (including overnight). There are no disease-modifying therapies available for patients with GSDIa.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spacing w:after="0" w:line="241" w:lineRule="auto"/>
        <w:rPr>
          <w:sz w:val="20"/>
          <w:szCs w:val="20"/>
          <w:color w:val="auto"/>
        </w:rPr>
      </w:pPr>
      <w:r>
        <w:rPr>
          <w:rFonts w:ascii="Arial" w:cs="Arial" w:eastAsia="Arial" w:hAnsi="Arial"/>
          <w:sz w:val="18"/>
          <w:szCs w:val="18"/>
          <w:color w:val="auto"/>
        </w:rPr>
        <w:t>Our approach to treating patients with GSDIa is to apply base editing via LNP delivery to repair the two most prevalent mutations that cause the disease, R83C and Q347X. It is estimated that these two point mutations account for 900 and 500 patients, respectively, in the United States, representing approximately 59% of all GSDIa patients in the United States. Third party animal studies have shown that as little as 11% of normal G6Pase activity in liver cells is sufficient to restore fasting glucose; however, this level must be maintained in order to preserve glucose control and alleviate other serious, and potentially fatal, GSDIa sequelae.</w:t>
      </w:r>
    </w:p>
    <w:p>
      <w:pPr>
        <w:spacing w:after="0" w:line="81"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In October 2021, we reported data from preclinical studies that support the potential of base editing to durably correct disease-causing mutations of GSDIa. We created a novel, humanized R83C knockout mouse model (huR83C), mimicking the abnormal metabolic phenotype of human GSDIa, and collaborated with the National Institutes of Health, or NIH, to characterize the phenotype of these animals. The results demonstrated that newborn huR83C mice treated with our LNP-delivered ABE exhibited normal growth to the end of the study at three weeks of age without any hypoglycemia-induced seizures. In contrast, homozygous animals were unable to survive soon after birth in the absence of glucose supplementation. In addition, we observed editing efficiencies up to approximately 60% by next-generation sequencing of DNA isolated from the whole liver. Of note, we believe even narrow gains in base editing efficiency have the potential to provide significant restoration of G6Pase activity and normal metabolic function.</w:t>
      </w:r>
    </w:p>
    <w:p>
      <w:pPr>
        <w:spacing w:after="0" w:line="55"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The findings presented in October 2021 were consistent with the results from prior preclinical models, which have shown up to 80% correction of the alleles in cells harboring the Q347X point mutation and approximately 60% of the alleles in cells harboring the R83C mutation. Significant, potentially disease-modifying levels of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correction of both mutations by ABEs was observed in the livers of two strains of transgenic mice, each carrying one of the two relevant G6PC mutations. Next-generation sequencing data from whole liver extracts revealed approximately 40% and 70% A-to-G correction of R83C and Q347X, respectively. These significant levels of mutation correction observed greatly surpass those expected to restore glucose homeostasis, and functional preclinical studies are ongoing to correlate pathophysiology to the extent of mutation correction by base editing. Further, these levels of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correction for GSDIa by base editing were achieved without the creation of double-stranded breaks. In total, these data support base editing technology as a promising approach for precise correction of two of the most prevalent causative mutations in GSDIa.</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Alpha-1</w:t>
      </w:r>
    </w:p>
    <w:p>
      <w:pPr>
        <w:spacing w:after="0" w:line="104"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Alpha-1 is a severe inherited genetic disorder that can cause progressive lung and liver disease. The most severe form of Alpha-1 arises when a patient has a point mutation in both copies of the SERPINA1 gene at amino acid 342 position (E342K, also known as the PiZ mutation or the “Z” allele). This point mutation causes Alpha-1 antitrypsin, or AAT, to misfold, accumulating inside liver cells rather than being secreted, resulting in very low levels (10%-15%) of circulating AAT.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requiring patients to undergo a liver transplant. It is estimated that approximately 60,000 individuals in the United States have two copies of the Z allele. There are currently no curative treatments for patients with Alpha-1.</w:t>
      </w:r>
    </w:p>
    <w:p>
      <w:pPr>
        <w:spacing w:after="0" w:line="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With the high efficiency and precision of our base editors, we aim to utilize our ABEs to precisely correct the E342K point mutation back to the wild type sequence.</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a preclinical study, we engineered novel ABEs and guide RNAs capable of correcting the PiZ mutation, and then used a proprietary non-viral LNP formulation to deliver the optimized reagents to the livers of a PiZ transgenic mouse model. This direct editing approach resulted in an average of 16.9% correction of beneficial alleles at seven days and 28.8% at three months. This significant increase over the period suggests that corrected hepatocytes may have a survival advantage relative to uncorrected cells. In addition, treated mice demonstrate decreased Alpha-1-antitrypsin-mediated globule burden within the liver and a durable, significant increase in serum AAT active protein at three months, approximately 4.9-fold higher than in controls at the end of the study, levels which we believe would be clinically relevant if achieved in clinical trials. These data indicate the potential for base editing as a one-time therapy to treat both lung and liver manifestations of Alpha-1.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Hepatitis B Virus</w:t>
      </w:r>
    </w:p>
    <w:p>
      <w:pPr>
        <w:spacing w:after="0" w:line="10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Hepatitis B virus, or HBV, causes serious liver infection that can become chronic, increasing the risk of developing life-threatening health issues like cirrhosis, liver failure or liver cancer. Chronic HBV infection is characterized by the persistence of covalently closed circular DNA, or cccDNA, a unique DNA structure that forms in response to HBV infection in the nuclei of liver cells. Additionally, the HBV DNA can integrate into the human genome becoming a source of hepatitis B surface antigen, or HBsAg. While currently available treatments can manage HBV replication, they do not clear cccDNA from the infected liver cells. This inability to prevent HBV infection rebound from cccDNA is a key challenge to curing HBV. In September 2021, we presented preclinical data that demonstrated the potential of our CBEs to reduce viral markers, including HBsAg expression, and prevent viral rebound of HBV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 xml:space="preserve">In vivo </w:t>
      </w:r>
      <w:r>
        <w:rPr>
          <w:rFonts w:ascii="Arial" w:cs="Arial" w:eastAsia="Arial" w:hAnsi="Arial"/>
          <w:sz w:val="18"/>
          <w:szCs w:val="18"/>
          <w:b w:val="1"/>
          <w:bCs w:val="1"/>
          <w:color w:val="auto"/>
        </w:rPr>
        <w:t>AAV</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AAV is a clinically validated technology that has been extensively used for gene delivery to a variety of tissues. AAV is a small, non-pathogenic virus that can be repurposed to carry a therapeutic payload, making it a suitable vector for delivery of gene editing therapies. Several clinical trials have been conducted or are in progress with different AAV variants for multiple diseases, including diseases of the eye, liver, muscle, lung and central nervous system. We have an option to in-license a variety of AAV variants that could be selected for optimal distribution to multiple organs. Because our DNA base editors are larger than the approximate 4.5kb packaging limit of AAV vectors, we use a novel split intein technology that is designed to deliver the base editor and guide RNA by co-infection with two viruses, where each virus contains approximately one half of the editor.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Ocular disorders: Stargardt disease</w:t>
      </w:r>
    </w:p>
    <w:p>
      <w:pPr>
        <w:spacing w:after="0" w:line="10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We are currently evaluating this technology to correct one of the most prevalent mutations in the ABCA4 gene causing Stargardt disease, a progressive macular degeneration disease. This mutation is known as the G1961E point mutation and approximately 5,500 individuals in the United States are affected. Disease modeling using tiny light stimuli through holes that are equivalent in size to a single photoreceptor cell suggests that only 12%-20% of these cells are necessary to preserve vision. We anticipate, therefore, that editing percentages in the range of 12%-20% of these cells would be disease-modifying, since each edited cell will be fully corrected and protected from the biochemical defect associated with Stargardt disease.</w:t>
      </w:r>
    </w:p>
    <w:p>
      <w:pPr>
        <w:spacing w:after="0" w:line="51"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In a human retinal pigment epithelial cell line (ARPE-19 cells) in which we have knocked in the ABCA4 G1961E point mutation, we have demonstrated the precise correction of approximately 75% of the disease alleles at five weeks after dual infection with the split AAV system. In November 2021, we announced that we have initiated preclinical studies in NHPs for our Stargardt program.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of precision gene editing technologies</w:t>
      </w:r>
    </w:p>
    <w:p>
      <w:pPr>
        <w:spacing w:after="0" w:line="10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Building on the expertise of our academic founders and our innovative research culture, we plan to explore new and complementary technologies in base editing, gene editing, and genetic medicine over the long term to advance a broad portfolio across multiple delivery pipelines. As part of this strategy, we have licensed a portfolio of three additional complementary technologies – RNA base editing, Cas12b nuclease editing, and prime editing for certain fields. Combined with base editing, we have assembled a broad and versatile portfolio of next generation gene editing technologies for the potential treatment of many severe diseases.</w:t>
      </w:r>
    </w:p>
    <w:p>
      <w:pPr>
        <w:spacing w:after="0" w:line="8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license agreement with The Broad Institute, Inc., or Broad Institute, gives us access to RNA base editing technology, a two-part modular system using an RNA-directed CRISPR protein for targeting RNA strands and a deaminase for editing. This CRISPR protein, known as Cas13, is modified so that it cannot break the RNA strand, and is fused to a deaminase capable of making a single base edit at a specific target location within the RNA strand. This enables us to change protein expression, potentially correcting or altering the function of the resulting protein and correcting disease. Our RNA base editing technologies include the REPAIR™ system for A-to-I editing, as well as the RESCUE™ system for C-to-U editing. When delivered through a long-lasting viral vector, RNA base editing may provide a complementary approach to DNA base editing for permanent correction of gene expression. Additionally, RNA editing could potentially be beneficial in situations where a transient change is desirable, such as in regenerative medicine.</w:t>
      </w:r>
    </w:p>
    <w:p>
      <w:pPr>
        <w:spacing w:after="0" w:line="5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Our Broad Institute license also gives us access to the Cas12b nuclease family, which provides several potential strategic advantages for our portfolio. First, the distinct PAM sequence and conformation of Cas12b allows us to create DNA base editors that can bind to different target sites in the genome, further expanding the range of sites that we can edit. Second, having a nuclease allows us to make “cut” edits, which may be appropriate for some applications that require a double stranded break, or to use the general gene targeting ability of Cas12b for other gene editing applications.</w:t>
      </w:r>
    </w:p>
    <w:p>
      <w:pPr>
        <w:spacing w:after="0" w:line="47"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We also have a license to technology referred to as “prime editing,” that is controlled by Prime Medicine, Inc. Prime editing may be able to achieve the “rewriting” of short sequences of DNA at a target location. Prime editing utilizes a CRISPR protein to target a mutation site in DNA and to nick a single strand of the target DNA. The guide RNA allows the CRISPR protein to recognize a DNA sequence that is complementary to the guide RNA and also carries a primer for reverse transcription and a replacement template. The reverse transcriptase copies the template sequence in the nicked site, installing the edit. As with base editing, prime editing does not cause double-stranded breaks in the target DNA, resulting in lower insertion and deletion rates than gene editing technologies that rely on double stranded breaks.</w:t>
      </w:r>
    </w:p>
    <w:p>
      <w:pPr>
        <w:spacing w:after="0" w:line="67"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We have the exclusive right to develop prime editing technology for the creation or modification of any single base transition mutations, as well as any edits made for the treatment of sickle cell disease. Transition mutations (i.e., A-to-G, G-to-A, C-to-T, or T-to-C) are the largest single class of disease-associated genetic mutations and include all of our current targets for base editing programs.</w:t>
      </w:r>
    </w:p>
    <w:p>
      <w:pPr>
        <w:spacing w:after="0" w:line="7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Leveraging our deep scientific expertise and significant ongoing investment in our platform, we also expect to develop insights into other innovative gene editing and delivery modalities. We believe that our delivery, manufacturing, and development capabilities could position us to effectively evaluate and rapidly develop such novel technologies and further extend our leadership in the field of genetic medicine.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Collabora</w:t>
      </w:r>
      <w:r>
        <w:rPr>
          <w:rFonts w:ascii="Arial" w:cs="Arial" w:eastAsia="Arial" w:hAnsi="Arial"/>
          <w:sz w:val="18"/>
          <w:szCs w:val="18"/>
          <w:color w:val="auto"/>
        </w:rPr>
        <w:t>ti</w:t>
      </w:r>
      <w:r>
        <w:rPr>
          <w:rFonts w:ascii="Arial" w:cs="Arial" w:eastAsia="Arial" w:hAnsi="Arial"/>
          <w:sz w:val="18"/>
          <w:szCs w:val="18"/>
          <w:b w:val="1"/>
          <w:bCs w:val="1"/>
          <w:color w:val="auto"/>
        </w:rPr>
        <w:t>ons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believe our collection of base editing, gene editing and delivery technologies has significant potential across a broad array of genetic diseases. To fully realize this potential, we have established and will continue to seek out innovative collaborations, licenses, and strategic alliances with pioneering companies and with leading academic and research institutions. Additionally, we have and will continue to pursue relationships that potentially allow us to accelerate our preclinical research and development efforts. These relationships will allow us to aggressively pursue our vision of maximizing the potential of base editing to provide life-long cures for patients suffering from serious diseases.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vivo </w:t>
      </w:r>
      <w:r>
        <w:rPr>
          <w:rFonts w:ascii="Arial" w:cs="Arial" w:eastAsia="Arial" w:hAnsi="Arial"/>
          <w:sz w:val="18"/>
          <w:szCs w:val="18"/>
          <w:b w:val="1"/>
          <w:bCs w:val="1"/>
          <w:i w:val="1"/>
          <w:iCs w:val="1"/>
          <w:color w:val="auto"/>
        </w:rPr>
        <w:t>collaborations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Pfizer</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In December 2021, we entered into a four-year research collaboration agreement with Pfizer Inc., or Pfizer, focused 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base editing programs for three targets for rare genetic diseases of the liver, muscle and central nervous system. Under the terms of the agreement, we will conduct all research activities through development candidate selection for three pre-specified, undisclosed targets, which are not included in our existing programs. Pfizer may opt in to exclusive, worldwide licenses to each development candidate, after which it will be responsible for all development activities, as well as potential regulatory approvals and commercialization, for each such development candidate. We have a right to opt in, at the end of Phase 1/2 clinical trials, upon the payment of an option exercise fee, to a global co-development and co-commercialization agreement with respect to one program licensed under the collaboration pursuant to which we and Pfizer would share net profits as well as development and commercialization costs in a 35%/65% ratio (Beam/Pfizer).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Apellis Pharmaceuticals</w:t>
      </w:r>
    </w:p>
    <w:p>
      <w:pPr>
        <w:spacing w:after="0" w:line="104"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In June 2021, we entered into a research collaboration agreement with Apellis Pharmaceuticals, Inc., or Apellis, focused on the use of certain of our base editing technology to discover new treatments for complement system-driven diseases. Under the terms of the agreement, we will conduct preclinical research on up to six base editing programs that target specific genes within the complement system in various organs, including the eye, liver, and brain. Apellis has an exclusive option to license any or all of the six programs and will assume responsibility for subsequent development. We may elect to enter into a 50-50 U.S. co-development and co-commercialization agreement with Apellis with respect to one program licensed under the collaboration.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Verve Therapeutics</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April 2019, we entered into a collaboration and license agreement, or the Verve Agreement, with Verve Therapeutics, Inc., or Verve, a company focused on gene editing for cardiovascular disease treatments. This collaboration allows us to more fully realize the potential of base editing in treating cardiovascular disease, a disease area outside of our core focus and where Verve has significant expertise. Under the terms of the Verve Agreement, Verve received exclusive worldwide licenses to use our base editing technology and certain gene editing and delivery technologies for human therapeutic applications against certain cardiovascular targets. In exchange, we received shares of Verve common stock. Additionally, we are eligible to receive milestone payments for certain clinical and regulatory events for licensed products, and we retain the option, after the completion of Phase 1 clinical trials, to participate in future development and commercialization, and share 50 percent of U.S. profits and losses, for any licensed product directed against these targets.</w:t>
      </w:r>
    </w:p>
    <w:p>
      <w:pPr>
        <w:spacing w:after="0" w:line="8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January 2021, Verve announced it had selected VERVE-101 as its lead product to be developed initially for the treatment of heterozygous familial hypercholesterolemia, or HeFH, a potentially fatal genetic heart disease. Individuals with HeFH have a genetic mutation causing high LDL-C levels in the blood. Over time, high LDL-C builds up in the heart’s arteries, resulting in reduced blood flow or blockage, and ultimately heart attack or stroke. Inactivation of the proprotein convertase subtilisin/kexin type 9, or PCSK9, gene has been shown to up-regulate LDL receptor expression, which leads to lower LDL-C levels. By making a single A-to-G change in the DNA genetic sequence of PCSK9, VERVE-101 aims to inactivate the target gene. In January 2021, Verve also reported preclinical proof-of-concept data in NHPs that demonstrated the successful use of ABEs to turn off PCSK9, and in January 2022, Verve announced it expects to submit an IND application for VERVE-101 in the second half of 2022.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Institute of Molecular and Clinical Ophthalmology Basel</w:t>
      </w:r>
    </w:p>
    <w:p>
      <w:pPr>
        <w:spacing w:after="0" w:line="10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July 2020, we announced a research collaboration with the Institute of Molecular and Clinical Ophthalmology Basel, or IOB. Founded in 2018 by a consortium that includes Novartis, the University Hospital of Basel and the University of Basel, IOB is a leader in basic and translational research aimed at treating impaired vision and blindness. Clinical scientists at IOB have also helped to develop better ways to measure how vision is impacted by Stargardt disease.</w:t>
      </w:r>
    </w:p>
    <w:p>
      <w:pPr>
        <w:spacing w:after="0" w:line="80"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Additionally, researchers at IOB have developed living models of the retina, known as organoids, which can be used to test novel therapies. Under the terms of the agreement with IOB, the parties will leverage IOB’s unique expertise in the field of ophthalmology along with our novel base editing technology to advance programs directed to the treatment of certain ocular diseases, including Stargardt disease.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Ex vivo </w:t>
      </w:r>
      <w:r>
        <w:rPr>
          <w:rFonts w:ascii="Arial" w:cs="Arial" w:eastAsia="Arial" w:hAnsi="Arial"/>
          <w:sz w:val="18"/>
          <w:szCs w:val="18"/>
          <w:b w:val="1"/>
          <w:bCs w:val="1"/>
          <w:i w:val="1"/>
          <w:iCs w:val="1"/>
          <w:color w:val="auto"/>
        </w:rPr>
        <w:t>collaborations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Sana Biotechnology</w:t>
      </w:r>
    </w:p>
    <w:p>
      <w:pPr>
        <w:spacing w:after="0" w:line="10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 xml:space="preserve">In October 2021, we entered into an option and license agreement, or the Sana Agreement, with Sana Biotechnology, Inc., or Sana, pursuant to which we granted Sana non-exclusive research and development and commercial rights to our CRISPR Cas12b technology to perform nuclease editing for certain </w:t>
      </w:r>
      <w:r>
        <w:rPr>
          <w:rFonts w:ascii="Arial" w:cs="Arial" w:eastAsia="Arial" w:hAnsi="Arial"/>
          <w:sz w:val="17"/>
          <w:szCs w:val="17"/>
          <w:i w:val="1"/>
          <w:iCs w:val="1"/>
          <w:color w:val="auto"/>
        </w:rPr>
        <w:t>ex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engineered cell therapy programs. Under the terms of the Sana Agreement, licensed products include certain specified allogeneic T cell and stem cell-derived products directed at specified genetic targets, with certain limited rights for Sana to add and substitute such products and targets. The Sana Agreement excludes the grant of any Beam-controlled rights to perform base editing.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Boston Children’s Hospital</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July 2020, we entered into an alliance agreement, or the BCH Agreement, with Boston Children’s Hospital, or Boston Children’s. Under the terms of the BCH Agreement, we will identify and sponsor research programs to be performed at Boston Children’s either solely by Boston Children’s or by both Boston Children’s and us, to facilitate the development of certain disease-specific therapies using our proprietary base editing technology. Boston Children’s will also serve as a clinical site to advance bench-to-bedside translation of our pipeline across certain therapeutic areas of interest, including programs in sickle cell disease and pediatric leukemias and exploration of new programs targeting other diseases.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Magenta Therapeutics</w:t>
      </w:r>
    </w:p>
    <w:p>
      <w:pPr>
        <w:spacing w:after="0" w:line="104"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color w:val="auto"/>
        </w:rPr>
        <w:t>In June 2020, we announced a non-exclusive research and clinical trial collaboration agreement with Magenta Therapeutics Inc., or Magenta, to evaluate the potential utility of MGTA-117, Magenta’s novel targeted antibody-drug conjugate, for conditioning of patients with sickle cell disease and beta-thalassemia receiving our base editing therapies. Conditioning is a critical component necessary to prepare a patient’s body to receive the edited cells, which carry the corrected gene and must engraft in the patient’s bone marrow in order to be effective. Today’s conditioning regimens rely on nonspecific chemotherapy or radiation, which are associated with significant toxicities. MGTA-117 is designed to precisely target only hematopoietic stem and progenitor cells, to spare immune cells, and has shown high selectivity, potent efficacy, wide safety margins and broad tolerability in non-human primate models. MGTA-117 may be capable of clearing space in bone marrow to support long-term engraftment and rapid recovery in patients. Combining the precision of our base editing technology with the more targeted conditioning regimen enabled by MGTA-117 has the potential to further improve therapeutic outcomes for patients suffering from these severe diseases.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540"/>
        <w:spacing w:after="0" w:line="284" w:lineRule="auto"/>
        <w:rPr>
          <w:sz w:val="20"/>
          <w:szCs w:val="20"/>
          <w:color w:val="auto"/>
        </w:rPr>
      </w:pPr>
      <w:r>
        <w:rPr>
          <w:rFonts w:ascii="Arial" w:cs="Arial" w:eastAsia="Arial" w:hAnsi="Arial"/>
          <w:sz w:val="16"/>
          <w:szCs w:val="16"/>
          <w:color w:val="auto"/>
        </w:rPr>
        <w:t>The pharmaceutical and biotechnology industries, including the gene editing field, are characterized by rapidly advancing technologies, intense competition, and a strong emphasis on intellectual property. While we believe that our differentiated technology, scientific expertise, and intellectual property position provide us with competitive advantages, we face potential competition from a variety of companies in these fields. Within these industries, we will compete with existing large pharmaceutical companies, specialty pharmaceutical companies, and biotechnology companies.</w:t>
      </w:r>
    </w:p>
    <w:p>
      <w:pPr>
        <w:spacing w:after="0" w:line="47"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There are several other companies utilizing CRISPR/Cas9 nuclease technology, including Caribou Biosciences, Editas Medicine, CRISPR Therapeutics, Intellia Therapeutics, Arbor Biotechnologies, Metagenomi, and Mammoth Biosciences. Several additional companies utilize other nuclease-based gene editing technologies, including Zinc Fingers, Arcuses, and TAL Nucleases, including Sangamo Biosciences, Precision BioSciences, bluebird bio, Allogene Therapeutics and Cellectis. Additionally, newer gene editing modalities are emerging, including from Prime Medicine, Tessera Therapeutics, Shape Therapeutics, Scribe Therapeutics, Korro Bio, PerkinElmer (formerly Horizon Discovery) and Intellia Therapeutics. PerkinElmer and Intellia Therapeutics are developing base editing technology and Tessera Therapeutics is utilizing mobile genetic elements for gene editing. In addition, we face competition from companies utilizing various gene therapy, oligonucleotides, and CAR-T therapeutic approaches.</w:t>
      </w:r>
    </w:p>
    <w:p>
      <w:pPr>
        <w:spacing w:after="0" w:line="5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are also aware of companies with products in development in our disease areas where we will compete with approved therapies, those in development today, and those emerging in the future. For hemoglobinopathies, these companies include Global Blood Therapeutics, CRISPR Therapeutics, Novartis Pharmaceuticals, Sangamo Therapeutics, Editas Medicine, Homology Medicines, Graphite Bio and Vera Therapeutics (formerly Trucode Gene Repair). For T-cell malignancies, these include Gracell Bio, iCell Gene Therapeutics, PersonGen and Wugen. More broadly in the immuno-oncology cell therapy space, these include Allogene Therapeutics, Cellectis, 2seventy bio, Bristol Myers Squibb, Fate Therapeutics, Gilead Sciences, Novartis Pharmaceuticals, Poseida Therapeutics, Precision Bio, Legend Biotech and Autolus Therapeutics. For our liver targeted therapies, these include Intellia Therapeutics, Editas Medicines, CRISPR Therapeutics, Ultragenyx, Apic Bio, Arrowhead Pharmaceuticals, LogicBio Therapeutics, Generation Bio and Vertex.</w:t>
      </w:r>
    </w:p>
    <w:p>
      <w:pPr>
        <w:spacing w:after="0" w:line="5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0" w:name="page21"/>
    <w:bookmarkEnd w:id="20"/>
    <w:p>
      <w:pPr>
        <w:ind w:right="40"/>
        <w:spacing w:after="0" w:line="252" w:lineRule="auto"/>
        <w:rPr>
          <w:sz w:val="20"/>
          <w:szCs w:val="20"/>
          <w:color w:val="auto"/>
        </w:rPr>
      </w:pPr>
      <w:r>
        <w:rPr>
          <w:rFonts w:ascii="Arial" w:cs="Arial" w:eastAsia="Arial" w:hAnsi="Arial"/>
          <w:sz w:val="17"/>
          <w:szCs w:val="17"/>
          <w:color w:val="auto"/>
        </w:rPr>
        <w:t>In addition, many of our current or potential competitors, either alone or with their collaboration partners, have significantly greater financial resources and expertise in research and development, manufacturing, conducting preclinical studies and clinical trials and seeking approval for products than we do today.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obtaining manufacturing slots at CMOs, and in acquiring technologies complementary to, or necessary for, our programs. Our commercial opportunity could be reduced or eliminated if our competitors develop and commercialize products that are safer, more effective, particularly if they represent cures,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Our success depends in part on our ability to obtain and maintain proprietary protection for our platform technology, our programs, and know-how related to our business, defend and enforce our intellectual property rights, in particular, our patent rights, preserve the confidentiality of our trade secrets, and operate without infringing, misappropriating or otherwise violating any valid and enforceable intellectual property rights of others. We seek to protect our proprietary position by, among other things, exclusively licensing and filing U.S. and certain foreign patent applications related to our platform technology, existing and planned programs, and improvements that are important to the development of our business, where patent protection is available. Notwithstanding these efforts, we cannot be sure that patents will be granted with respect to any patent applications we have licensed or filed or may license or file in the future, and we cannot be sure that any patents we have licensed or patents that may be licensed or granted to us in the future will not be challenged, invalidated, or circumvented or that such patents will be commercially useful in protecting our technology. For more information regarding the risks related to our intellectual property, please see Item 1A., </w:t>
      </w:r>
      <w:r>
        <w:rPr>
          <w:rFonts w:ascii="Arial" w:cs="Arial" w:eastAsia="Arial" w:hAnsi="Arial"/>
          <w:sz w:val="16"/>
          <w:szCs w:val="16"/>
          <w:i w:val="1"/>
          <w:iCs w:val="1"/>
          <w:color w:val="auto"/>
        </w:rPr>
        <w:t>Risk factors—Risks related to our intellectual property</w:t>
      </w:r>
      <w:r>
        <w:rPr>
          <w:rFonts w:ascii="Arial" w:cs="Arial" w:eastAsia="Arial" w:hAnsi="Arial"/>
          <w:sz w:val="16"/>
          <w:szCs w:val="16"/>
          <w:color w:val="auto"/>
        </w:rPr>
        <w:t>, in this Annual Report on Form 10-K.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Our wholly owned and our in-licensed patents and patent applications cover various aspects of our base editing platform and our programs, including:</w:t>
      </w:r>
    </w:p>
    <w:p>
      <w:pPr>
        <w:spacing w:after="0" w:line="127"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C-to-T DNA base editors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A-to-G DNA base editors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A-to-I RNA base editors, or REPAIR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C-to-U RNA base editors, or RESCUE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CRISPR/Cas12b systems for nuclease editing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Novel guide RNA sequences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Systems and methods for increasing the specificity of base editing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Multiplex base editing in immune cells </w:t>
      </w:r>
      <w:r>
        <w:rPr>
          <w:rFonts w:ascii="Arial" w:cs="Arial" w:eastAsia="Arial" w:hAnsi="Arial"/>
          <w:sz w:val="18"/>
          <w:szCs w:val="18"/>
          <w:i w:val="1"/>
          <w:iCs w:val="1"/>
          <w:color w:val="auto"/>
        </w:rPr>
        <w:t>ex vivo</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Methods for evaluating base editing specificity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Therapeutic methods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Delivery modality</w:t>
      </w:r>
    </w:p>
    <w:p>
      <w:pPr>
        <w:spacing w:after="0" w:line="10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also have an option to license patents and patent applications relating to CRISPR/Cas9 systems. We intend to continue to pursue, when possible, additional patent protection, including composition of matter, method of use, and process claims, directed to each component of our platform technology and the programs in our portfolio. We also intend to obtain rights to delivery modalities through one or more licenses from third parties and to protect our own intellectual property to delivery modalities.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1" w:name="page22"/>
    <w:bookmarkEnd w:id="21"/>
    <w:p>
      <w:pPr>
        <w:ind w:right="20"/>
        <w:spacing w:after="0" w:line="253" w:lineRule="auto"/>
        <w:rPr>
          <w:sz w:val="20"/>
          <w:szCs w:val="20"/>
          <w:color w:val="auto"/>
        </w:rPr>
      </w:pPr>
      <w:r>
        <w:rPr>
          <w:rFonts w:ascii="Arial" w:cs="Arial" w:eastAsia="Arial" w:hAnsi="Arial"/>
          <w:sz w:val="17"/>
          <w:szCs w:val="17"/>
          <w:color w:val="auto"/>
        </w:rPr>
        <w:t xml:space="preserve">As of December 31, 2021, we owned approximately two U.S. patents, 42 pending U.S. provisional patent applications, 24 pending U.S. patent applications, 14 pending international patent applications, or PCT applications, and 128 pending ex-U.S. patent applications. The patent applications outside of the United States were filed in Australia, Brazil, Canada, China, Europe, Hong Kong, India, Japan, Korea, Singapore and South Africa. Our owned patent applications are related to our DNA base editing technology, as further described below, including claims to base editor variants with enhanced activities (e.g., nucleobase deaminating activity) or novel properties (e.g., PAM recognition), methods of using such base editors, methods of using such base editors for therapeutic indications, multiplex base editing in immune cells </w:t>
      </w:r>
      <w:r>
        <w:rPr>
          <w:rFonts w:ascii="Arial" w:cs="Arial" w:eastAsia="Arial" w:hAnsi="Arial"/>
          <w:sz w:val="17"/>
          <w:szCs w:val="17"/>
          <w:i w:val="1"/>
          <w:iCs w:val="1"/>
          <w:color w:val="auto"/>
        </w:rPr>
        <w:t>ex vivo</w:t>
      </w:r>
      <w:r>
        <w:rPr>
          <w:rFonts w:ascii="Arial" w:cs="Arial" w:eastAsia="Arial" w:hAnsi="Arial"/>
          <w:sz w:val="17"/>
          <w:szCs w:val="17"/>
          <w:color w:val="auto"/>
        </w:rPr>
        <w:t>, guide RNAs that target base editors to therapeutically relevant DNA sequences, and methods for evaluating base editing specificity. Some aspects of our owned patent applications are related to viral and non-viral delivery technologies, as further detailed below. One of the PCT applications is co-owned with Broad Institute and President and Fellows of Harvard College, or Harvard. If issued as U.S. patents, and if the appropriate maintenance fees are paid, the U.S. patents would be expected to expire between 2039 and 2043, excluding any additional term for patent term adjustments or patent term extensions.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DNA base editing</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Beam’s owned portfolio includes approximately two U.S. patents, 21 pending U.S. patent applications, 13 pending U.S. provisional patent applications, 116 pending ex-U.S. patent applications and five pending PCT applications directed to DNA base editing. As of December 31, 2021, we in-licensed approximately 11 U.S. patents, 16 pending U.S. patent applications, 30 ex-U.S. patents, and 96 pending ex-U.S. patent applications, related to DNA base editing from Broad Institute, Harvard, Editas Medicine Inc., or Editas, and Bio Palette Co., Ltd., or Bio Palette. The patents and patent applications outside of the United States were filed in jurisdictions including Australia, Canada, China, Europe, Hong Kong, India, Israel, Japan and Korea. The patents and applications from our in-licensed portfolio for DNA base editing include claims to novel base editors, claims to engineered deaminase enzymes (e.g., evolved TadA) used in the base editors, compositions including the base editor or engineered deaminase as a component, methods of using such base editors, including methods of using such base editors for therapeutic indications, guide RNAs that target base editors to therapeutically relevant DNA sequences. The in-licensed patents and applications also cover various aspects related to the platform technology, including base editing systems that employ </w:t>
      </w:r>
      <w:r>
        <w:rPr>
          <w:rFonts w:ascii="Arial" w:cs="Arial" w:eastAsia="Arial" w:hAnsi="Arial"/>
          <w:sz w:val="16"/>
          <w:szCs w:val="16"/>
          <w:i w:val="1"/>
          <w:iCs w:val="1"/>
          <w:color w:val="auto"/>
        </w:rPr>
        <w:t>S. pyogenes</w:t>
      </w:r>
      <w:r>
        <w:rPr>
          <w:rFonts w:ascii="Arial" w:cs="Arial" w:eastAsia="Arial" w:hAnsi="Arial"/>
          <w:sz w:val="16"/>
          <w:szCs w:val="16"/>
          <w:color w:val="auto"/>
        </w:rPr>
        <w:t xml:space="preserve"> Cas9, </w:t>
      </w:r>
      <w:r>
        <w:rPr>
          <w:rFonts w:ascii="Arial" w:cs="Arial" w:eastAsia="Arial" w:hAnsi="Arial"/>
          <w:sz w:val="16"/>
          <w:szCs w:val="16"/>
          <w:i w:val="1"/>
          <w:iCs w:val="1"/>
          <w:color w:val="auto"/>
        </w:rPr>
        <w:t>S. aureus</w:t>
      </w:r>
      <w:r>
        <w:rPr>
          <w:rFonts w:ascii="Arial" w:cs="Arial" w:eastAsia="Arial" w:hAnsi="Arial"/>
          <w:sz w:val="16"/>
          <w:szCs w:val="16"/>
          <w:color w:val="auto"/>
        </w:rPr>
        <w:t xml:space="preserve"> Cas9, Cas9 PAM variants, inactive forms of Cas9, and/or Cas9 nickases, and systems for delivery of base editors. Our current in-licensed patents and patent applications on DNA base editing, if the appropriate maintenance fees are paid, are expected to expire between 2034 and 2038, excluding any additional term for patent term adjustments or patent term extensions (or the corresponding foreign equivalent).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 Base Editing</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of December 31, 2021, we in-licensed approximately one U.S. patent, 17 pending U.S. patent applications, five ex-U.S. patents, and 66 pending ex-U.S. patent applications, related to RNA base editing from Broad Institute. The patents and patent applications outside of the United States were filed in jurisdictions including Australia, Canada, China, Europe, Hong Kong, India, Israel, Japan, Korea and Russia. The patents and applications from our in-licensed portfolio for RNA base editing include claims to novel base editors, compositions including the base editor as a component, guide RNAs that target base editors to therapeutically relevant RNA sequences, and methods of using such base editors, including methods of using such base editors for therapeutic indications. Our current in-licensed patents and patent applications on RNA base editing, if the appropriate maintenance fees are paid, are expected to expire between 2036 and 2038, excluding any additional term for patent term adjustments or patent term extensions (or the corresponding foreign equivalent).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CRISPR/Cas12b</w:t>
      </w:r>
    </w:p>
    <w:p>
      <w:pPr>
        <w:spacing w:after="0" w:line="10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As of December 31, 2021, we in-licensed approximately one U.S. patent, six pending U.S. patent applications, and 15 pending ex-U.S. patent applications, related to editing using Cas12b from Broad Institute. The patents and patent applications outside of the United States were filed in jurisdictions including Australia, Canada, China, Europe, Hong Kong, Japan, Korea and Russia. The patents and applications from our in-licensed portfolio for Cas12b editing include claims to methods of using Cas12b to modify DNA (e.g., nuclease cleavage of DNA) and engineered and/or non-naturally occurring compositions including Cas12b as a component. Our current in-licensed patents and patent applications on Cas12b base editing, if the appropriate maintenance fees are paid, are expected to expire between 2036 and 2039, excluding any additional term for patent term adjustments or patent term extensions (or the corresponding foreign equivalent).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Delivery technologies</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Beam’s owned portfolio includes approximately four pending U.S. patent applications, 18 pending U.S. provisional patent applications, 11 pending ex-U.S. patent applications and five pending PCT applications directed to delivery technologies. As of December 31, 2021, we in-licensed approximately six U.S. patents, five pending U.S. patent applications, 11 ex-U.S. patents, 31 pending ex-U.S. patent applications and three pending PCT applications related to viral and non-viral based delivery technologies. The patents and patent applications outside of the United States were filed in jurisdictions including Australia, Canada, China, Europe, Hong Kong, India, Israel, Japan, Korea, New Zealand and Singapore. The patents and applications from our in-licensed portfolio for delivery technologies include claims to novel lipid-based delivery systems and compositions, viral-based delivery systems and compositions, and methods of using such systems and compositions to deliver base editors. Our current in-licensed patents and patent applications on delivery technologies, if the appropriate maintenance fees are paid, are expected to expire between 2034 and 2040, excluding any additional term for patent term adjustments or patent term extensions (or the corresponding foreign equivalent).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platform</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As of December 31, 2021, we in-licensed approximately 12 U.S. patents, eight pending U.S. patent applications, 22 ex-U.S. patents, and 26 pending ex-U.S. patent applications, related to the balance of our platform from universities and institutions. The patents and patent applications outside of the United States were filed in jurisdictions including Australia, Canada, China, Europe, Hong Kong, Japan, Korea and New Zealand. The patents and applications from our in-licensed portfolio for the balance of our platform include claims to compositions and methods for delivery of charged base editor proteins into cells, modification and improvements to the base editing systems including improvements to the nucleotide binding protein component, guide RNA component and base editing enzyme component of the base editing complex, methods for evaluating gene targeting and base editing efficiency and compositions and methods for prime editing. Our current in-licensed patents and patent applications on the balance of our platform, if the appropriate maintenance fees are paid, are expected to expire between 2034 and 2039, excluding any additional term for patent term adjustments or patent term extensions (or the corresponding foreign equivalent).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CRISPR/Cas9 and CRISPR/Cas12a</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 xml:space="preserve">We have a nonexclusive license to conduct research activities and an option to exclusively license certain patents and patent applications directed to Cas9 and Cas12a from Editas, who in turn has licensed such patents from various academic institutions. In the case of Cas9, a number of the U.S. patents are subject to an interference declared by the Patent and Trademark office, and a number of the European patents are the subject of one or more oppositions. For more information regarding the risks related to our intellectual property, please see Item 1., </w:t>
      </w:r>
      <w:r>
        <w:rPr>
          <w:rFonts w:ascii="Arial" w:cs="Arial" w:eastAsia="Arial" w:hAnsi="Arial"/>
          <w:sz w:val="17"/>
          <w:szCs w:val="17"/>
          <w:i w:val="1"/>
          <w:iCs w:val="1"/>
          <w:color w:val="auto"/>
        </w:rPr>
        <w:t>Business—Intellectual property—Intellectual 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licenses </w:t>
      </w:r>
      <w:r>
        <w:rPr>
          <w:rFonts w:ascii="Arial" w:cs="Arial" w:eastAsia="Arial" w:hAnsi="Arial"/>
          <w:sz w:val="17"/>
          <w:szCs w:val="17"/>
          <w:color w:val="auto"/>
        </w:rPr>
        <w:t>and Item 1A.,</w:t>
      </w:r>
      <w:r>
        <w:rPr>
          <w:rFonts w:ascii="Arial" w:cs="Arial" w:eastAsia="Arial" w:hAnsi="Arial"/>
          <w:sz w:val="17"/>
          <w:szCs w:val="17"/>
          <w:i w:val="1"/>
          <w:iCs w:val="1"/>
          <w:color w:val="auto"/>
        </w:rPr>
        <w:t xml:space="preserve"> Risk factors—Risks related to our intellectual property</w:t>
      </w:r>
      <w:r>
        <w:rPr>
          <w:rFonts w:ascii="Arial" w:cs="Arial" w:eastAsia="Arial" w:hAnsi="Arial"/>
          <w:sz w:val="17"/>
          <w:szCs w:val="17"/>
          <w:color w:val="auto"/>
        </w:rPr>
        <w:t>, in this Annual Report on Form 10-K.</w:t>
      </w:r>
    </w:p>
    <w:p>
      <w:pPr>
        <w:spacing w:after="0" w:line="6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In the United States, a patent’s term may, in certain cases, be lengthened by patent term adjustment, or PTA, which compensates a patentee for administrative delays by the USPTO in examining and granting a patent, or may be shortened (e.g</w:t>
      </w:r>
      <w:r>
        <w:rPr>
          <w:rFonts w:ascii="Arial" w:cs="Arial" w:eastAsia="Arial" w:hAnsi="Arial"/>
          <w:sz w:val="16"/>
          <w:szCs w:val="16"/>
          <w:i w:val="1"/>
          <w:iCs w:val="1"/>
          <w:color w:val="auto"/>
        </w:rPr>
        <w:t>.</w:t>
      </w:r>
      <w:r>
        <w:rPr>
          <w:rFonts w:ascii="Arial" w:cs="Arial" w:eastAsia="Arial" w:hAnsi="Arial"/>
          <w:sz w:val="16"/>
          <w:szCs w:val="16"/>
          <w:color w:val="auto"/>
        </w:rPr>
        <w:t xml:space="preserve">, if a patent is terminally disclaimed over a commonly owned patent having an earlier expiration date). In some instances, such a PTA may result in a U.S. patent term extending beyond 20 years from the earliest date of filing a non-provisional patent application related to the U.S. patent. Patent term extensions, or PTE, under the Drug Price Competition and Patent Term Restoration Act of 1984, commonly known as the Hatch-Waxman Act, are also possible for patents that cover an FDA-approved drug as compensation for the patent term lost during the FDA regulatory review process. The Hatch-Waxman Act permits a PTE of up to five years beyond the expiration of the patent. The length of the PTE is related to the length of time the drug is under regulatory review. PTE cannot extend the remaining term of a patent beyond a total of 14 years from the date of product approval and only one patent applicable to an approved drug, a method for using it, or a method of manufacturing it, may be extended. Similar provisions are available in Europe and certain other jurisdictions to extend the term of a patent that covers an approved drug. In the future, if our products receive regulatory approval, we may be eligible to apply for PTEs on patents covering such products, however there is no guarantee that the applicable authorities, including the FDA in the United States, will agree with our assessment of whether such PTE should be granted, and if granted, the length of such PTE. For more information regarding the risks related to our intellectual property, please see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factors—Risks related to our Intellectual property</w:t>
      </w:r>
      <w:r>
        <w:rPr>
          <w:rFonts w:ascii="Arial" w:cs="Arial" w:eastAsia="Arial" w:hAnsi="Arial"/>
          <w:sz w:val="16"/>
          <w:szCs w:val="16"/>
          <w:color w:val="auto"/>
        </w:rPr>
        <w:t>, in this Annual Report on Form 10-K.</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3" w:name="page24"/>
    <w:bookmarkEnd w:id="23"/>
    <w:p>
      <w:pPr>
        <w:ind w:right="100"/>
        <w:spacing w:after="0" w:line="254" w:lineRule="auto"/>
        <w:rPr>
          <w:sz w:val="20"/>
          <w:szCs w:val="20"/>
          <w:color w:val="auto"/>
        </w:rPr>
      </w:pPr>
      <w:r>
        <w:rPr>
          <w:rFonts w:ascii="Arial" w:cs="Arial" w:eastAsia="Arial" w:hAnsi="Arial"/>
          <w:sz w:val="17"/>
          <w:szCs w:val="17"/>
          <w:color w:val="auto"/>
        </w:rPr>
        <w:t xml:space="preserve">We also rely on trade secrets, know-how, continuing technological innovation, and confidential information to develop and maintain our proprietary position and protect aspects of our business that are not amenable to, or that we do not consider appropriate for, patent protection.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implemented measures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our intellectual property, please see Item 1A., </w:t>
      </w:r>
      <w:r>
        <w:rPr>
          <w:rFonts w:ascii="Arial" w:cs="Arial" w:eastAsia="Arial" w:hAnsi="Arial"/>
          <w:sz w:val="17"/>
          <w:szCs w:val="17"/>
          <w:i w:val="1"/>
          <w:iCs w:val="1"/>
          <w:color w:val="auto"/>
        </w:rPr>
        <w:t>Risk factors—Risks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our intellectual property</w:t>
      </w:r>
      <w:r>
        <w:rPr>
          <w:rFonts w:ascii="Arial" w:cs="Arial" w:eastAsia="Arial" w:hAnsi="Arial"/>
          <w:sz w:val="17"/>
          <w:szCs w:val="17"/>
          <w:color w:val="auto"/>
        </w:rPr>
        <w:t>, in this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0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As of December 31, 2021, we owned approximately two pending U.S. trademarks applications with the Patent and Trademark Office for BEAM THERAPEUTICS and BEAM THERAPEUTICS and design, twelve ex-U.S. registered trademarks for BEAM THERAPEUTICS and BEAM THERAPEUTICS and design, and five ex-U.S. pending trademark applications for BEAM THERAPEUTICS and BEAM THERAPEUTICS and design.</w:t>
      </w:r>
    </w:p>
    <w:p>
      <w:pPr>
        <w:spacing w:after="0" w:line="3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2021, we in-licensed approximately two pending U.S. trademarks, ten allowed/registered ex-U.S. trademarks, and seven pending ex-U.S. trademark applications, for the use of REPAIR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RESCUE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from Broad Institute.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9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are a party to a number of license agreements under which we license patents, patent applications, and other intellectual property from third parties. The licensed intellectual property covers, in part, CRISPR-related compositions of matter and their use for base editing. These licenses impose various diligence and financial payment obligations on us. We expect to continue to enter into these types of license agreements in the future. We consider the following license agreements to be material to our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President and Fellows of Harvard College</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June 2017, we entered into a license agreement with Harvard, as amended, or the Harvard License Agreement, pursuant to which we received an exclusive, worldwide, royalty-bearing, sublicensable license under certain patent rights owned or controlled by Harvard to make, have made, offer for sale, sell, have sold and import licensed products in the field of the prevention or treatment of any and all human diseases and conditions, excluding human germline modification and products for non-human animal and plant applications. We also received a non-exclusive, worldwide, royalty-bearing, sublicensable license to research, have researched, develop and have developed “enabled” products related to the Harvard patent rights which are not licensed products.</w:t>
      </w:r>
    </w:p>
    <w:p>
      <w:pPr>
        <w:spacing w:after="0" w:line="8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licensed patents are directed, among other things, to C-to-T, A-to-G, and C-to-G base editors, for the treatment of certain diseases and conditions and to base editing, more generally.</w:t>
      </w:r>
    </w:p>
    <w:p>
      <w:pPr>
        <w:spacing w:after="0" w:line="63"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Under the Harvard License Agreement, we are required to use commercially reasonable efforts to develop products incorporating the base editing technology covered in the licensed patents, in accordance with a development plan that we prepared and submitted to Harvard. The development plan includes certain development milestones that we are required to meet, as well as the timelines for the completion thereof, and we may update the development plan from time to time as we believe necessary, in our good faith judgment, for us to meet such milestones. If we are successfully able to gain regulatory approval in any country to introduce a licensed product into the commercial market in such country, then we are also required to use commercially reasonable efforts to commercialize such licensed product and make such licensed product reasonably available to the public. If we fail to meet any of the deadlines for the development milestones, then Harvard may, depending on the nature of the failure and the impacted milestones, either terminate the Harvard License Agreement or our licenses with respect to the applicable licensed product(s), subject to certain exceptions and opportunities for us to cure such failure. Additionally, we are required to initiate a discovery program in accordance with the development plan and development milestones for the development of a licensed product covered by certain sub-categories of licensed patents. Failure to achieve milestones with respect to such sub-categories gives Harvard the right to grant third parties non-exclusive licenses under such failed sub-categories.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ind w:right="20"/>
        <w:spacing w:after="0" w:line="252" w:lineRule="auto"/>
        <w:rPr>
          <w:sz w:val="20"/>
          <w:szCs w:val="20"/>
          <w:color w:val="auto"/>
        </w:rPr>
      </w:pPr>
      <w:r>
        <w:rPr>
          <w:rFonts w:ascii="Arial" w:cs="Arial" w:eastAsia="Arial" w:hAnsi="Arial"/>
          <w:sz w:val="17"/>
          <w:szCs w:val="17"/>
          <w:color w:val="auto"/>
        </w:rPr>
        <w:t>The licenses granted to us under the Harvard License Agreement are expressly subject to certain preexisting rights held by Harvard and certain third parties. For example, certain of the licensed patents were developed by employees of the Howard Hughes Medical Institute and were subsequently assigned to Harvard but remain subject to a non-exclusive license between Harvard and Howard Hughes, pursuant to which Howard Hughes received a license from Harvard under certain of the licensed patents for research purposes with the right to sublicense to non-profit and governmental entities. In addition, certain of the licensed patents claim or cover inventions resulting from research that was sponsored by the U.S. government, and the U.S. government retains certain rights with respect to such licensed patents under applicable U.S. law. Harvard additionally retains limited rights for itself and for other non-profit research organizations to practice the licensed patents for research, educational, and scholarly purposes. Furthermore, Harvard retains the right, beginning a certain period of time after regulatory approval of any licensed product in the U.S. or certain European countries, to grant third parties the non-exclusive right to develop, manufacture, have manufactured, import, have imported, offer for sale, sell, have sold or otherwise distribute or have distributed such licensed product or an equivalent thereof solely for sale on a locally-affordable basis in certain specified developing countries in which we do not have plans to seek regulatory approval.</w:t>
      </w:r>
    </w:p>
    <w:p>
      <w:pPr>
        <w:spacing w:after="0" w:line="78"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Although the licenses granted to us under the Harvard License Agreement are exclusive, Harvard may grant a license to a third party under the licensed patents to research, develop, and commercialize a product directed to one or more particular targets, or a proposed product, in the field under limited circumstances. If a third party that is not a specified competitor of ours inquires with Harvard for such a license, and then attempts to enter into a sublicense agreement with us after being referred to us by Harvard and fails to do so after a certain period of time and presents to Harvard a proposal including certain information describing the proposed development and commercialization of such product, then Harvard may notify us of such proposal. If we are not researching, developing or commercializing such a proposed product, then we can notify Harvard as to whether we are interested in developing such proposed product, entering into a sublicense agreement with such third party to develop such proposed product, or entering into a sublicense with another third party to develop the same proposed product. If we inform Harvard that we are interested in developing such proposed product, then we will prepare a development plan, similar in scope to the development plan under the Harvard License Agreement, to develop such proposed product. If we inform Harvard that we are interested in entering into a sublicense agreement pursuant to which a third party would receive a sublicense from us under the licensed patents to develop such proposed product, then we will have a specified period of time to enter into such a sublicense agreement and provide reasonable evidence thereof. If we are not researching, developing, or commercializing such a proposed product, fail to provide a development plan, or fail to enter into a sublicense agreement with respect to such proposed product, in each case, within specified time periods, then Harvard may grant a license to the applicable third party under the licensed patents to research, develop, and commercialize such proposed product.</w:t>
      </w:r>
    </w:p>
    <w:p>
      <w:pPr>
        <w:spacing w:after="0" w:line="6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We are permitted to further sublicense our rights under the Harvard License Agreement to third parties, provided that any such sublicense agreement with a third party must remain in compliance with and be consistent with the terms of the Harvard License Agreement, and certain rights granted to us under the Harvard License Agreement can only be sublicensed to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collaboration partners who are working with us to develop one or more licensed products. In addition, any such sublicense agreement must include certain provisions to ensure our ability to comply with the Harvard License Agreement. We are also responsible for any breaches of a sublicense agreement by the applicable sublicensee, if such breach results in a material breach of the Harvard License Agreement, provided that if we cure the breach or diligently enforce our rights to terminate the sublicense, we will not be subject to termination by Harvard for the sublicensee’s breach, even if it resulted in a material breach of the Harvard Agreement.</w:t>
      </w:r>
    </w:p>
    <w:p>
      <w:pPr>
        <w:spacing w:after="0" w:line="7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exchange for the licenses granted to us under the Harvard License Agreement, we initially issued to Harvard 101,363 shares of our common stock and subsequently issued 765,549 shares of our common stock pursuant to anti-dilution rights in the Harvard License Agreement. We are also required to pay to Harvard an annual license maintenance fee ranging from low-to-mid five figures to low six figures, depending on the particular calendar year. Harvard is also entitled to receive potential clinical and regulatory milestones in the mid-to-high eight figure range. If we undergo a change of control during the term of the Harvard License Agreement, then certain of the milestone payments would be increased. We paid Harvard a total of $9.0 million upon the completion of our Series A and Series B financings.</w:t>
      </w:r>
    </w:p>
    <w:p>
      <w:pPr>
        <w:spacing w:after="0" w:line="6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May 2021, the first success payment measurement occurred and amounts due to Harvard were calculated to be $15.0 million. We elected to make the payment in shares of our common stock and issued 174,825 shares of our common stock to settle this liability on June 10, 2021. We may additionally owe Harvard success payments of up to an additional $90.0 million.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5" w:name="page26"/>
    <w:bookmarkEnd w:id="25"/>
    <w:p>
      <w:pPr>
        <w:ind w:right="80"/>
        <w:spacing w:after="0" w:line="271" w:lineRule="auto"/>
        <w:rPr>
          <w:sz w:val="20"/>
          <w:szCs w:val="20"/>
          <w:color w:val="auto"/>
        </w:rPr>
      </w:pPr>
      <w:r>
        <w:rPr>
          <w:rFonts w:ascii="Arial" w:cs="Arial" w:eastAsia="Arial" w:hAnsi="Arial"/>
          <w:sz w:val="16"/>
          <w:szCs w:val="16"/>
          <w:color w:val="auto"/>
        </w:rPr>
        <w:t>With respect to the sale of licensed products by us, our affiliates or our sublicensees, Harvard is entitled to receive low single digit royalties on net sales of licensed products until, on a country-by-country basis, the latest of the expiration of (i) the last to expire valid claim of a licensed patent covering the applicable licensed product, (ii) the period of exclusivity associated with such licensed product in such country or (iii) a certain number of years after the first commercial sale of such licensed product in such country. We are entitled to certain reductions and offsets on these royalties with respect to a licensed product in a given country and certain increases in the event we, our affiliates or sublicensees bring patent challenges relating to any licensed patents (subject to an ability to delay and/or avoid such increases by diligently seeking to terminate and/or terminating the sublicense that has taken the applicable action). If we sublicense our rights to develop or commercialize a licensed product under the Harvard License Agreement to a third party and we receive non-royalty sublicense income, then Harvard is entitled to a percentage of such consideration, ranging from the high single digits to an amount in the first decile depending on the date in which such sublicense agreement is executed and the stage of development our licensed products at such time.</w:t>
      </w:r>
    </w:p>
    <w:p>
      <w:pPr>
        <w:spacing w:after="0" w:line="61"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Harvard is responsible for the prosecution and maintenance of all licensed patents, provided that we have customary consultation, comment, and review rights with respect to such prosecution and maintenance activities. We are responsible for Harvard’s documented out-of-pocket expenses with respect to such prosecution and maintenance, but if Harvard enters into a license agreement with a third party pursuant to which it grants such third party a license under the licensed patents outside of our field, then Harvard must use reasonable efforts to include a provision in such agreement that provides for an apportionment of prosecution and maintenance costs between us and such third party with respect to such licensed patents. If we choose to no longer pay for the prosecution and maintenance costs of a given licensed patent, then we will be relieved of such payment obligation, but our license with respect to such licensed patent will also terminate.</w:t>
      </w:r>
    </w:p>
    <w:p>
      <w:pPr>
        <w:spacing w:after="0" w:line="7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Unless earlier terminated, the Harvard License Agreement will remain in effect until the later of the last-to-expire valid claim of the licensed patents or the end of the last to expire royalty term. We may terminate the Harvard License Agreement at our convenience following written notice to Harvard. Either party may terminate the Harvard License Agreement for a material breach of the other party, subject to a notice and cure period. Harvard may also terminate the Harvard License Agreement in the event of our bankruptcy or insolvency or if we fail to procure and maintain insurance. Upon expiration or termination of the Harvard License Agreement, the licenses granted to us will terminate and all rights under the licensed patent rights will revert to Harvard.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Editas Medicine, Inc.</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May 2018, we entered into a license agreement, or the Editas License Agreement, with Editas pursuant to which we received an exclusive (even as to Editas), royalty-bearing, sublicensable, worldwide license under certain patent rights owned or controlled by Editas related to certain base editing technologies and CRISPR technology to develop, commercialize, make, have made, use, offer for sale, sell and import certain base editing products for the treatment of human diseases or conditions. The license we received is non-exclusive with respect to certain specified targets. Our licensed field excludes the treatment of certain diseases and certain fields of use that have already been licensed to other partners of Editas, provided that our licensed field may expand if the fields licensed to other Editas partners are reduced or are otherwise modified as a result of any termination, expiration, or amendment to Editas’ agreements with such partners. In addition, we received a royalty-free, non-sublicensable, non-exclusive license under a separate set of patent rights owned or controlled by Editas to conduct research activities in our licensed field and for which we have an option to obtain an exclusive license from Editas.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Certain of the patents licensed to us under the Editas License Agreement were licensed to Editas from Broad Institute and Harvard and certain of the patents for which we have an option to obtain a license were licensed to Editas from the Massachusetts General Hospital, or MGH. Accordingly, the licenses granted to us under the Editas License Agreement are subject to the terms and conditions set forth in each of the license agreements concerning the licensed patents between Broad Institute, Harvard and Editas, or the Broad/Harvard Head Licenses, and each of the license agreements concerning the patents for which we have an option to obtain a license between MGH and Editas, or the MGH Head Licenses.</w:t>
      </w:r>
    </w:p>
    <w:p>
      <w:pPr>
        <w:spacing w:after="0" w:line="6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As described above, Editas granted us an exclusive option to obtain an exclusive license under certain patents on a patent family-by-patent family basis. If we so exercise the option with respect to a patent family of such optioned patents, then we would receive an exclusive license to such patent family of the same scope as the other patents exclusively licensed to us under the Editas License Agreement. In order to exercise an option with respect to a patent family of these optioned patents we would pay an eight-figure option exercise fee, depending on the date in which particular option is exercised.</w:t>
      </w:r>
    </w:p>
    <w:p>
      <w:pPr>
        <w:spacing w:after="0" w:line="4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Under the Editas License Agreement, we are required to use commercially reasonable efforts to develop a licensed product in our licensed field in each of the United States, Japan, the United Kingdom, or U.K., Germany, France, Italy and Spain, including filing the first IND for a licensed product within a certain period of time following the execution of the Editas License Agreement. If we are successfully able to gain regulatory approval in any country for a licensed product, then we are also required to use commercially reasonable efforts to commercialize such licensed product in such country. We also have sole control and responsibility over all regulatory activities with respect to the development of licensed products.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26" w:name="page27"/>
    <w:bookmarkEnd w:id="26"/>
    <w:p>
      <w:pPr>
        <w:ind w:right="20"/>
        <w:spacing w:after="0" w:line="272" w:lineRule="auto"/>
        <w:rPr>
          <w:sz w:val="20"/>
          <w:szCs w:val="20"/>
          <w:color w:val="auto"/>
        </w:rPr>
      </w:pPr>
      <w:r>
        <w:rPr>
          <w:rFonts w:ascii="Arial" w:cs="Arial" w:eastAsia="Arial" w:hAnsi="Arial"/>
          <w:sz w:val="16"/>
          <w:szCs w:val="16"/>
          <w:color w:val="auto"/>
        </w:rPr>
        <w:t>We are permitted to further sublicense certain of our rights under the Editas License Agreement to third parties, provided that any such sublicense agreement with a third party must remain in compliance with and be consistent with the terms of the Editas License Agreement and the Broad/Harvard Head Licenses and MGH Head Licenses, as applicable. We are also responsible for any breaches of a sublicense agreement by the applicable sublicensee and are responsible for all payments due under the Editas License Agreement by operation of any such sublicense. Following the signing of the Editas License Agreement, we obtained the right to further sublicense our rights the licensed patents from Broad Institute and Harvard to third parties, provided that we comply with certain sublicensing requirements under each of the Broad/Harvard Head Licenses as if we were Editas, as well as certain other customary conditions. We have not obtained any such right from MGH allowing us to further sublicense our rights under the licensed patents from MGH to third parties and will require written consent in the event we wish to further sublicense such rights to a third party.</w:t>
      </w:r>
    </w:p>
    <w:p>
      <w:pPr>
        <w:spacing w:after="0" w:line="6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Upon the execution of the Editas License Agreement, we paid Editas an upfront fee of $180,000. We also issued to Editas 1,833,333 shares of our Series A-1 Preferred Stock and 1,222,222 shares of our Series A-2 Preferred Stock. In addition, if any of our commercial, regulatory, development or sales activities with respect to the licensed products triggers a milestone payment or sublicense income that Editas owes under the Broad/Harvard Head Licenses or the MGH Head Licenses, then we are required to pay Editas the full amount of such milestone payment or sublicense income, as applicable; provided that we will not pay Editas for any sublicense income due as a result of the upfront fee we paid to Editas, our issuance of Series A-1 Preferred Stock and Series A-2 Preferred Stock to Editas, or our payment of any option exercise fee to Editas. Aggregate milestone amounts under the Editas License Agreement could equal up to $68.8 million for each product developed and commercialized using rights related to certain base editing technologies and CRISPR technology; in the event we develop and commercialize products covered by claims from the additional patent families licensed or optioned to us under the Editas License Agreement, aggregate milestone payments could equal up to $74.0 million per product. The percentage of sublicense income we would owe under the Editas License Agreement ranges from none to amounts between 10% and 20%. In addition, we agreed to pay for a portion of the annual license maintenance fees and prosecution and maintenance costs that Editas incurs itself or owes under the Broad /Harvard Head Licenses and the MGH Head Licenses with respect to the licensed patents. The upfront fee, equity issuance, and option exercise payments we make to Editas under the Editas License Agreement constitute both consideration for the licenses granted to us under the Editas License Agreement and reimbursement for prosecution and maintenance costs for the licensed patents.</w:t>
      </w:r>
    </w:p>
    <w:p>
      <w:pPr>
        <w:spacing w:after="0" w:line="8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With respect to the sale of licensed products by us, our affiliates or our sublicensees, we are required to pay to Editas an amount equal to the royalty rates that it owes to Broad Institute, Harvard, or MGH under its applicable in-licenses, plus an additional low- to mid-single digit royalty on net sales of licensed products, depending on whether such licensed product is covered by an Editas-owned patent and based on the aggregate worldwide net sales of licensed products in a given calendar year. We are entitled to certain reductions and offsets on these royalties with respect to a licensed product in a given country and if Editas is entitled to receive any reductions or offsets in respect to its royalty payment obligations under the relevant Broad/Harvard Head Licenses or MGH Head Licenses, then Editas will use reasonable efforts to avail itself of such reductions, which in turn would reduce our royalty payment obligations under the Editas License Agreement. The royalty term expires on licensed product-by-licensed product and country-by-country basis upon the later of (i) the last-to-expire royalty term in such country under any applicable Broad/Harvard Head License or MGH Head License, and, if such product is covered by a licensed Editas-owned patent, (ii) the date at which such product is no longer covered by a valid claim of a licensed Editas-owned patent in such country.</w:t>
      </w:r>
    </w:p>
    <w:p>
      <w:pPr>
        <w:spacing w:after="0" w:line="61"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As between the parties, Editas is responsible for the prosecution and maintenance of all licensed patents, provided that we have certain information, comment, and review rights for certain of the licensed patents.</w:t>
      </w:r>
    </w:p>
    <w:p>
      <w:pPr>
        <w:spacing w:after="0" w:line="6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Unless earlier terminated, the Editas License Agreement will expire on a licensed product-by-licensed product and country-by-country basis on the expiration of the applicable royalty term with respect to such licensed product in such country. We may terminate the Editas License Agreement on written notice to Editas subject to a specified notice period. Either party may terminate the Editas License Agreement for a material breach of the other party, subject to a notice and cure period. Editas may also terminate the Editas License Agreement if we challenge the validity of any of the licensed patents, subject to customary carveouts. Upon expiration or termination of the Editas License Agreement in its entirety or with respect to a family of patents, the licenses granted to us will immediately terminate in its entirety or solely with respect to the expired or terminated patent family, as the case may be; however, if we have the right to terminate the Editas License Agreement due to Editas’ material breach of the Editas License Agreement, then in lieu of so terminating the Editas License Agreement, we can elect to reduce our royalty payment obligations under the Editas License Agreement by certain specified percentages.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Broad Institute, Inc.</w:t>
      </w:r>
    </w:p>
    <w:p>
      <w:pPr>
        <w:spacing w:after="0" w:line="104"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May 2018, our affiliate, Blink Therapeutics Inc., or Blink, entered into a license agreement, as amended, or the Broad License Agreement, with Broad Institute. In September 2021, Blink merged with and into Beam, such that Blink’s separate corporate existence ceased and Beam continued as the surviving corporation and the successor by merger to the Broad License Agreement with respect to Blink. Under the Broad License Agreement, and as further detailed below, we received certain rights to RNA base editing technology, including the RNA editor platforms RESCUE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REPAIR</w:t>
      </w:r>
      <w:r>
        <w:rPr>
          <w:rFonts w:ascii="Arial" w:cs="Arial" w:eastAsia="Arial" w:hAnsi="Arial"/>
          <w:sz w:val="24"/>
          <w:szCs w:val="24"/>
          <w:color w:val="auto"/>
          <w:vertAlign w:val="superscript"/>
        </w:rPr>
        <w:t>™</w:t>
      </w:r>
      <w:r>
        <w:rPr>
          <w:rFonts w:ascii="Arial" w:cs="Arial" w:eastAsia="Arial" w:hAnsi="Arial"/>
          <w:sz w:val="18"/>
          <w:szCs w:val="18"/>
          <w:color w:val="auto"/>
        </w:rPr>
        <w:t>, which use Cas13 linked to a deaminase to deliver single base A-to-I or C-to-U editing of RNA transcripts, respectively, as well as the Cas12b nuclease family of gene editing enzymes.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ind w:right="20"/>
        <w:spacing w:after="0" w:line="274" w:lineRule="auto"/>
        <w:rPr>
          <w:sz w:val="20"/>
          <w:szCs w:val="20"/>
          <w:color w:val="auto"/>
        </w:rPr>
      </w:pPr>
      <w:r>
        <w:rPr>
          <w:rFonts w:ascii="Arial" w:cs="Arial" w:eastAsia="Arial" w:hAnsi="Arial"/>
          <w:sz w:val="16"/>
          <w:szCs w:val="16"/>
          <w:color w:val="auto"/>
        </w:rPr>
        <w:t>More specifically, under the Broad License Agreement, Broad Institute granted us an exclusive, worldwide, royalty-bearing and sublicensable license under certain patent rights to the extent owned or controlled by Broad Institute (including via an interinstitutional agreement with the Massachusetts Institute of Technology, or MIT, and Harvard) comprising (i) certain patent rights claiming or disclosing novel CRISPR enzymes and systems (including those related to DNA cleaving) or systems, methods and compositions for targeted nucleic acid editing, in each case to exploit products covered by such patents, (ii) certain product-specific patent rights claiming or disclosing novel CRISPR enzymes and systems, methods and compositions for targeted nucleic acid editing, in each case to exploit base editor products covered by such patents and (iii) certain patent rights generally related to gene targeting to exploit base editor products covered by such patents, in each case to make, have made, offer for sale, sell, have sold and import certain licensed products.</w:t>
      </w:r>
    </w:p>
    <w:p>
      <w:pPr>
        <w:spacing w:after="0" w:line="5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Under the Broad License Agreement, we have also been granted (i) a non-exclusive, royalty-bearing and sublicensable license under all patents exclusively licensed to us under the Broad License Agreement to make, have made, offer for sale, sell, have sold and import certain products in our field that were made, discovered, developed or determined to have utility through the use of such patents in a research or discovery program commencing before May</w:t>
      </w:r>
    </w:p>
    <w:p>
      <w:pPr>
        <w:ind w:right="20"/>
        <w:spacing w:after="0" w:line="253" w:lineRule="auto"/>
        <w:rPr>
          <w:sz w:val="20"/>
          <w:szCs w:val="20"/>
          <w:color w:val="auto"/>
        </w:rPr>
      </w:pPr>
      <w:r>
        <w:rPr>
          <w:rFonts w:ascii="Arial" w:cs="Arial" w:eastAsia="Arial" w:hAnsi="Arial"/>
          <w:sz w:val="17"/>
          <w:szCs w:val="17"/>
          <w:color w:val="auto"/>
        </w:rPr>
        <w:t>2021 or through the use of transferred materials from Broad Institute but that are not covered by the licensed patents and (ii) a non-exclusive, worldwide, royalty-bearing and sublicensable internal research license under all patents exclusively licensed to us. All licenses granted to us by Broad Institute exclude human germline modification, the stimulation of biased inheritance of particular genes or, with certain exceptions, traits within a plant or animal population and certain modifications of the tobacco plant and are subject to certain retained rights of Broad Institute, Harvard and MIT and the U.S. federal government. Broad Institute additionally retains limited rights for itself, Harvard and MIT and for other non-profit research organizations to practice the licensed patents for research, educational, and scholarly purposes.</w:t>
      </w:r>
    </w:p>
    <w:p>
      <w:pPr>
        <w:spacing w:after="0" w:line="7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Under the Broad License Agreement, we are required to use commercially reasonable efforts to develop licensed products in accordance with a development plan that Blink prepared and submitted to Broad Institute. The development plan includes certain development milestones that we are required to meet, as well as the timelines for the completion thereof, and we may update the development plan from time to time if we believe, in our good faith judgment, that such update is needed in order to improve our ability to meet such development milestones. We will not be able to delay such development milestone timelines without providing a reasonable explanation and plan to Broad Institute and provided further that Broad Institute’s approval of the explanation and plan in its reasonable discretion is required for any milestone timeline extension of more than a specified number of years. If we are successfully able to gain regulatory approval in any country to introduce a licensed product into the commercial market in such country, then we are also required to use commercially reasonable efforts to commercialize such licensed product and make such licensed product reasonably available to the public.</w:t>
      </w:r>
    </w:p>
    <w:p>
      <w:pPr>
        <w:spacing w:after="0" w:line="6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Additionally, we are required to use commercially reasonable efforts to pursue the viability of the technology covered, claimed or disclosed in certain sub-categories of licensed patents and must initiate a discovery program for the development of a licensed product covered by a valid claim, or otherwise generally enabled, by the use of such sub-category of the licensed patents during a certain period of time following the execution of the Broad License Agreement and submit an updated development plan and development milestones reasonably acceptable to Broad Institute for such sub-category of the licensed patents within such period of time. If we fail to use commercially reasonable efforts to pursue the viability of such technology or to initiate a discovery program or to submit an updated development plan in the specified time period then the license under such sub-category of the licensed patents will terminate and, if such sub-category of the licensed patents consists of base editor patent rights, our rights with respect to gene targeting licensed patents shall convert to non-exclusive so that such rights may be licensed for use to such terminated base editor licensed patents.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ind w:right="40"/>
        <w:spacing w:after="0" w:line="267" w:lineRule="auto"/>
        <w:rPr>
          <w:sz w:val="20"/>
          <w:szCs w:val="20"/>
          <w:color w:val="auto"/>
        </w:rPr>
      </w:pPr>
      <w:r>
        <w:rPr>
          <w:rFonts w:ascii="Arial" w:cs="Arial" w:eastAsia="Arial" w:hAnsi="Arial"/>
          <w:sz w:val="16"/>
          <w:szCs w:val="16"/>
          <w:color w:val="auto"/>
        </w:rPr>
        <w:t>Broad Institute, MIT, and Harvard also retain the right to grant further licenses under specified circumstances to third parties, other than specified entities, that wish to research, develop, and commercialize a product that would otherwise fall within the scope of our exclusive license grant from Broad Institute and Harvard pursuant to Broad Institute, Harvard and MIT’s inclusive innovation model. If, after a specified period of time, such a third party inquires with Broad Institute for such a license and presents to Broad Institute a proposal including information describing the proposed development and commercialization of such a proposed product, then Broad Institute may notify us of the request and the requester’s identity, and the nature of the specific proposed product, including the applicable gene to which the proposed product is directed. Broad Institute is not required to share any other information provided by the requester to us in connection with the inclusive innovation model. If we are not researching, developing or commercializing such a proposed product, then we can notify Broad Institute as to whether in good faith we are interested in developing such proposed product, entering into a sublicense agreement with such requesting third party to develop such proposed product, entering into a sublicense with another third party to develop such proposed product, or that we are not interested in any of the foregoing. If we inform Broad Institute that we are interested in developing such proposed product, then we will prepare a development plan, similar in scope to the development plan under the Broad License Agreement, to develop such proposed product and must commence the development program for such proposed product within a specified period. If we inform Broad Institute that we are interested in entering into a sublicense agreement pursuant to which the inquiring third party or another third party would receive a sublicense from us under the licensed patents to develop such proposed product, then we may enter into such a sublicense agreement and provide reasonable evidence thereof during the period. If we decline to conduct the foregoing activities or do not complete such activities within the specified period, which period is reduced by the period of time the requesting third party has previously negotiated with us, then Broad Institute may grant a license to the applicable third party under the licensed patents to research, develop, and commercialize such proposed product, and our license to such the applicable patent rights will, at Broad Institute’s election, terminate with respect to the gene that is the subject of the proposed third party product.</w:t>
      </w:r>
    </w:p>
    <w:p>
      <w:pPr>
        <w:spacing w:after="0" w:line="69"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We are permitted to sublicense the licensed patents to affiliates and third parties, provided that any such sublicense agreement must remain in compliance with and be consistent with the terms of the Broad License Agreement. In addition, any such sublicense agreement must include certain customary provisions to ensure our ability to comply with the Broad License Agreement. We are also responsible for any breaches of a sublicense agreement by the applicable sublicensee and are responsible for all payments due under the Broad License Agreement by operation of any such sublicense.</w:t>
      </w:r>
    </w:p>
    <w:p>
      <w:pPr>
        <w:spacing w:after="0" w:line="47"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As partial consideration for the rights granted under the Broad License Agreement, Broad Institute received 1,940,000 shares of Blink’s common stock. The shares issued to Broad Institute were exchanged into 865,240 shares of our common stock in connection with our acquisition of Blink on September 25, 2018.</w:t>
      </w:r>
    </w:p>
    <w:p>
      <w:pPr>
        <w:spacing w:after="0" w:line="7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Under the Broad License Agreement, we are also required to pay Broad Institute an annual license maintenance fee ranging from the low- to mid-five figures to the low-six figures, depending on the particular calendar year. Broad Institute is also entitled to receive clinical and regulatory milestones totaling in the mid-to-high eight figure range. We paid Broad Institute a total of $9.0 million upon the completion of our Series A and Series B financings.</w:t>
      </w:r>
    </w:p>
    <w:p>
      <w:pPr>
        <w:spacing w:after="0" w:line="3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May 2021, the first success payment measurement occurred and amounts due to Broad Institute were calculated to be $15.0 million. We elected to make the payment in shares of our common stock and issued 174,825 shares of our common stock to settle this liability on June 10, 2021. We may additionally owe Broad Institute success payments of up to an additional $90.0 million.</w:t>
      </w:r>
    </w:p>
    <w:p>
      <w:pPr>
        <w:spacing w:after="0" w:line="74"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We are also required to pay royalties in the low single digits for products covered by the licensed patents with such royalty reduced by a certain percentage for products enabled by the licensed patents or transferred materials, but not covered by the licensed patents. The royalty rate payable by us is subject to customary reductions and offsets on these royalties with respect to a product in a given country. The royalty term for a product in a country will terminate on the later of the expiration of (i) the last to expire licensed patent covering the applicable product, (ii) the period of exclusivity associated with such product in such country or (iii) a certain period of time after the first commercial sale of such product in such country. If we sublicense our rights to develop or commercialize a licensed product under the Broad License Agreement to a third party and receive non-royalty sublicense income, then Broad Institute is entitled to a percentage of such consideration, ranging from the high single digits to an amount in the low first decile, dependent on the development stage of products under the Broad License Agreement at the time of sublicense execution.</w:t>
      </w:r>
    </w:p>
    <w:p>
      <w:pPr>
        <w:spacing w:after="0" w:line="7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Broad Institute is responsible for the prosecution and maintenance of all licensed patents, provided that we have certain consultation, comment, and review rights with respect to such prosecution and maintenance activities of exclusively licensed patent rights.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Unless earlier terminated, the Broad License Agreement will remain in effect until the later of the last-to-expire valid claim of a licensed patent covering our licensed products or the end of the last to expire royalty term. We may terminate the Broad License Agreement for its convenience following written notice to Broad Institute subject to a specified notice period. Either party may terminate the Broad License Agreement for a material breach of the other party, subject to a notice and cure period. Broad Institute may also terminate the Broad License Agreement in the event of our bankruptcy or insolvency, if we fail to procure and maintain insurance or if we, our affiliates or sublicensees bringing patent challenges relating to any licensed patents (subject to a cure period for us to terminate the sublicensee that has taken the applicable action).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License Agreement with Bio Palette Co., Ltd.</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March 27, 2019, we entered into a license agreement, or the Bio Palette License Agreement, with Bio Palette Co., Ltd., or Bio Palette, pursuant to which we received an exclusive (even as to Bio Palette and its affiliates), sublicensable license under certain patent rights related to base editing owned or controlled by Bio Palette to research, make, have made, import, export, distribute, use, have used, sell, have sold or offer for sale, and otherwise exploit products for the treatment of human disease throughout the world, but excluding products in the microbiome field in Asia. In addition, we granted Bio Palette an exclusive (even as to us and our affiliates) license under certain patent rights related to base editing and gene editing owned or controlled by us to research, make, have made, import, export, distribute, use, have used, sell, have sold or offer for sale, and otherwise exploit products in the microbiome field in Asia, subject to our right, in its sole discretion, to expand Bio Palette’s license (and the applicable royalty obligations) to the entire territory. Each party to the Bio Palette Agreement retains non-exclusive rights to develop and manufacture products in the microbiome field worldwide for the sole purpose of exploiting those products in its own territory. Each party agrees to certain coordination obligations in the microbiome field in the event that either party determines not to exploit their rights in such field.</w:t>
      </w:r>
    </w:p>
    <w:p>
      <w:pPr>
        <w:spacing w:after="0" w:line="72"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If Bio Palette comes into the control of any other patent right that is useful for the treatment, diagnosis or prevention of any human diseases or conditions and intends to grant a license under that patent right in certain defined fields and in certain defined territories, we have the exclusive right of first negotiation for an exclusive license under that patent right in those fields and territories. If we come into the control of any other patent right that is useful in certain defined fields and intend to grant a license under that patent right in those fields in certain defined territories, Bio Palette has the exclusive right of first negotiation for an exclusive license under that patent right in those fields and territories.</w:t>
      </w:r>
    </w:p>
    <w:p>
      <w:pPr>
        <w:spacing w:after="0" w:line="6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As part of the Bio Palette License Agreement, if we form a Scientific Advisory Board, then Bio Palette will have the right to appoint two representatives to such board until the conclusion of the period ending five years after the effective date of the Bio Palette License Agreement. Additionally, we and Bio Palette agree to communicate with each other regarding potential base editing collaborations in Japan.</w:t>
      </w:r>
    </w:p>
    <w:p>
      <w:pPr>
        <w:spacing w:after="0" w:line="74"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are required to use commercially reasonable efforts to develop a licensed product in the United States, Japan, the U.K., France, Germany, Italy and Spain. For any licensed product in our licensed field and territory that receives regulatory approval, we are required to use commercially reasonable efforts to commercialize that licensed product in the relevant country. Bio Palette is required to use commercially reasonable efforts to develop a licensed product in Japan. For any licensed product that receives regulatory approval, Bio Palette is required to use commercially reasonable efforts to commercialize such licensed product in the relevant country.</w:t>
      </w:r>
    </w:p>
    <w:p>
      <w:pPr>
        <w:spacing w:after="0" w:line="8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Certain of the patents licensed to us under the Bio Palette License Agreement were licensed to Bio Palette from Kobe University under a license agreement we refer to as the Kobe Head License. Accordingly, the licenses granted to us under the Bio Palette License Agreement are subject to the terms and conditions set forth in the Kobe Head License, which include provisions providing for certain rights to be retained by third parties including governmental authorities.</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and Bio Palette are both permitted to sublicense the licensed patents to affiliates and third parties, provided that the applicable terms of the Bio Palette License Agreement and the Kobe Head License would apply to such affiliates and third parties. The sublicensing party is also responsible for any breaches of such terms by the applicable sublicensee and is responsible for all payments due under the Bio Palette License Agreement by operation of any such sublicense.</w:t>
      </w:r>
    </w:p>
    <w:p>
      <w:pPr>
        <w:spacing w:after="0" w:line="10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Upon the execution of the Bio Palette License Agreement, we paid Bio Palette an upfront fee of $0.5 million. In connection with the execution of the Bio Palette License Agreement, we issued to Bio Palette 16,725 shares of our common stock, with an agreement to issue additional shares of our common stock in the low six figures in the event that the referenced Bio Palette patent issues in the United States. Upon the issuance of a certain Bio Palette patent in the United States in June 2020, we made a milestone payment to Bio Palette of $2.0 million and, in July 2020, issued to Bio Palette 175,000 shares of our common stock valued at $0.3 million. We also agreed to pay a royalty at a fraction of a percent on net sales of products that are covered by the patents licensed by Bio Palette to us, and Bio Palette agreed to pay a royalty at a fraction of a percent on net sales of products that are covered by the patents licensed by us to Bio Palette. The royalty term for a product in a country will terminate on the later of the expiration of (i) patent-based exclusivity with respect to such licensed product in such country or (ii) regulatory exclusivity with respect to such licensed product in such country.</w:t>
      </w:r>
    </w:p>
    <w:p>
      <w:pPr>
        <w:spacing w:after="0" w:line="5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Any intellectual property arising out of activities under the Bio Palette License Agreement will be owned by the party inventing such intellectual property. Bio Palette is responsible for the prosecution and maintenance of all patents licensed by Bio Palette to us, provided that we have customary consultation, comment and review rights with respect to such prosecution and maintenance activities solely with respect to national entries of a certain specified PCT application. We have the sole right to prosecute and maintain patents licensed by us to Bio Palette.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ind w:right="80"/>
        <w:spacing w:after="0" w:line="274" w:lineRule="auto"/>
        <w:rPr>
          <w:sz w:val="20"/>
          <w:szCs w:val="20"/>
          <w:color w:val="auto"/>
        </w:rPr>
      </w:pPr>
      <w:r>
        <w:rPr>
          <w:rFonts w:ascii="Arial" w:cs="Arial" w:eastAsia="Arial" w:hAnsi="Arial"/>
          <w:sz w:val="16"/>
          <w:szCs w:val="16"/>
          <w:color w:val="auto"/>
        </w:rPr>
        <w:t>Unless earlier terminated, the Bio Palette License Agreement will expire on a licensed product-by-licensed product and country-by-country basis upon the expiration of the applicable royalty term for each such licensed product and country. Each party has the right to terminate the Bio Palette License Agreement for convenience with respect to the license granted to such party subject to a specified notice period. Either party may terminate the Bio Palette License Agreement with respect to the license granted to the other party for a material breach by the other party, subject to a specified notice and cure period. Additionally, either party may also terminate the Bio Palette License Agreement in the event of the other party’s bankruptcy or insolvency or if the other party, its affiliates or sublicensees brings a patent challenge relating to any licensed patents (but, in the case of such a patent challenge by a sublicensee, subject to a cure period for such party to terminate its agreement with the sublicensee that has taken the applicable action).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 extensively regulate, among other things, the research, development, testing, manufacturing, packaging, labeling, storage, record keeping, reimbursement, advertising, promotion, distribution, post-approval monitoring and reporting and import and export, pricing and reimbursement of pharmaceutical products, including biological products. Failure to comply with the applicable regulatory requirements at any time during the product development process or post-approval may subject an applicant for marketing approval to delays in development or approval, as well as administrative and judicial sanctions.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processes for obtaining marketing approvals in the United States and in foreign countries and jurisdictions and compliance with applicable statutes and regulatory requirements, both pre- and post-approval, and obtaining reimbursement status will continue to require the expenditure of substantial time and financial resources. The regulatory requirements applicable to drug and biological product development, approval, and marketing are subject to change, and regulations and administrative guidance often are revised or reinterpreted by the agencies in ways that may have a significant impact on our business. Ethical, social and legal concerns about gene therapy, genetic testing and genetic research could result in additional regulations restricting or prohibiting the processes we may use.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Licensure and regulation of biologics in the United States</w:t>
      </w:r>
    </w:p>
    <w:p>
      <w:pPr>
        <w:spacing w:after="0" w:line="104" w:lineRule="exact"/>
        <w:rPr>
          <w:sz w:val="20"/>
          <w:szCs w:val="20"/>
          <w:color w:val="auto"/>
        </w:rPr>
      </w:pPr>
    </w:p>
    <w:p>
      <w:pPr>
        <w:jc w:val="both"/>
        <w:ind w:right="220"/>
        <w:spacing w:after="0" w:line="324" w:lineRule="auto"/>
        <w:rPr>
          <w:sz w:val="20"/>
          <w:szCs w:val="20"/>
          <w:color w:val="auto"/>
        </w:rPr>
      </w:pPr>
      <w:r>
        <w:rPr>
          <w:rFonts w:ascii="Arial" w:cs="Arial" w:eastAsia="Arial" w:hAnsi="Arial"/>
          <w:sz w:val="16"/>
          <w:szCs w:val="16"/>
          <w:color w:val="auto"/>
        </w:rPr>
        <w:t>In the United States, our candidate products are regulated as biological products, or biologics, under the Public Health Service Act, or the PHSA, and the Federal Food, Drug and Cosmetic Act, or the FDCA, the implementing regulations of the FDA and other federal, state and local statutes and regulations.</w:t>
      </w:r>
    </w:p>
    <w:p>
      <w:pPr>
        <w:spacing w:after="0" w:line="16"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The FDA must approve a product candidate for a therapeutic indication before it may be marketed in the United States. An applicant seeking approval to market and distribute a new biologic in the United States generally must satisfactorily complete each of the following steps:</w:t>
      </w:r>
    </w:p>
    <w:p>
      <w:pPr>
        <w:spacing w:after="0" w:line="39" w:lineRule="exact"/>
        <w:rPr>
          <w:sz w:val="20"/>
          <w:szCs w:val="20"/>
          <w:color w:val="auto"/>
        </w:rPr>
      </w:pPr>
    </w:p>
    <w:p>
      <w:pPr>
        <w:ind w:left="1020" w:right="10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or GLP, regulations;</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completion of the manufacture, under cGMP conditions, of the drug substance and drug product that the sponsor intends to use in human clinical trials along with required analytical and stability testing;</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 of a clinical protocol and submission to the FDA of an IND application for human clinical testing, which must become effective before human clinical trials may begin;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115" w:lineRule="exact"/>
        <w:rPr>
          <w:rFonts w:ascii="Arial" w:cs="Arial" w:eastAsia="Arial" w:hAnsi="Arial"/>
          <w:sz w:val="17"/>
          <w:szCs w:val="17"/>
          <w:color w:val="auto"/>
        </w:rPr>
      </w:pPr>
    </w:p>
    <w:p>
      <w:pPr>
        <w:ind w:left="1020" w:right="36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62" w:lineRule="exact"/>
        <w:rPr>
          <w:rFonts w:ascii="Arial" w:cs="Arial" w:eastAsia="Arial" w:hAnsi="Arial"/>
          <w:sz w:val="18"/>
          <w:szCs w:val="18"/>
          <w:color w:val="auto"/>
        </w:rPr>
      </w:pPr>
    </w:p>
    <w:p>
      <w:pPr>
        <w:ind w:left="1020" w:right="40" w:hanging="503"/>
        <w:spacing w:after="0" w:line="24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or BLA, requesting marketing of the biological product for one or more proposed indications, including submission of detailed information on the manufacture and composition of the product and proposed labelling;</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of the BLA by an FDA advisory committee, where applicable;</w:t>
      </w:r>
    </w:p>
    <w:p>
      <w:pPr>
        <w:spacing w:after="0" w:line="103" w:lineRule="exact"/>
        <w:rPr>
          <w:rFonts w:ascii="Arial" w:cs="Arial" w:eastAsia="Arial" w:hAnsi="Arial"/>
          <w:sz w:val="18"/>
          <w:szCs w:val="18"/>
          <w:color w:val="auto"/>
        </w:rPr>
      </w:pPr>
    </w:p>
    <w:p>
      <w:pPr>
        <w:ind w:left="1020" w:right="140" w:hanging="503"/>
        <w:spacing w:after="0" w:line="284"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satisfactory completion of one or more FDA inspections of the manufacturing facility or facilities, including those of third parties, at which the product, or components thereof, are produced to assess compliance with current Good Manufacturing Practices, or cGMP, requirements; to assure that the facilities, methods, and controls are adequate to preserve the product’s identity, strength, quality, and purity; and, if applicable, the FDA’s current good tissue practice, or cGTP, requirements for the use of human cellular and tissue products;</w:t>
      </w:r>
    </w:p>
    <w:p>
      <w:pPr>
        <w:spacing w:after="0" w:line="47" w:lineRule="exact"/>
        <w:rPr>
          <w:rFonts w:ascii="Arial" w:cs="Arial" w:eastAsia="Arial" w:hAnsi="Arial"/>
          <w:sz w:val="16"/>
          <w:szCs w:val="16"/>
          <w:color w:val="auto"/>
        </w:rPr>
      </w:pPr>
    </w:p>
    <w:p>
      <w:pPr>
        <w:ind w:left="1020" w:right="500" w:hanging="503"/>
        <w:spacing w:after="0" w:line="261"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GLPs and GCPs and the integrity of clinical data in support of the BLA;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1" w:name="page32"/>
    <w:bookmarkEnd w:id="31"/>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 of the application fee under the Prescription Drug User Free Act, or PDUFA, unless exempted; and</w:t>
      </w:r>
    </w:p>
    <w:p>
      <w:pPr>
        <w:spacing w:after="0" w:line="103" w:lineRule="exact"/>
        <w:rPr>
          <w:rFonts w:ascii="Arial" w:cs="Arial" w:eastAsia="Arial" w:hAnsi="Arial"/>
          <w:sz w:val="18"/>
          <w:szCs w:val="18"/>
          <w:color w:val="auto"/>
        </w:rPr>
      </w:pPr>
    </w:p>
    <w:p>
      <w:pPr>
        <w:ind w:left="1020" w:right="40" w:hanging="503"/>
        <w:spacing w:after="0" w:line="291"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FDA review and approval of the BLA, which may be subject to additional post-approval requirements, including the potential requirement to implement a Risk Evaluation and Mitigation Strategy, or REMS, and any post-approval studies required by the FDA.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Before testing any investigational biological product in humans, including a gene editing product candidate,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including GLP regulations and standards and the United States Department of Agriculture’s Animal Welfare Act, if applicable. The results of the preclinical tests, together with manufacturing information and analytical data, are submitted to the FDA as part of an IND application.</w:t>
      </w:r>
    </w:p>
    <w:p>
      <w:pPr>
        <w:spacing w:after="0" w:line="81"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An IND is an exemption from the FDCA that allows an unapproved drug or biological product to be shipped in interstate commerce for use in an investigational clinical trial. Such authorization must be secured prior to interstate shipment and administration of any product candidate that is not the subject of an approved new drug application, or NDA. In support of a request for an IND, applicants must submit a protocol for each clinical trial and any subsequent protocol amendments must be submitted to the FDA as part of the IND. An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Preclinical or nonclinical testing typically continues even after the IND is submitted.</w:t>
      </w:r>
    </w:p>
    <w:p>
      <w:pPr>
        <w:spacing w:after="0" w:line="5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 Occasionally, clinical holds are imposed due to manufacturing issues that may present safety issues for the clinical study subjects.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Additionally, genetic medicine clinical trials conducted at institutions that receive funding for recombinant DNA research from the NIH also are potentially subject to review by a committee within the U.S. National Institutes of Health’s, or NIH’s, Office of Science Policy called the Novel and Exceptional Technology and Research Advisory, or the NExTRAC. As of 2019, the charter of this review group has evolved to focus public review on clinical trials that cannot be evaluated by standard oversight bodies and pose unusual risks. With certain genetic medicine protocols, FDA review of or clearance to allow the IND to proceed could be delayed if the NExTRAC decides that full public review of the protocol is warranted.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Expanded access to an investigational drug for treatment use</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6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There is no requirement for a manufacturer to provide expanded access to an investigational product. However, if a manufacturer decides to make its investigational product available for expanded access, FDA reviews requests for expanded access and determines if treatment may proceed. Expanded access may be appropriate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2" w:name="page33"/>
    <w:bookmarkEnd w:id="32"/>
    <w:p>
      <w:pPr>
        <w:ind w:right="240"/>
        <w:spacing w:after="0" w:line="243" w:lineRule="auto"/>
        <w:rPr>
          <w:sz w:val="20"/>
          <w:szCs w:val="20"/>
          <w:color w:val="auto"/>
        </w:rPr>
      </w:pPr>
      <w:r>
        <w:rPr>
          <w:rFonts w:ascii="Arial" w:cs="Arial" w:eastAsia="Arial" w:hAnsi="Arial"/>
          <w:sz w:val="18"/>
          <w:szCs w:val="18"/>
          <w:color w:val="auto"/>
        </w:rPr>
        <w:t>Under the FDCA, sponsors of one or more investigational products for the treatment of a serious disease(s) or condition(s) must make publicly available their policy for evaluating and responding to requests for expanded access for individual patients. Sponsors are required to make such policies publicly available upon the earlier of initiation of a Phase 2 or Phase 3 study; or 15 days after the investigational drug or biologic receives designation as a breakthrough therapy, fast track product, or regenerative medicine advanced therapy.</w:t>
      </w:r>
    </w:p>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 addition, on May 30, 2018, the Right to Try Act was signed into law. The law, among other things, provides an additional mechanism for patients with a life-threatening condition who have exhausted approved treatments and are unable to participate in clinical trials to access certain investigational products that have completed a Phase I clinical trial, are the subject of an active IND, and are undergoing investigation for FDA approval. Unlike the expanded access framework described above, the Right to Try Pathway does not require FDA to review or approve requests for use of the investigational product. There is no obligation for a manufacturer to make its investigational products available to eligible patients under the Right to Try Act.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 BLA</w:t>
      </w:r>
    </w:p>
    <w:p>
      <w:pPr>
        <w:spacing w:after="0" w:line="10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to be treated under the supervision of qualified principal investigators, generally physicians not employed by or under the trial sponsor’s control, in accordance with GCP requirements, which include the requirement that all research subjects provide their informed consent for their participation. Clinical trials are conducted under study protocols detailing, among other things, the objectives of the study,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FDA regulatory requirements in order to use the trial as support for an IND or application for marketing approval in the U.S. Specifically, the FDA requires that such trials be conducted in accordance with GCP requirements intended to ensure the protection of human subjects and the quality and integrity of the study data, including requirements for review and approval by an independent ethics committee and obtaining subjects’ informed consent.</w:t>
      </w:r>
    </w:p>
    <w:p>
      <w:pPr>
        <w:spacing w:after="0" w:line="81"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For clinical trials conducted in the United States, an IND is required, and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Clinical trials must also comply with extensive GCP rules and the requirements for obtaining subjects’ informed consent. The FDA, IRB, or the clinical trial sponsor may suspend or discontinue a clinical trial at any time for various reasons, including a finding that the clinical trial is not being conducted in accordance with FDA requirements, including GCP, or the subjects or patients are being exposed to an unacceptable health risk.</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Additionally, some clinical trials are overseen by an independent group of qualified experts organized by the clinical trial sponsor, known as a data safety monitoring board or committee. This group may recommend continuation of the study as planned, changes in study conduct, or cessation of the study at designated checkpoints based on access to certain data from the study. Finally, research activities involving infectious agents, hazardous chemicals, recombinant DNA, and genetically altered organisms and agents may be subject to review and approval of an Institutional Biosafety Committee, or IBC, in accordance with NIH Guidelines for Research Involving Recombinant or Synthetic Nucleic Acid Molecules.</w:t>
      </w:r>
    </w:p>
    <w:p>
      <w:pPr>
        <w:spacing w:after="0" w:line="6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63" w:lineRule="exact"/>
        <w:rPr>
          <w:sz w:val="20"/>
          <w:szCs w:val="20"/>
          <w:color w:val="auto"/>
        </w:rPr>
      </w:pPr>
    </w:p>
    <w:p>
      <w:pPr>
        <w:ind w:left="1020" w:right="220" w:hanging="503"/>
        <w:spacing w:after="0" w:line="24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on occasion, in the case of some products for severe or life-threatening diseases, especially when the product may be too inherently toxic to ethically administer to healthy volunteers, in patients, such as cancer patients.</w:t>
      </w:r>
    </w:p>
    <w:p>
      <w:pPr>
        <w:spacing w:after="0" w:line="79" w:lineRule="exact"/>
        <w:rPr>
          <w:rFonts w:ascii="Arial" w:cs="Arial" w:eastAsia="Arial" w:hAnsi="Arial"/>
          <w:sz w:val="18"/>
          <w:szCs w:val="18"/>
          <w:color w:val="auto"/>
        </w:rPr>
      </w:pPr>
    </w:p>
    <w:p>
      <w:pPr>
        <w:jc w:val="both"/>
        <w:ind w:left="1020" w:hanging="503"/>
        <w:spacing w:after="0" w:line="29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Phase 2 </w:t>
      </w:r>
      <w:r>
        <w:rPr>
          <w:rFonts w:ascii="Arial" w:cs="Arial" w:eastAsia="Arial" w:hAnsi="Arial"/>
          <w:sz w:val="16"/>
          <w:szCs w:val="16"/>
          <w:color w:val="auto"/>
        </w:rPr>
        <w:t>clinical trials are generally conducted in a limited patient population to identify possible adverse effects and safety risks,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3" w:name="page34"/>
    <w:bookmarkEnd w:id="33"/>
    <w:p>
      <w:pPr>
        <w:ind w:left="1020" w:right="100" w:hanging="503"/>
        <w:spacing w:after="0" w:line="279"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Phase 3 </w:t>
      </w:r>
      <w:r>
        <w:rPr>
          <w:rFonts w:ascii="Arial" w:cs="Arial" w:eastAsia="Arial" w:hAnsi="Arial"/>
          <w:sz w:val="16"/>
          <w:szCs w:val="16"/>
          <w:color w:val="auto"/>
        </w:rPr>
        <w:t>clinical trials proceed if the Phase 2 clinical trials demonstrate that a dose range of the product candidate is potentially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an acceptable safety profile. Clinical trials are undertaken within an expanded patient population at multiple geographically dispersed clinical study sites to further evaluate dosage, provide substantial evidence of clinical efficacy, and further test for safety.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51" w:lineRule="exact"/>
        <w:rPr>
          <w:rFonts w:ascii="Arial" w:cs="Arial" w:eastAsia="Arial" w:hAnsi="Arial"/>
          <w:sz w:val="16"/>
          <w:szCs w:val="16"/>
          <w:color w:val="auto"/>
        </w:rPr>
      </w:pPr>
    </w:p>
    <w:p>
      <w:pPr>
        <w:ind w:left="1020" w:hanging="503"/>
        <w:spacing w:after="0" w:line="255" w:lineRule="auto"/>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as noted above,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7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some cases, the FDA may approve a BLA for a product candidate but require the sponsor to conduct additional clinical trials to further assess the product candidate’s safety or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Phase 4 clinical trials could result in withdrawal of approval for products. The FDA generally recommends that sponsors observe subjects for potential gene-therapy related delayed adverse events in a long-term follow-up study of fifteen years for integrating vectors, up to fifteen years for herpes virus vectors capable of establishing latency, up to fifteen years for microbial vectors known to establish persistent infection, up to fifteen years for gene editing products, and up to five years for AAV vectors. FDA recommends that these long-term follow-up studies include, at a minimum, five years of annual physical examinations followed by annual queries, either in-person or by phone or written questionnaire, for the remaining observation period.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Progress reports detailing the results of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8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response to the COVID-19 pandemic, the FDA issued guidance on March 18, 2020, and has updated it periodically since that time to address the conduct of clinical trials during the pandemic. The guidance sets out a number of considerations for sponsors of clinical trials impacted by the pandemic, including the requirement to include in the clinical study report (or as a separate document) contingency measures implemented to manage the study, and any disruption of the study as a result of COVID-19; a list of all study participants affected by COVID-19-related study disruptions by a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study, among other things. The FDA has indicated that it will continue to provide any necessary guidance to sponsors, clinical investigators, and research institutions as the public health emergency evolves.</w:t>
      </w:r>
    </w:p>
    <w:p>
      <w:pPr>
        <w:spacing w:after="0" w:line="8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During the development of a new product candidate, sponsors are given opportunities to meet with the FDA at certain points; specifically, prior to the submission of an IND, at the end of Phase 2 and before an application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 that they believe will support the approval of the new product.</w:t>
      </w:r>
    </w:p>
    <w:p>
      <w:pPr>
        <w:spacing w:after="0" w:line="81"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Sponsors of clinical trials of certain FDA-regulated products, including prescription drugs, are required to register and disclose certain clinical trial information on a public registry maintained by the NIH. In particular, information related to the product, patient population, phase of investigation, study sites and investigators and other aspects of the clinical trial is made public as part of the registration of the clinical trial. Although sponsors are also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both the NIH and the FDA have recently signaled the government’s willingness to begin enforcing those requirements against non-compliant clinical trial sponsors.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Pediatric Studies</w:t>
      </w:r>
    </w:p>
    <w:p>
      <w:pPr>
        <w:spacing w:after="0" w:line="104"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Under the Pediatric Research Equity Act of 2003, or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submit a pediatric study plan, or PSP, within 60 days of an end-of-Phase 2 meeting or as may be agreed between the sponsor and the FDA. The PSP outlines the proposed pediatric study or studies they plan to conduct, including study objectives and design, any deferral or waiver requests, and other information required by regulation. The FDA must then review the information submitted, consult with the sponsor, and agree upon a final plan. The FDA or the applicant may request an amendment to the plan at any time.</w:t>
      </w:r>
    </w:p>
    <w:p>
      <w:pPr>
        <w:spacing w:after="0" w:line="5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investigational products intended to treat a serious or life-threatening disease or condition, the FDA must, upon the request of an applicant,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90 days after FDA’s receipt of the study plan. The FDA may, on its own initiative or at the request of the applicant, grant deferrals for submission of some or all pediatric data until after approval of the product for use in adults, or full or partial waivers from the pediatric data requirements, under specified circumstances. Unless otherwise required by regulation, the pediatric data requirements do not apply to products with orphan designation.</w:t>
      </w:r>
    </w:p>
    <w:p>
      <w:pPr>
        <w:spacing w:after="0" w:line="8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FDA may, on its own initiative or at the request of the applicant,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Unless otherwise required by regulation, the pediatric data requirements do not apply to products with orphan designation, although FDA has recently taken steps to limit what it considers abuse of this statutory exemption in PREA by announcing that it does not intend to grant any additional orphan drug designations for rare pediatric subpopulations of what is otherwise a common disease. The FDA also maintains a list of diseases that are exempt from PREA requirements due to low prevalence of disease in the pediatric population.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regulations and guidance governing gene therapy products</w:t>
      </w:r>
    </w:p>
    <w:p>
      <w:pPr>
        <w:spacing w:after="0" w:line="90"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 xml:space="preserve">It is possible that the procedures and standards applied to gene therapy products and cell therapy products may be applied to any CRISPR/Cas9 product candidates we may develop, but that remains uncertain at this point. The FDA has defined a gene therapy product as one that mediates its effects by transcription and/or translation of transferred genetic material and/or by integrating into the host genome and which are administered as nucleic acids, viruses, or genetically engineered microorganisms. The products may be used to modify cells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be transferred to cells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prior to administration to the recipient. The Center for Biologics Evaluation and Research, or CBER, at FDA regulates gene therapy products. Within CBER, the review of gene therapy and related products is consolidated in the Office of Tissues and Advanced Therapies, and the FDA has established the Cellular, Tissue and Gene Therapies Advisory Committee to advise CBER on its reviews. CBER works closely with the NIH, and the FDA and the NIH have published a number of guidance documents with respect to the development of gene therapy products.</w:t>
      </w:r>
    </w:p>
    <w:p>
      <w:pPr>
        <w:spacing w:after="0" w:line="69"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Although the FDA’s guidance documents are not legally binding, we believe that our compliance with certain aspects of them is likely necessary to gain approval for any product candidate we may develop. The guidance documents provide recommendations and additional clarity as to factors that the FDA will consider at each stage of gene therapy development and relate to, among other things, the proper preclinical assessment of gene therapies; the chemistry, manufacturing, and controls, or CMC, information that should be included in an IND application; the proper design of tests to measure product potency in support of an IND or BLA application; measures to observe delayed adverse effects in subjects who have been exposed to investigational gene therapies; and gene therapy products for the treatment of rare diseases. Further, the FDA usually recommends that sponsors observe subjects for potential gene therapy-related delayed adverse events for a 15-year period, including a minimum of five years of annual examinations followed by ten years of annual queries, either in person or by questionnaire.</w:t>
      </w:r>
    </w:p>
    <w:p>
      <w:pPr>
        <w:spacing w:after="0" w:line="69"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If a gene therapy trial is conducted at, or sponsored by, institutions receiving any NIH funding for research involving recombinant or synthetic nucleic acid molecules, the trial must be conducted in accordance with the NIH Guidelines for Research Involving Recombinant DNA Molecules. Research conducted at such institutions that involves the transfer of recombinant or synthetic nucleic acid molecules, or DNA or RNA derived from recombinant or synthetic nucleic acid molecules, into human subjects must undergo review and approval by an IBC before it commences. Many companies and other institutions not otherwise subject to the NIH Guidelines voluntarily follow them.</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Compliance with cGMP and cGTP requirements</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FDA’s regulations require that pharmaceutical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are subject to periodic unannounced inspections by the FDA for compliance with cGMPs and other requirements. Inspections must follow a “risk-based schedule” that may result in certain establishments being inspected more frequently.</w:t>
      </w:r>
    </w:p>
    <w:p>
      <w:pPr>
        <w:spacing w:after="0" w:line="55"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product.</w:t>
      </w:r>
    </w:p>
    <w:p>
      <w:pPr>
        <w:spacing w:after="0" w:line="67" w:lineRule="exact"/>
        <w:rPr>
          <w:sz w:val="20"/>
          <w:szCs w:val="20"/>
          <w:color w:val="auto"/>
        </w:rPr>
      </w:pPr>
    </w:p>
    <w:p>
      <w:pPr>
        <w:ind w:right="360"/>
        <w:spacing w:after="0" w:line="228"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 Material changes in manufacturing equipment, location, or process post-approval, may result in additional regulatory review and approval.</w:t>
      </w:r>
    </w:p>
    <w:p>
      <w:pPr>
        <w:spacing w:after="0" w:line="70" w:lineRule="exact"/>
        <w:rPr>
          <w:sz w:val="20"/>
          <w:szCs w:val="20"/>
          <w:color w:val="auto"/>
        </w:rPr>
      </w:pPr>
    </w:p>
    <w:p>
      <w:pPr>
        <w:ind w:right="40"/>
        <w:spacing w:after="0"/>
        <w:rPr>
          <w:sz w:val="20"/>
          <w:szCs w:val="20"/>
          <w:color w:val="auto"/>
        </w:rPr>
      </w:pPr>
      <w:r>
        <w:rPr>
          <w:rFonts w:ascii="Arial" w:cs="Arial" w:eastAsia="Arial" w:hAnsi="Arial"/>
          <w:sz w:val="17"/>
          <w:szCs w:val="17"/>
          <w:color w:val="auto"/>
        </w:rPr>
        <w:t>For a gene therapy product, the FDA also will not approve the product if the manufacturer is not in compliance with cGTP. These standards are found in FDA regulations and guidance documents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6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The manufacturing facilities may be subject to periodic unannounced inspections by government authorities to ensure compliance with cGMPs and other laws. If a manufacturing facility is not in substantial compliance with the applicable regulations and requirements imposed when the product was approved, regulatory enforcement action may be taken, which may include a warning letter or an injunction against shipment of products from the facility and/or recall of products previously shipped.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 BLA</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clinical trials, along with information relating to the product’s chemistry, manufacturing, controls and proposed labeling, are submitted to the FDA as part of an application requesting approval to market the product candidate for one or more indications.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potency and purity of the investigational product to the satisfaction of the FDA. The fee required for the submission of a BLA under the Prescription Drug User Fee Act, or PDUFA, is substantial (for example, for FY2022 this application fee is approximately $3.1 million), and the sponsor of an approved NDA is also subject to an annual program fee, currently more than $369,000 per eligible prescription drug product. These fees are typically adjusted annually, and exemptions and waivers may be available under certain circumstances, such as where a waiver is necessary to protect the public health, where the fee would present a significant barrier to innovation, or where the applicant is a small business submitting its first human therapeutic application for review.</w:t>
      </w:r>
    </w:p>
    <w:p>
      <w:pPr>
        <w:spacing w:after="0" w:line="7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FDA conducts a preliminary review of the BLA within 60 days of receipt and must inform the sponsor by that time whether the application is sufficiently complete to permit substantive review. In pertinent part, the FDA’s regulations for applications state that an application “shall not be considered as filed until all pertinent information and data have been received” by the FDA. In the event that the FDA determines that an application does not satisfy this standard, it will issue a Refuse to File, or RTF, determination to the applicant. Typically, an RTF will be based on administrative incompleteness, such as clear omission of information or sections of required information; scientific incompleteness, such as omission of critical data, information or analyses needed to evaluate safety, purity and potency or provide adequate directions for use; or inadequate content, presentation, or organization of information such that substantive and meaningful review is precluded. The FDA may request additional information rather than accept a BLA for filing. In this event, the application must be resubmitted with the additional information. The resubmitted application is also subject to review before the FDA accepts it for filing.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6" w:name="page37"/>
    <w:bookmarkEnd w:id="36"/>
    <w:p>
      <w:pPr>
        <w:ind w:right="40"/>
        <w:spacing w:after="0" w:line="228" w:lineRule="auto"/>
        <w:rPr>
          <w:sz w:val="20"/>
          <w:szCs w:val="20"/>
          <w:color w:val="auto"/>
        </w:rPr>
      </w:pPr>
      <w:r>
        <w:rPr>
          <w:rFonts w:ascii="Arial" w:cs="Arial" w:eastAsia="Arial" w:hAnsi="Arial"/>
          <w:sz w:val="17"/>
          <w:szCs w:val="17"/>
          <w:color w:val="auto"/>
        </w:rPr>
        <w:t>After the submission is accepted for filing, the FDA begins an in-depth substantive review of the application. The FDA may inform the applicant of certain requirements for information when it accepts the BLA or by the 74</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day of the receipt of the BLA. Thereafter, the FDA may submit “information requests” to the applicant in the course of the agency’s review of the BLA. The FDA reviews the BLA to determine, among other things, whether the proposed product is safe and effective for its intended use, whether it has an acceptable purity profile and whether the product is being manufactured in accordance with cGMP. Under the goals and policies agreed to by the FDA under PDUFA, the FDA has ten months from the filing date in which to complete its initial review of a standard application for an investigational product that is a new molecular entity, and six months from the filing date for an application with “priority review.” The review process may be extended by the FDA for three additional months to consider new information or in the case of a clarification provided by the applicant to address an outstanding deficiency identified by the FDA following the original submission. Despite these review goals, it is not uncommon for FDA review of a BLA to extend beyond the PDUFA goal date.</w:t>
      </w:r>
    </w:p>
    <w:p>
      <w:pPr>
        <w:spacing w:after="0" w:line="86"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Before approving a BLA, the FDA may inspect the sponsor and one or more clinical trial sites to assure compliance with IND and GCP requirements and the integrity of the clinical data submitted to the FDA. Additionally, the FDA may refer the BLA, including applications for novel product candidates which present difficult questions of safety or efficacy, to an advisory committee for review, evaluation and recommendation as to whether the application should be approved and under what conditions.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when making final decisions on approval. Data from clinical trials are not always conclusive, and the FDA or its advisory committee may interpret data differently than the NDA sponsor interprets the same data. The FDA may also re-analyze the clinical trial data, which could result in extensive discussions between the FDA and the applicant during the review process.</w:t>
      </w:r>
    </w:p>
    <w:p>
      <w:pPr>
        <w:spacing w:after="0" w:line="76"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The FDA reviews a BLA to determine, among other things, whether the product is safe and whether it is effective for its intended use(s), with the latter determination being made on the basis of substantial evidence. The term “substantial evidence” is defined under the FDCA as “evidence consisting of adequate and well-controlled investigations, including clinical investigations, by experts qualified by scientific training and experience to evaluate the effectiveness of the drug involved, on the basis of which it could fairly and responsibly be concluded by such experts that the drug will have the effect it purports or is represented to have under the conditions of use prescribed, recommended, or suggested in the labeling or proposed labeling thereof.”</w:t>
      </w:r>
    </w:p>
    <w:p>
      <w:pPr>
        <w:spacing w:after="0" w:line="146"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FDA has interpreted this evidentiary standard to require at least two adequate and well-controlled clinical investigations to establish effectiveness of a product. Under certain circumstances, however, the FDA has indicated that a single trial with certain characteristics and additional information may satisfy this standard. This approach was subsequently endorsed by Congress in 1998 with legislation providing, in pertinent part, that “If [the FDA] determines, based on relevant science, that data from one adequate and well-controlled clinical investigation and confirmatory evidence (obtained prior to or after such investigation) are sufficient to establish effectiveness, FDA may consider such data and evidence to constitute substantial evidence.” This modification to the law recognized the potential for the FDA to find that one adequate and well controlled clinical investigation with confirmatory evidence, including supportive data outside of a controlled trial, is sufficient to establish effectiveness. In December 2019, the FDA issued draft guidance further explaining the studies that are needed to establish substantial evidence of effectiveness. It has not yet finalized that guidance.</w:t>
      </w:r>
    </w:p>
    <w:p>
      <w:pPr>
        <w:spacing w:after="0" w:line="60"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addition, before approving an application, the FDA will determine whether the facility in which the product is manufactured, processed, packed or held meets standards designed to assure the product’s continued safety. The approval process is lengthy and often difficult, and the FDA may refuse to approve a BLA if the applicable regulatory criteria are not satisfied or may require additional clinical or other data and information. After evaluating the application and all related information, including the advisory committee recommendations, if any, and inspection reports of manufacturing facilities and clinical trial sites, the FDA may issue either an approval letter or a Complete Response Letter, or CRL.</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preclinical studies or manufacturing. If a CRL is issued, the applicant may either resubmit the NDA addressing all of the deficiencies identified in the letter or withdraw the application. If and when those deficiencies have been addressed to the FDA’s satisfaction in a resubmission of the BLA, the FDA will issue an approval letter. The FDA has committed to reviewing such resubmissions in response to an issued CRL in either two or six months depending on the type of information included. Even with the submission of this additional information, however, the FDA ultimately may decide that the application does not satisfy the regulatory criteria for approval.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7" w:name="page38"/>
    <w:bookmarkEnd w:id="37"/>
    <w:p>
      <w:pPr>
        <w:ind w:right="40"/>
        <w:spacing w:after="0" w:line="271" w:lineRule="auto"/>
        <w:rPr>
          <w:sz w:val="20"/>
          <w:szCs w:val="20"/>
          <w:color w:val="auto"/>
        </w:rPr>
      </w:pPr>
      <w:r>
        <w:rPr>
          <w:rFonts w:ascii="Arial" w:cs="Arial" w:eastAsia="Arial" w:hAnsi="Arial"/>
          <w:sz w:val="16"/>
          <w:szCs w:val="16"/>
          <w:color w:val="auto"/>
        </w:rPr>
        <w:t>If the FDA approves a new product, it may limit the approved indications for use of the product. It may also require that contraindications, warnings or precautions be included in the product labeling. In addition, the FDA may require post-approval studies, including Phase 4 clinical trials, to further assess the product’s safety or efficacy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10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FDA has several programs designed to expedite the development and approval of drugs and biological products intended to treat serious or life-threatening diseases or conditions. These programs include fast track designation, breakthrough therapy designation, priority review designation, and regenerative medicine advanced therapy (RMAT)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FDA may grant a product fast track designation if it is intended for the treatment of a serious or life-threatening disease or condition, and nonclinical or clinical data demonstrate the potential to address an unmet medical need for such disease or condition. For fast track products, sponsors may have greater interactions with the FDA, and the FDA may initiate review of sections of a fast track product’s marketing application before the application is complete in some circumstances. Fast track designation may be rescinded if FDA believes that the product no longer meets the qualifying criteria.</w:t>
      </w:r>
    </w:p>
    <w:p>
      <w:pPr>
        <w:spacing w:after="0" w:line="47"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A product may be designated as a breakthrough therapy if it is intended to treat a serious or life-threatening disease or condition and preliminary clinical evidence indicates that the product may demonstrate substantial improvement over existing therapies on one or more clinically significant endpoints.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aid sponsors in designing the clinical trials in an efficient manner. Breakthrough designation may be rescinded if a product no longer meets the qualifying criteria.</w:t>
      </w:r>
    </w:p>
    <w:p>
      <w:pPr>
        <w:spacing w:after="0" w:line="6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With passage of the 21st Century Cures Act in December 2016, Congress authorized an additional expedited program for regenerative medicine advanced therapies. A product is eligible for RMAT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RMAT designation include the benefits available to breakthrough therapies, including potential eligibility for priority review and accelerated approval based on surrogate or intermediate endpoints. RMAT designation may be rescinded if a product no longer meets the qualifying criteria.</w:t>
      </w:r>
    </w:p>
    <w:p>
      <w:pPr>
        <w:spacing w:after="0" w:line="8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FDA may designate a product for priority review if it is a product that treats a serious condition and, if approved, would provide a significant improvement in safety or effectiveness of the treatment, prevention, or diagnosis of such condition. A priority designation is intended to direct overall attention and resources to the evaluation of such applications, and it shortens the FDA’s goal for taking action on a marketing application from ten months to six months.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10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w:t>
      </w:r>
    </w:p>
    <w:p>
      <w:pPr>
        <w:spacing w:after="0" w:line="51" w:lineRule="exact"/>
        <w:rPr>
          <w:sz w:val="20"/>
          <w:szCs w:val="20"/>
          <w:color w:val="auto"/>
        </w:rPr>
      </w:pPr>
    </w:p>
    <w:p>
      <w:pPr>
        <w:ind w:right="380"/>
        <w:spacing w:after="0" w:line="241"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ind w:right="80"/>
        <w:spacing w:after="0" w:line="241" w:lineRule="auto"/>
        <w:rPr>
          <w:sz w:val="20"/>
          <w:szCs w:val="20"/>
          <w:color w:val="auto"/>
        </w:rPr>
      </w:pPr>
      <w:r>
        <w:rPr>
          <w:rFonts w:ascii="Arial" w:cs="Arial" w:eastAsia="Arial" w:hAnsi="Arial"/>
          <w:sz w:val="18"/>
          <w:szCs w:val="18"/>
          <w:color w:val="auto"/>
        </w:rPr>
        <w:t>For drugs granted accelerated approval, FDA generally requires sponsors to conduct, in a diligent manner, additional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 would allow the FDA to withdraw the product approval on an expedited basis. All promotional materials for product candidates approved under accelerated approval are subject to prior review by the FDA unless FDA informs the applicant otherwise.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04"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If regulatory approval for marketing of a product or new indication for an existing product is obtained, the sponsor will be required to comply with all regular post-approval regulatory requirements as well as any post-approval requirements that the FDA has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6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6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6"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15" w:lineRule="exact"/>
        <w:rPr>
          <w:rFonts w:ascii="Arial" w:cs="Arial" w:eastAsia="Arial" w:hAnsi="Arial"/>
          <w:sz w:val="17"/>
          <w:szCs w:val="17"/>
          <w:color w:val="auto"/>
        </w:rPr>
      </w:pPr>
    </w:p>
    <w:p>
      <w:pPr>
        <w:ind w:left="1020" w:right="8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a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issuance of corrective information;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 seizure or detention, or refusal to permit the import or export of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 care programs.</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FDA strictly regulates the advertising and labeling of prescription drug products, including biological products.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In addition, the sponsor of an approved drug in the United States may not promote that drug for unapproved, or off-label, uses, although a physician may prescribe a drug for an off-label use in accordance with the practice of medicine. If a company is found to have promoted off-label uses, it may become subject to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jc w:val="both"/>
        <w:ind w:right="120"/>
        <w:spacing w:after="0" w:line="243" w:lineRule="auto"/>
        <w:rPr>
          <w:sz w:val="20"/>
          <w:szCs w:val="20"/>
          <w:color w:val="auto"/>
        </w:rPr>
      </w:pPr>
      <w:r>
        <w:rPr>
          <w:rFonts w:ascii="Arial" w:cs="Arial" w:eastAsia="Arial" w:hAnsi="Arial"/>
          <w:sz w:val="18"/>
          <w:szCs w:val="18"/>
          <w:color w:val="auto"/>
        </w:rPr>
        <w:t>After approval, some types of changes to the approved product, such as adding new indications or dosing regimens, manufacturing changes, or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80" w:lineRule="exact"/>
        <w:rPr>
          <w:sz w:val="20"/>
          <w:szCs w:val="20"/>
          <w:color w:val="auto"/>
        </w:rPr>
      </w:pPr>
    </w:p>
    <w:p>
      <w:pPr>
        <w:ind w:right="440"/>
        <w:spacing w:after="0" w:line="241" w:lineRule="auto"/>
        <w:rPr>
          <w:sz w:val="20"/>
          <w:szCs w:val="20"/>
          <w:color w:val="auto"/>
        </w:rPr>
      </w:pPr>
      <w:r>
        <w:rPr>
          <w:rFonts w:ascii="Arial" w:cs="Arial" w:eastAsia="Arial" w:hAnsi="Arial"/>
          <w:sz w:val="18"/>
          <w:szCs w:val="18"/>
          <w:color w:val="auto"/>
        </w:rPr>
        <w:t>The FDA may withdraw product approval if compliance with regulatory requirements and standards is not maintained or if problems occur after the product reaches the market. Later discovery of previously unknown problems with a product, including adverse events of unanticipated severity or frequency or issues with manufacturing processes, may result in revisions to the approved labeling to add new safety information; imposition of post-market studies or clinical trials to assess new safety signals; or imposition of distribution or other restrictions under a REMS program. Other potential consequences include, among other things:</w:t>
      </w:r>
    </w:p>
    <w:p>
      <w:pPr>
        <w:spacing w:after="0" w:line="81"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recall, seizure, or detention, or refusal to permit the import or export of products;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Finally, if there are any modifications to the product, including changes in indications, labeling or manufacturing processes or facilities, the applicant may be required to submit and obtain FDA approval of a new BLA or a BLA supplement, which may require the applicant to develop additional data or conduct additional preclinical studies and clinical trials.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 There also are continuing, annual user fee requirements that are now assessed as program fees for certain approved drugs.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04"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Orphan drug designation in the United States is designed to encourage sponsors to develop products intended for the treatment of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the product available for the disease or condition will be recovered from sales of the product in the United States.</w:t>
      </w:r>
    </w:p>
    <w:p>
      <w:pPr>
        <w:spacing w:after="0" w:line="6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Orphan drug designation qualifies a company for certain tax credits. In addition, if a drug candidate that has orphan drug designation subsequently receives the first FDA approval for that drug for the disease for which it has such designation, the product is entitled to orphan drug exclusivity, which means that the FDA may not approve any other applications to market the same drug for the same indication for seven years following product approval unless the subsequent product candidate is demonstrated to be clinically superior. Absent a showing of clinical superiority, FDA cannot approve the same product made by another manufacturer for the same indication during the market exclusivity period unless it has the consent of the sponsor or the sponsor is unable to provide sufficient quantities.</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 To qualify for orphan exclusivity, however, the drug must be clinically superior to the previously approved product that is the same drug for the same condition.</w:t>
      </w:r>
    </w:p>
    <w:p>
      <w:pPr>
        <w:spacing w:after="0" w:line="67"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Gene therapy products present novel issues for assessing when two products are the “same” for orphan exclusivity purposes. In September 2021, the FDA issued a final guidance document describing its current thinking on when a gene therapy product is the “same” as another product for the purpose of orphan exclusivity. Under the guidance, if either the transgene or vector differs between two gene therapy products in a manner that does not reflect “minor” differences, the two products would be considered different drugs for orphan drug exclusivity purposes. FDA will determine whether two vectors from the same viral class are the same on a case-by-case basis and may consider additional key features in assessing sameness. While the guidance provides some additional clarity on FDA’s approach to assessing “sameness,” significant ambiguity and uncertainty remain as to how FDA will assess viral vectors in the same class, what differences in vector or transgene are considered minor, and what additional features may be considered.</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0" w:name="page41"/>
    <w:bookmarkEnd w:id="40"/>
    <w:p>
      <w:pPr>
        <w:ind w:right="40"/>
        <w:spacing w:after="0" w:line="253" w:lineRule="auto"/>
        <w:rPr>
          <w:sz w:val="20"/>
          <w:szCs w:val="20"/>
          <w:color w:val="auto"/>
        </w:rPr>
      </w:pPr>
      <w:r>
        <w:rPr>
          <w:rFonts w:ascii="Arial" w:cs="Arial" w:eastAsia="Arial" w:hAnsi="Arial"/>
          <w:sz w:val="17"/>
          <w:szCs w:val="17"/>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Orphan drug exclusivity will not bar approval of another product under certain circumstances, including if the company with orphan drug exclusivity is not able to meet market demand or the subsequent product with the same drug for the same condition is shown to be clinically superior to the approved product on the basis of greater efficacy or safety, or provide a major contribution to patient care. This is the case despite an earlier court opinion holding that the Orphan Drug Act unambiguously required the FDA to recognize orphan drug exclusivity regardless of a showing of clinical superiority. Under Omnibus legislation signed in December 2020, the requirement for a product to show clinical superiority applies to drugs and biologics that received orphan drug designation before enactment of the FDA Reauthorization Act of 2017, or FDARA, in 2017, but have not yet been approved or licensed by the FDA.</w:t>
      </w:r>
    </w:p>
    <w:p>
      <w:pPr>
        <w:spacing w:after="0" w:line="7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September 2021, the Court of Appeals for the 11th Circuit held that, for the purpose of determining the scope of exclusivity, the term “same disease or condition” in the statute means the designated “rare disease or condition” and could not be interpreted by the agency to mean the “indication or use.” Thus, the court concluded, orphan drug exclusivity applies to the entire designated disease or condition rather than the “indication or use.” It is unclear how this court decision will be implemented by the FDA.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10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Pediatric exclusivity is another type of non-patent regulatory exclusivity in the United States. Specifically, the Best Pharmaceuticals for Children Act provides for the attachment of an additional six months of exclusivity, which is added on to the term of any remaining regulatory exclusivity at the time the pediatric exclusivity is granted. This six-month exclusivity may be granted if a BLA sponsor submits pediatric data that fairly respond to a written request from the FDA for such data, even if the data do not show the product to be effective in the pediatric population studied.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10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2010 Patient Protection and Affordable Care Act, or PPACA, which was signed into law in March 2010, included a subtitle called the Biologics Price Competition and Innovation Act of 2009, or BPCIA. The BPCIA established a regulatory scheme authorizing the FDA to approve biosimilars and interchangeable biosimilars.</w:t>
      </w:r>
    </w:p>
    <w:p>
      <w:pPr>
        <w:spacing w:after="0" w:line="7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5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first licensed. This 12-year exclusivity period is referred to as the reference product exclusivity period and bars approval of a biosimilar but notably does not prevent approval of a competing product pursuant to a full BLA (i.e., containing the sponsor’s own preclinical data and data from adequate and well-controlled clinical trials to demonstrate the safety, purity, and potency of the product). The BPCIA also created certain exclusivity periods for biosimilars approved as interchangeable products. The law also includes an extensive process for the innovator biologic and biosimilar manufacturer to litigate patent infringement, validity, and enforceability prior to the approval of the biosimilar.</w:t>
      </w:r>
    </w:p>
    <w:p>
      <w:pPr>
        <w:spacing w:after="0" w:line="7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Since the passage of the BPCIA, many states have passed laws or amendments to laws, including laws governing pharmacy practices, which are state-regulated, to regulate the use of biosimilars.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04"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A patent claiming a new biological product may be eligible for a limited patent term extension under the Hatch-Waxman Act, which permits a patent restoration of up to five years for a single patent for an approved product as compensation for patent term lost during product development and FDA regulatory review. The restoration period granted on a patent covering a product is typically one-half the time between the effective date a clinical investigation involving human beings is begun and the submission date of a marketing application less any dime during which the applicant failed to exercise due diligence, plus the time between the submission date of an application and the ultimate approval date less any dime during which the applicant failed to exercise due diligence. Patent term restoration cannot be used to extend the remaining term of a patent past a total of 14 years from the product’s approval date. Only one patent applicable to an approved product is eligible for the extension, only those claims covering the approved drug, a method for using it, or a method for manufacturing it may be extended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FDA approval of companion diagnostics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August 2014, the FDA issued final guidance clarifying the requirements that will apply to approval of therapeutic products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According to the guidance, for novel drugs, a companion diagnostic device and its corresponding therapeutic should be approved or cleared contemporaneously by the FDA for the use indicated in the therapeutic product’s labeling. Approval or clearance of the companion diagnostic device will ensure that the device has been adequately evaluated and has adequate performance characteristics in the intended population. In July 2016, the FDA issued a draft guidance intended to assist sponsors of the drug therapeutic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device on issues related to co-development of the products.</w:t>
      </w:r>
    </w:p>
    <w:p>
      <w:pPr>
        <w:spacing w:after="0" w:line="8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Further, in April 2020, the FDA issued additional guidance which describes considerations for the development and labeling of companion diagnostic devices to support the indicated uses of multiple drug or biological oncology products, when appropriate. This guidance builds upon existing policy regarding the labeling of companion diagnostics. In its 2014 guidance, the FDA stated that if evidence is sufficient to conclude that the companion diagnostic is appropriate for use with a specific group of therapeutic products, the companion diagnostic’s intended use/indications for use should name the specific group of therapeutic products, rather than specific products. The 2020 guidance expands on the policy statement in the 2014 guidance by recommending that companion diagnostic developers consider a number of factors when determining whether their test could be developed, or the labeling for approved companion diagnostics could be revised through a supplement, to support a broader labeling claim such as use with a specific group of oncology therapeutic products (rather than listing an individual therapeutic product(s)).</w:t>
      </w:r>
    </w:p>
    <w:p>
      <w:pPr>
        <w:spacing w:after="0" w:line="73"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Under the FDCA,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including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w:t>
      </w:r>
    </w:p>
    <w:p>
      <w:pPr>
        <w:spacing w:after="0" w:line="81"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 xml:space="preserve">The FDA previously has required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intended to select the patients who will respond to the product candidate to obtain pre-market approval, or PMA, simultaneously with approval of the therapeutic product candidate.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for federal fiscal year 2022, the standard fee for review of a PMA is $374,858 and the small business fee is $93,714.</w:t>
      </w:r>
    </w:p>
    <w:p>
      <w:pPr>
        <w:spacing w:after="0" w:line="5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clinical trial is typically required for a PMA application and, in a small percentage of cases, the FDA may require a clinical study in support of a 510(k) submission. A manufacturer that wishes to conduct a clinical study involving the device is subject to the FDA’s IDE regulation. The IDE regulation distinguishes between significant and non-significant risk device studies and the procedures for obtaining approval to begin the study differ accordingly. Also, some types of studies are exempt from the IDE regulations. A significant risk device presents a potential for serious risk to the health, safety, or welfare of a subject. Significant risk devices are devices that are substantially important in diagnosing, curing, mitigating, or treating disease or in preventing impairment to human health. Studies of devices that pose a significant risk require both FDA and an IRB approval prior to initiation of a clinical study. Many companion diagnostics are considered significant risk devices due to their role in diagnosing a disease or condition. Non-significant risk devices are devices that do not pose a significant risk to the human subjects. A non-significant risk device study requires only IRB approval prior to initiation of a clinical study.</w:t>
      </w:r>
    </w:p>
    <w:p>
      <w:pPr>
        <w:spacing w:after="0" w:line="8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Quality System Regulation, which covers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Federal and state data privacy and security laws</w:t>
      </w:r>
    </w:p>
    <w:p>
      <w:pPr>
        <w:spacing w:after="0" w:line="9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the federal Health Insurance Portability and Accountability Act of 1996, or HIPAA, the U.S. Department of Health and Human Services, or HHS, has issued regulations to protect the privacy and security of protected health information, or PHI, used or disclosed by covered entities including certain healthcare providers, health plans and healthcare clearinghouses. HIPAA, as amended by the Health Information Technology for Economic and Clinical Health Act of 2009, or HITECH, and their regulations, including the omnibus final rule published on January 25, 2013,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Any clinical trials we conduct will be regulated by Subpart A of 45 CFR 46, also known as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Moreover, new laws and regulations governing privacy and security may be adopted in the future as well.</w:t>
      </w:r>
    </w:p>
    <w:p>
      <w:pPr>
        <w:spacing w:after="0" w:line="6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At the state level, in 2018, California passed into law the California Consumer Privacy Act, or the CCPA, which took effect on January 1, 2020 and imposed many requirements on businesses that process the personal information of California residents,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It also provides California residents a private right of action, including the ability to seek statutory damages, in the event of a breach involving their personal information. Compliance with the CCPA is a rigorous and time-intensive process that may increase the cost of doing business or require companies to change their business practices to ensure full compliance. On November 3, 2020, California voters passed a ballot initiative for the California Privacy Rights Act, or the CPRA, which will expand the CCPA to incorporate additional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will also expand personal information rights of California residents, including creating a right to opt out of sharing of personal information with third parties for advertising, expanding the lookback period for the right to know about personal information held by businesses, and expanding the right to erasure for information held by third parties. Most CPRA provisions will take effect on January 1, 2023, though the obligations will apply to any personal information collected after January 1, 2022. These provisions may apply to some of our business activities. In addition, other states, including Virginia and Colorado, already have passed state privacy laws. Other states will be considering these laws in the future. These laws may impact our business activities, including our identification of research subjects, relationships with business partners and ultimately the marketing and distribution of any products for which we or our collaborators obtain regulatory and marketing approval.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the EU and the U.K.</w:t>
      </w:r>
    </w:p>
    <w:p>
      <w:pPr>
        <w:spacing w:after="0" w:line="9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10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 has been implemented through national legislation of the member states. Under this system, an applicant must obtain approval from the competent national authority of an EU member state in which the clinical trial is to be conducted, or in multiple member states if the clinical trial is to be conducted in a number of member states. Furthermore, the applicant may only start a clinical trial at a specific site after the competent ethics committee has issued a favorable opinion.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p>
      <w:pPr>
        <w:spacing w:after="0" w:line="254" w:lineRule="auto"/>
        <w:rPr>
          <w:sz w:val="20"/>
          <w:szCs w:val="20"/>
          <w:color w:val="auto"/>
        </w:rPr>
      </w:pPr>
      <w:r>
        <w:rPr>
          <w:rFonts w:ascii="Arial" w:cs="Arial" w:eastAsia="Arial" w:hAnsi="Arial"/>
          <w:sz w:val="17"/>
          <w:szCs w:val="17"/>
          <w:color w:val="auto"/>
        </w:rPr>
        <w:t>In April 2014, the EU adopted a new Clinical Trials Regulation (EU) No 536/2014, but it has not yet become effective. The Clinical Trials Regulation aims to simplify and streamline the approval of clinical trials in the EU.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73"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4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On January 1, 2020, the website of the European Commission reported that the implementation of the new Clinical Trials Regulation was dependent on the development of a fully functional clinical trials portal and database, which would be confirmed by an independent audit, and that the new legislation would come into effect six months after the European Commission publishes a notice of this confirmation. In late 2020, the EMA indicated that it plans to focus on the findings of a system audit; improving the usability, quality and stability of the clinical trial information system; and knowledge transfer to prepare users and their organizations for the new clinical trial system. The EMA has indicated that the system will go live in January 2022.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Parties conducting certain clinical trials must, as in the United States, post clinical trial information in the EU at the EudraCT website:</w:t>
      </w:r>
    </w:p>
    <w:p>
      <w:pPr>
        <w:spacing w:after="0"/>
        <w:rPr>
          <w:sz w:val="20"/>
          <w:szCs w:val="20"/>
          <w:color w:val="auto"/>
        </w:rPr>
      </w:pPr>
      <w:r>
        <w:rPr>
          <w:rFonts w:ascii="Arial" w:cs="Arial" w:eastAsia="Arial" w:hAnsi="Arial"/>
          <w:sz w:val="18"/>
          <w:szCs w:val="18"/>
          <w:color w:val="auto"/>
        </w:rPr>
        <w:t>https://eudract.ema.europa.eu.</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To obtain a marketing authorization for a gene therapy product under the EU regulatory system, an applicant must submit an application via the centralized procedure administered by the European Medicines Agency (EMA). Specifically, the grant of marketing authorization in the EU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EMA’s Committee for Advance Therapies which provides a draft opinion regarding the application for marketing authorization and which is subject to final approval by the EMA’s Committee for Medicinal Products for Human Use. The European Commission grants or refuses marketing authorization in light of that final approval.</w:t>
      </w:r>
    </w:p>
    <w:p>
      <w:pPr>
        <w:spacing w:after="0" w:line="7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Under the centralized procedure in the EU, the maximum timeframe for the evaluation of an MAA is 210 days, excluding clock stops when additional information or written or oral explanation is to be provided by the applicant in response to questions of the Committee for Medicinal Products for Human Use, or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Conditional approval</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specific circumstances, E.U. legislation (Article 14–a Regulation (EC) No 726/2004 (as amended by Regulation (EU) 2019/5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(1) the product candidate is intended for the treatment, prevention or medical diagnosis of seriously debilitating or life-threatening diseases; (2) the product candidate is intended to meet unmet medical needs of patients; (3) a marketing authorization may be granted prior to submission of comprehensive clinical data provided that the benefit of the immediate availability on the market of the medicinal product concerned outweighs the risk inherent in the fact that additional data are still required; (4) the risk-benefit balance of the product candidate is positive; and (5) it is likely that the applicant will be in a position to provide the required comprehensive clinical trial data.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or specific obligations. The timelines for the centralized procedure described above also apply with respect to the review by the CHMP of applications for a conditional marketing authorization.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data exclusivity in the EU</w:t>
      </w:r>
    </w:p>
    <w:p>
      <w:pPr>
        <w:spacing w:after="0" w:line="10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the EU,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 Data exclusivity prevents regulatory authorities in the EU from referencing the innovator’s data to assess a generic (abbreviated) application for a period of eight years. This also applies to biosimilars. During the additional two-year period of market exclusivity, a generic marketing authorization application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In addition, if a pediatric investigation plan is accepted, then a further year of market exclusivity might be obtained (or in the alternative a patent extension (SPC) of a further 6 months). For orphan medicinal products, the periods are separate and different in that there is a total of 10-year data exclusivity and if they have a PIP, there is a further two-year extension to that 10-year period. Even if a compound is considered to be a new chemical or biological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0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A marketing authorization is valid for five years, in principle, and it may be renewed after five years on the basis of a reevaluation of the risk-benefit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 market (in the case of the centralized procedure) or on the market of the authorizing member state within three years after authorization ceases to be valid.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04"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Following approval,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must also be conducted in strict compliance with the EMA’s GMP requirements and comparable requirements of other regulatory bodies in the EU, which mandate the methods, facilities, and controls used in manufacturing, processing and packing of drugs to assure their safety and identity. The marketing and promotion of authorized products, including industry-sponsored continuing medical education and advertising directed toward the prescribers of drugs and/or the general public, are strictly regulated in the EU under Directive 2001/83EC, as amended.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PRIME designation in the EU</w:t>
      </w:r>
    </w:p>
    <w:p>
      <w:pPr>
        <w:spacing w:after="0" w:line="90"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EU has a Priority Medicines, or PRIME, scheme that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w:t>
      </w:r>
    </w:p>
    <w:p>
      <w:pPr>
        <w:spacing w:after="0" w:line="90"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Prior to obtaining a marketing authorization in the EU,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provided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90"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10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extensions in the EU and other jurisdictions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EU also provides for patent term extension through SPCs. The rules and requirements for obtaining an SPC are similar to those in the United States. An SPC may extend the term of a patent for up to five years after its originally scheduled expiration date and can provide up to a maximum of fifteen years of marketing exclusivity for a drug. In certain circumstances, these periods may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9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the EEA, and the processing of personal data that takes place in the EEA, is subject to the EU’s General Data Protection Regulation, or GDPR, which became effective on May 25, 2018. The GDPR is wide-ranging in scope and imposes numerous requirements on companies that process personal data, and it imposes heightened requirements on companies that process health and other sensitive data, such as requiring in many situations that a company obtain the consent of the individuals to whom the sensitive personal data relate before processing such data. Examples of obligations imposed by the GDPR on companies processing personal data that fall within the scope of the GDPR include providing information to individuals regarding data processing activities, implementing safeguards to protect the security and confidentiality of personal data, appointing a data protection officer, providing notification of data breaches, and taking certain measures when engaging third-party processors. The GDPR also imposes strict rules on the transfer of personal data to countries outside the EEA,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60"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There are ongoing concerns about the ability of companies to transfer personal data from the EU to other countries. In July 2020, the Court of Justice of the European Union, or the CJEU, invalidated the EU-U.S. Privacy Shield framework, or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EU to the U.S. generally and increase our costs of compliance with data privacy legislation as well as our costs of negotiating appropriate privacy and security agreements with our vendors and business partners.</w:t>
      </w:r>
    </w:p>
    <w:p>
      <w:pPr>
        <w:spacing w:after="0" w:line="5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On June 23, 2016, the electorate in the U.K. voted in favor of leaving the EU, commonly referred to as Brexit. As with other issues related to Brexit, there are open questions about how personal data will be protected in the U.K. and whether personal information can transfer from the EU to the U.K. Following the withdrawal of the U.K. from the EU, the U.K. Data Protection Act 2018 applies to the processing of personal data that takes place in the U.K. and includes parallel obligations to those set forth by GDPR. While the Data Protection Act of 2018 in the U.K. that “implements” and complements the GDPR has achieved Royal Assent on May 23, 2018 and is now effective in the U.K., it is unclear whether transfer of data from the EEA to the U.K. will remain lawful under the GDPR. The U.K. government has already determined that it considers all European Union 27 and EEA member states to be adequate for the purposes of data protection, ensuring that data flows from the U.K. to the EU/EEA remain unaffected. In addition, a recent decision from the European Commission appears to deem the U.K. as being “essentially adequate” for purposes of data transfer from the EU to the U.K., although this decision may be re-evaluated in the future.</w:t>
      </w:r>
    </w:p>
    <w:p>
      <w:pPr>
        <w:spacing w:after="0" w:line="7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Beyond the GDPR, there are privacy and data security laws in a growing number of countries around the world. While many loosely follow the GDPR as a model, other laws contain different or conflicting provisions. These laws will impact our ability to conduct our business activities, including both our clinical trials and any eventual sale and distribution of commercial products.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U.K.</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Following protracted negotiations, the U.K. left the EU on January 31, 2020. Under the withdrawal agreement, there was a transitional period until December 31, 2020 (extendable by up to two years). On December 24, 2020, the United Kingdom and the EU entered into a Trade and Cooperation Agreement. The agreement sets out certain procedures for approval and recognition of medical products in each jurisdiction.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U.K., as the U.K. legislation now has the potential to diverge from EU legislation. It remains to be seen how Brexit will impact regulatory requirements for product candidates and products in the U.K. in the long term. The Medicines and Healthcare Regulatory Agency published detailed guidance for industry and organizations to follow from January 1, 2021 at the completion of the transition period, which the Agency will update as the U.K.’s regulatory position on medicinal products evolves over time.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Sales of our products will depend, in significant part, on the availability of coverage and the adequacy of reimbursement from third-party payors.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7" w:name="page48"/>
    <w:bookmarkEnd w:id="47"/>
    <w:p>
      <w:pPr>
        <w:ind w:right="40"/>
        <w:spacing w:after="0" w:line="223" w:lineRule="auto"/>
        <w:rPr>
          <w:sz w:val="20"/>
          <w:szCs w:val="20"/>
          <w:color w:val="auto"/>
        </w:rPr>
      </w:pPr>
      <w:r>
        <w:rPr>
          <w:rFonts w:ascii="Arial" w:cs="Arial" w:eastAsia="Arial" w:hAnsi="Arial"/>
          <w:sz w:val="18"/>
          <w:szCs w:val="18"/>
          <w:color w:val="auto"/>
        </w:rPr>
        <w:t>Within the United States, third-party payors include government authorities or government healthcare programs, such as Medicare and Medicaid,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drug product. Third-party payors may limit coverage to specific products on an approved list, or formulary, which might not include all of the FDA-approved products for a particular indication. Some third-party payors may manage utilization of a particular product by requiring pre-approval (known as “prior authorization”) for coverage of particular prescriptions (to allow the payor to assess medical necessity). Moreover, a third-party payor’s decision to provide coverage for a drug product does not imply that an adequate reimbursement rate will be approved. Adequate third-party reimbursement may not be available to enable us to maintain net price levels sufficient to realize an appropriate return on our investment in product development. Additionally, coverage and reimbursement for drug products can differ significantly from payor to payor. One third-party payor’s decision to cover a particular drug product or service does not ensure that other payors will also provide coverage for the drug product or will provide coverage at an adequate reimbursement rate.</w:t>
      </w:r>
    </w:p>
    <w:p>
      <w:pPr>
        <w:spacing w:after="0" w:line="71"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Third-party payors are increasingly challenging the price and examining the cost-effectiveness of new products and services in addition to their safety and efficacy. To obtain or maintain coverage and reimbursement for any current or future product,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Thus, obtaining and maintaining reimbursement status is time-consuming and costly.</w:t>
      </w:r>
    </w:p>
    <w:p>
      <w:pPr>
        <w:spacing w:after="0" w:line="6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As noted above, the marketability of any product candidates for which we receive regulatory approval for commercial sale may suffer if the government and other third-party payors fail to provide coverage and adequate reimbursement. There is an emphasis on cost containment measures in the United States and we expect the pressure on pharmaceutical pricing will increase. Coverage policies and third-party reimbursement rates may change at any time. Even if favorable coverage and reimbursement status is attained for one or more product candidates for which we receive regulatory approval from one or more third party payors, less favorable coverage policies and reimbursement rates may be implemented in the future.</w:t>
      </w:r>
    </w:p>
    <w:p>
      <w:pPr>
        <w:spacing w:after="0" w:line="53"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If we obtain appropriate approval in the future to market any of our current product candidates in the United States, we may be required to provide discounts or rebates under government healthcare programs or to certain government and private purchasers in order to obtain coverage under federal healthcare programs such as Medicaid. Participation in such programs may require us to track and report certain drug prices. We may be subject to fines and other penalties if we fail to report such prices accurately.</w:t>
      </w:r>
    </w:p>
    <w:p>
      <w:pPr>
        <w:spacing w:after="0" w:line="67"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7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the EU, pricing and reimbursement schemes vary widely from country to country because this is not yet the subject of harmonized EU law. Many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and others with “peg” their pricing to a basket of other countries. EU member states may approve a specific price for a product, or it may instead adopt a system of direct or indirect controls on the profitability of the company placing the product on the market. Some member states, in addition to controlling pricing will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0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healthcare providers and patient privacy laws and regulations and other healthcare laws and regulations that may constrain our business and/or financial arrangements. Restrictions under applicable federal and state healthcare laws and regulations, including certain laws and regulations applicable only if we have marketed products, include the following:</w:t>
      </w:r>
    </w:p>
    <w:p>
      <w:pPr>
        <w:spacing w:after="0" w:line="66" w:lineRule="exact"/>
        <w:rPr>
          <w:sz w:val="20"/>
          <w:szCs w:val="20"/>
          <w:color w:val="auto"/>
        </w:rPr>
      </w:pPr>
    </w:p>
    <w:p>
      <w:pPr>
        <w:ind w:left="1020" w:right="22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healthcare program anti-kickback law, which prohibits, among other things, persons from soliciting, receiving or providing remuneration, directly or indirectly, to induce either the referral of an individual for the purchasing or ordering of a good or service, for which payment may be made under federal healthcare programs such as Medicare and Medicaid;</w:t>
      </w:r>
    </w:p>
    <w:p>
      <w:pPr>
        <w:spacing w:after="0" w:line="73" w:lineRule="exact"/>
        <w:rPr>
          <w:rFonts w:ascii="Arial" w:cs="Arial" w:eastAsia="Arial" w:hAnsi="Arial"/>
          <w:sz w:val="18"/>
          <w:szCs w:val="18"/>
          <w:color w:val="auto"/>
        </w:rPr>
      </w:pPr>
    </w:p>
    <w:p>
      <w:pPr>
        <w:jc w:val="both"/>
        <w:ind w:left="1020" w:right="24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73" w:lineRule="exact"/>
        <w:rPr>
          <w:rFonts w:ascii="Arial" w:cs="Arial" w:eastAsia="Arial" w:hAnsi="Arial"/>
          <w:sz w:val="18"/>
          <w:szCs w:val="18"/>
          <w:color w:val="auto"/>
        </w:rPr>
      </w:pPr>
    </w:p>
    <w:p>
      <w:pPr>
        <w:ind w:left="1020" w:right="1040" w:hanging="503"/>
        <w:spacing w:after="0" w:line="291"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38" w:lineRule="exact"/>
        <w:rPr>
          <w:rFonts w:ascii="Arial" w:cs="Arial" w:eastAsia="Arial" w:hAnsi="Arial"/>
          <w:sz w:val="17"/>
          <w:szCs w:val="17"/>
          <w:color w:val="auto"/>
        </w:rPr>
      </w:pPr>
    </w:p>
    <w:p>
      <w:pPr>
        <w:ind w:left="1020" w:right="54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73" w:lineRule="exact"/>
        <w:rPr>
          <w:rFonts w:ascii="Arial" w:cs="Arial" w:eastAsia="Arial" w:hAnsi="Arial"/>
          <w:sz w:val="18"/>
          <w:szCs w:val="18"/>
          <w:color w:val="auto"/>
        </w:rPr>
      </w:pPr>
    </w:p>
    <w:p>
      <w:pPr>
        <w:ind w:left="1020" w:right="140" w:hanging="503"/>
        <w:spacing w:after="0" w:line="24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so-called “federal sunshine” law, which requires pharmaceutical and medical device companies to monitor and report certain financial interactions with certain healthcare providers and teaching hospitals to the Center for Medicare &amp; Medicaid Services within the U.S. Department of Health and Human Services for re-disclosure to the public, as well as ownership and investment interests held by physicians, other healthcare providers and their immediate family members;</w:t>
      </w:r>
    </w:p>
    <w:p>
      <w:pPr>
        <w:spacing w:after="0" w:line="79" w:lineRule="exact"/>
        <w:rPr>
          <w:rFonts w:ascii="Arial" w:cs="Arial" w:eastAsia="Arial" w:hAnsi="Arial"/>
          <w:sz w:val="18"/>
          <w:szCs w:val="18"/>
          <w:color w:val="auto"/>
        </w:rPr>
      </w:pPr>
    </w:p>
    <w:p>
      <w:pPr>
        <w:ind w:left="1020" w:right="10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73" w:lineRule="exact"/>
        <w:rPr>
          <w:rFonts w:ascii="Arial" w:cs="Arial" w:eastAsia="Arial" w:hAnsi="Arial"/>
          <w:sz w:val="18"/>
          <w:szCs w:val="18"/>
          <w:color w:val="auto"/>
        </w:rPr>
      </w:pPr>
    </w:p>
    <w:p>
      <w:pPr>
        <w:ind w:left="1020" w:right="680" w:hanging="503"/>
        <w:spacing w:after="0" w:line="291"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anti-bribery, anti-kickback and false claims laws, which may apply to healthcare items or services that are reimbursed by non-governmental third-party payors, including private insurers.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and other reform</w:t>
      </w:r>
    </w:p>
    <w:p>
      <w:pPr>
        <w:spacing w:after="0" w:line="10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March 2010, the United States Congress enacted the Patient Protection and Affordable Care Act, as amended by the Health Care and Education Reconciliation Act of 2010, or collectively the PPACA, which, among other things, includes changes to the coverage and payment for drug products under government healthcare programs.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with the exception of a temporary suspension from May 1, 2020 through March 31, 2022, unless Congressional action is taken. Under current legislation the actual reduction in Medicare payments will vary from 1% in 2022 to up to 3% in the final fiscal year of this sequester. 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ind w:right="20"/>
        <w:spacing w:after="0" w:line="274" w:lineRule="auto"/>
        <w:rPr>
          <w:sz w:val="20"/>
          <w:szCs w:val="20"/>
          <w:color w:val="auto"/>
        </w:rPr>
      </w:pPr>
      <w:r>
        <w:rPr>
          <w:rFonts w:ascii="Arial" w:cs="Arial" w:eastAsia="Arial" w:hAnsi="Arial"/>
          <w:sz w:val="16"/>
          <w:szCs w:val="16"/>
          <w:color w:val="auto"/>
        </w:rPr>
        <w:t>Since enactment of the PPACA, there have been, and continue to be, numerous legal challenges and Congressional actions to repeal and replace provisions of the law. For example, with enactment of the Tax Cuts and Jobs Act of 2017, or the Tax Act, ,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PPACA is an essential and inseverable feature of the PPACA, and therefore because the mandate was repealed as part of the Tax Act, the remaining provisions of the PPACA are invalid as well. The U.S. Supreme Court heard this case on November 10, 2020 and, on June 17, 2021, dismissed this action after finding that the plaintiffs do not have standing to challenge the constitutionality of the PPACA. Litigation and legislation over the PPACA are likely to continue, with unpredictable and uncertain results.</w:t>
      </w:r>
    </w:p>
    <w:p>
      <w:pPr>
        <w:spacing w:after="0" w:line="55" w:lineRule="exact"/>
        <w:rPr>
          <w:sz w:val="20"/>
          <w:szCs w:val="20"/>
          <w:color w:val="auto"/>
        </w:rPr>
      </w:pPr>
    </w:p>
    <w:p>
      <w:pPr>
        <w:ind w:right="40"/>
        <w:spacing w:after="0" w:line="207" w:lineRule="exact"/>
        <w:rPr>
          <w:sz w:val="20"/>
          <w:szCs w:val="20"/>
          <w:color w:val="auto"/>
        </w:rPr>
      </w:pPr>
      <w:r>
        <w:rPr>
          <w:rFonts w:ascii="Arial" w:cs="Arial" w:eastAsia="Arial" w:hAnsi="Arial"/>
          <w:sz w:val="18"/>
          <w:szCs w:val="18"/>
          <w:color w:val="auto"/>
        </w:rPr>
        <w:t>In January 2021, a new executive order directed federal agencies to reconsider rules and other policies that limit Americans’ access to healthcare and consider actions that will protect and strengthen that access. Under this order, federal agencies are directed to re-examine: policies that undermine protections for people with pre-existing conditions, including complications related to COVID</w:t>
      </w:r>
      <w:r>
        <w:rPr>
          <w:rFonts w:ascii="MS PGothic" w:cs="MS PGothic" w:eastAsia="MS PGothic" w:hAnsi="MS PGothic"/>
          <w:sz w:val="18"/>
          <w:szCs w:val="18"/>
          <w:color w:val="auto"/>
        </w:rPr>
        <w:t>‑</w:t>
      </w:r>
      <w:r>
        <w:rPr>
          <w:rFonts w:ascii="Arial" w:cs="Arial" w:eastAsia="Arial" w:hAnsi="Arial"/>
          <w:sz w:val="18"/>
          <w:szCs w:val="18"/>
          <w:color w:val="auto"/>
        </w:rPr>
        <w:t>19; demonstrations and waivers under Medicaid and the PPACA that may reduce coverage or undermine the programs, including work requirements; policies that undermine the Health Insurance Marketplace or other markets for health insurance; policies that make it more difficult to enroll in Medicaid and under the PPACA; and policies that reduce affordability of coverage or financial assistance, including for dependents.</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costs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In prior presidential administrations, several executive orders intended to lower the costs of prescription drug products were issued. Certain of these orders are reflected in recently promulgated regulations, including an interim final rule implementing a most favored nation model, which would tie Medicare Part B payments for certain physician-administered drugs to the lowest price paid in other economically advanced countries effective January 1, 2021, but such final rule is subject to a nationwide preliminary injunction for its failure to comply with notice and comment rulemaking requirements. The current administration has frozen certain of the previous administration’s measures to reform drug prices, pending further review. Further, Executive Order 14063, signed on July 9, 2021, focuses on, among other things, the price of pharmaceuticals. To address these costs, the Order directs the Department of Health and Human Services, or HHS, to create a plan within 45 days to combat “excessive pricing of prescription drugs and enhance domestic pharmaceutical supply chains, to reduce the prices paid by the federal government for such drugs, and to address the recurrent problem of price gouging.”</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 Further, on August 21, 2021, in response to the litigation challenging the most favored nation model, CMS issued a proposed rule to rescind the interim final rule, following public notice and comment. With issuance of this proposal, CMS stated that it will carefully consider the comments it received on the November 2020 interim final rule as it explores all options to incorporate value into payments for Medicare Part B drugs and improve beneficiaries' access to evidence-based care.</w:t>
      </w:r>
    </w:p>
    <w:p>
      <w:pPr>
        <w:spacing w:after="0" w:line="6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Team members</w:t>
      </w:r>
    </w:p>
    <w:p>
      <w:pPr>
        <w:spacing w:after="0" w:line="10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As of December 31, 2021, we had 341 team members employed with us full-time, of which 107 had a M.D. or Ph.D. degree. Of these team members, 234 were engaged in research and development activities, 13 were engaged in clinical activities, 32 were in technical operations and 62 were in general and administrative roles. None of our team members are represented by a labor union or covered by a collective bargaining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Human capital strategy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human capital strategy starts with our values:</w:t>
      </w:r>
    </w:p>
    <w:p>
      <w:pPr>
        <w:spacing w:after="0" w:line="104" w:lineRule="exact"/>
        <w:rPr>
          <w:sz w:val="20"/>
          <w:szCs w:val="20"/>
          <w:color w:val="auto"/>
        </w:rPr>
      </w:pPr>
    </w:p>
    <w:p>
      <w:pPr>
        <w:ind w:left="1080" w:hanging="56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A community of fearless innovators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Rigorous and honest in our research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Listening with open minds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Committed to each other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These values have helped us build a team that is focused on achieving our vision of providing life-long cures for patients suffering from serious diseases.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priorities are key to realizing this 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w:t>
      </w:r>
    </w:p>
    <w:p>
      <w:pPr>
        <w:spacing w:after="0" w:line="104" w:lineRule="exact"/>
        <w:rPr>
          <w:sz w:val="20"/>
          <w:szCs w:val="20"/>
          <w:color w:val="auto"/>
        </w:rPr>
      </w:pPr>
    </w:p>
    <w:p>
      <w:pPr>
        <w:jc w:val="both"/>
        <w:ind w:right="380"/>
        <w:spacing w:after="0" w:line="270" w:lineRule="auto"/>
        <w:rPr>
          <w:sz w:val="20"/>
          <w:szCs w:val="20"/>
          <w:color w:val="auto"/>
        </w:rPr>
      </w:pPr>
      <w:r>
        <w:rPr>
          <w:rFonts w:ascii="Arial" w:cs="Arial" w:eastAsia="Arial" w:hAnsi="Arial"/>
          <w:sz w:val="17"/>
          <w:szCs w:val="17"/>
          <w:color w:val="auto"/>
        </w:rPr>
        <w:t>We have a highly engaged team, and we regularly collect feedback to ensure their voices are heard. We do this through a combination of engagement surveys, weekly team meetings, one-on-one interactions, and open forums. In 2021, 98% of our team members participated in the Boston Globe’s Top Places to Work survey. We have received this industry recognition for each of the last three years.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rewards (compensation and benefits)</w:t>
      </w:r>
    </w:p>
    <w:p>
      <w:pPr>
        <w:spacing w:after="0" w:line="10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are committed to rewarding our team members in order to continue to attract and retain talent. We do this by regularly conducting market assessments to ensure our compensation program is competitively positioned. We also engage our team members on a regular basis to understand what benefits they value. This feedback has allowed us to evolve our total rewards to respond proactively to the needs of our team.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Wellness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order to execute on our human capital strategy, the wellbeing of our team members comes first. To that end, we provide several benefits focused on the various physical, mental, and financial aspects of wellness. For example, in response to the COVID-19 pandemic, we implemented changes in our business to protect our team members and their families. These changes include flexible working schedules, weekly on-site testing, technology support and mandatory vaccination for all team members. As of December 31, 2021, all of our team members were in compliance with our COVID-19 vaccination policy.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diversity &amp; belonging</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continue to build an inclusive and diverse culture that allows for unique perspectives, creates an opportunity for all to grow and develop, and reflects the needs of relevant patient communities. Our Inclusion, Diversity and Belonging team develops monthly programs for our team members to engage with, hosts external speakers and panels, supports diverse local businesses, and creates communications for events that we honor throughout the year. In addition to our monthly programming, we are undertaking initiatives to accomplish the following goals, which were established with direct input from a company-wide listening tour and are linked to our values:</w:t>
      </w:r>
    </w:p>
    <w:p>
      <w:pPr>
        <w:spacing w:after="0" w:line="81"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Inclusion, Diversity and Belonging at Beam is a cultural priority with a clear vision, intentional commitment, and transparent accountability.</w:t>
      </w:r>
    </w:p>
    <w:p>
      <w:pPr>
        <w:spacing w:after="0" w:line="126" w:lineRule="exact"/>
        <w:rPr>
          <w:rFonts w:ascii="Arial" w:cs="Arial" w:eastAsia="Arial" w:hAnsi="Arial"/>
          <w:sz w:val="16"/>
          <w:szCs w:val="16"/>
          <w:color w:val="auto"/>
        </w:rPr>
      </w:pPr>
    </w:p>
    <w:p>
      <w:pPr>
        <w:ind w:left="1020" w:right="600" w:hanging="503"/>
        <w:spacing w:after="0" w:line="291"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incorporate an Inclusion, Diversity and Belonging lens into our programs, policies, and processes, ensuring Beam team members understand how inclusion, diversity and belonging can have a positive effect on the employee experience.</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take meaningful action to increase and support underrepresented talent, with specific emphasis on Black and Latinx team members.</w:t>
      </w:r>
    </w:p>
    <w:p>
      <w:pPr>
        <w:spacing w:after="0" w:line="126" w:lineRule="exact"/>
        <w:rPr>
          <w:rFonts w:ascii="Arial" w:cs="Arial" w:eastAsia="Arial" w:hAnsi="Arial"/>
          <w:sz w:val="16"/>
          <w:szCs w:val="16"/>
          <w:color w:val="auto"/>
        </w:rPr>
      </w:pPr>
    </w:p>
    <w:p>
      <w:pPr>
        <w:ind w:left="1020" w:right="6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honor and acknowledge various groups throughout the year, observing National Hispanic Heritage Month, Black History Month, International Women’s Day, Global Diversity Awareness Month, and Indigenous People’s Day.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website address is www.beamtx.com, and our investor relations website is located at investors.beamtx.com. Information on our website is not incorporated by reference herein. We will make available on our website, free of charge, our Annual Report on Form 10-K, Quarterly Reports on Form 10-Q, Current Reports on Form 8-K and any amendments to those reports filed or furnished pursuant to Section 13(a) or 15(d) of the Exchange Act, as soon as reasonably practicable after we electronically file such material with, or furnish it to, the SEC. The SEC maintains an Internet site (http://www.sec.gov) containing reports, proxy and information statements, and other information regarding issuers that file electronically with the SEC.</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51" w:name="page52"/>
    <w:bookmarkEnd w:id="51"/>
    <w:p>
      <w:pPr>
        <w:ind w:right="20"/>
        <w:spacing w:after="0" w:line="255" w:lineRule="auto"/>
        <w:rPr>
          <w:sz w:val="20"/>
          <w:szCs w:val="20"/>
          <w:color w:val="auto"/>
        </w:rPr>
      </w:pPr>
      <w:r>
        <w:rPr>
          <w:rFonts w:ascii="Arial" w:cs="Arial" w:eastAsia="Arial" w:hAnsi="Arial"/>
          <w:sz w:val="17"/>
          <w:szCs w:val="17"/>
          <w:color w:val="auto"/>
        </w:rPr>
        <w:t>Investors and others should note that we announce material information to our investors using one or more of the following: SEC filings, press releases and our corporate website, including without limitation the “Investors Center” section of our website. We use these channels, as well as social media channels such as Twitter and LinkedIn, in order to achieve broad, non-exclusionary distribution of information to the public and for complying with our disclosure obligations under Regulation FD. It is possible that the information we post on our corporate website or other social media could be deemed to be material information. Therefore, we encourage investors, the media, and others interested in our company to review the information we post on the “Investor Center” section of our corporate website and on our social media channels. The contents of our corporate website and social media channels are not, however, a part of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i w:val="1"/>
          <w:iCs w:val="1"/>
          <w:color w:val="auto"/>
        </w:rPr>
        <w:t>You should carefully consider the risks and uncertainties described below together with all of the other information contained in this Annual Report on Form 10-K, including our consolidated financial statements and related notes appearing at the end of this Annual Report on Form 10-K, in evaluating our company. If any of the events or developments described below were to occur, our business, prospects, operating results and financial condition could suffer materially, the trading price of our common stock could decline. The risks and uncertainties described below are not the only ones we face. Additional risks and uncertainties not presently known to us or that we currently believe to be immaterial may also adversely affect our business.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b w:val="1"/>
          <w:bCs w:val="1"/>
          <w:i w:val="1"/>
          <w:iCs w:val="1"/>
          <w:color w:val="auto"/>
        </w:rPr>
        <w:t>We have incurred significant losses since inception. We expect to incur losses for the foreseeable future and may never achieve or maintain profitability.</w:t>
      </w:r>
    </w:p>
    <w:p>
      <w:pPr>
        <w:spacing w:after="0" w:line="63" w:lineRule="exact"/>
        <w:rPr>
          <w:sz w:val="20"/>
          <w:szCs w:val="20"/>
          <w:color w:val="auto"/>
        </w:rPr>
      </w:pPr>
    </w:p>
    <w:p>
      <w:pPr>
        <w:ind w:right="480"/>
        <w:spacing w:after="0" w:line="308" w:lineRule="auto"/>
        <w:rPr>
          <w:sz w:val="20"/>
          <w:szCs w:val="20"/>
          <w:color w:val="auto"/>
        </w:rPr>
      </w:pPr>
      <w:r>
        <w:rPr>
          <w:rFonts w:ascii="Arial" w:cs="Arial" w:eastAsia="Arial" w:hAnsi="Arial"/>
          <w:sz w:val="16"/>
          <w:szCs w:val="16"/>
          <w:color w:val="auto"/>
        </w:rPr>
        <w:t>Since inception, we have incurred significant operating losses. Our net loss was $370.6 million, $194.6 million and $78.3 million for the years ended December 31, 2021, 2020 and 2019, respectively. As of December 31, 2021, we had an accumulated deficit of $768.3 million. We have financed our</w:t>
      </w:r>
    </w:p>
    <w:p>
      <w:pPr>
        <w:jc w:val="both"/>
        <w:ind w:right="40"/>
        <w:spacing w:after="0" w:line="278" w:lineRule="auto"/>
        <w:rPr>
          <w:sz w:val="20"/>
          <w:szCs w:val="20"/>
          <w:color w:val="auto"/>
        </w:rPr>
      </w:pPr>
      <w:r>
        <w:rPr>
          <w:rFonts w:ascii="Arial" w:cs="Arial" w:eastAsia="Arial" w:hAnsi="Arial"/>
          <w:sz w:val="17"/>
          <w:szCs w:val="17"/>
          <w:color w:val="auto"/>
        </w:rPr>
        <w:t>operations primarily through private placements of our preferred stock and proceeds from sales of our common stock. We have devoted all of our efforts to research and development.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50"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initiate clinical trials, including our BEACON-101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our research programs and our preclinical development of other product candidates from our research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other product candidates we identify and develop;</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 and provide reimbursement of third-party expenses related to our patent portfolio;</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medicines for which we may obtain marketing approval;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further develop our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hire additional personnel, including research and development, clinical, and commercial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acquire or in-license products, intellectual property, medicines,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building and then maintain a commercial-scale cGMP manufacturing facility;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2" w:name="page53"/>
    <w:bookmarkEnd w:id="52"/>
    <w:p>
      <w:pPr>
        <w:ind w:right="20"/>
        <w:spacing w:after="0" w:line="253" w:lineRule="auto"/>
        <w:rPr>
          <w:sz w:val="20"/>
          <w:szCs w:val="20"/>
          <w:color w:val="auto"/>
        </w:rPr>
      </w:pPr>
      <w:r>
        <w:rPr>
          <w:rFonts w:ascii="Arial" w:cs="Arial" w:eastAsia="Arial" w:hAnsi="Arial"/>
          <w:sz w:val="17"/>
          <w:szCs w:val="17"/>
          <w:color w:val="auto"/>
        </w:rPr>
        <w:t>We have not completed any clinical trials of any product candidates and expect that it will be many years, if ever, before we have a product candidate approved for commercialization. To become and remain profitable, we must develop and, either directly or through collaborators, eventually commercialize a medicine or medicines with significant market potential. This will require us to be successful in a range of challenging activities, including identifying product candidates, completing preclinical studies and clinical trials of product candidates, obtaining marketing approval for these product candidates, manufacturing, marketing, and selling those medicines for which we may obtain marketing approval, and satisfying any post-marketing requirements. We may never succeed in these activities and, even if we do, may never generate revenues that are significant or large enough to achieve profitability. Because of the numerous risks and uncertainties associated with developing base editing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7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6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expect our expenses to increase in connection with our ongoing activities, particularly as we identify, continue the research and development of, initiate and continue clinical trials of, and seek marketing approval for, product candidates. 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5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At December 31, 2021, our cash, cash equivalents, and marketable securities were $965.6 million. We believe that our existing cash, cash equivalents, and marketable securities will enable us to fund our operating expenses and capital expenditure requirements for at least the next 12 months. However, our operating plan may change as a result of factors currently unknown to us, and we may need to seek additional funding sooner than planned. Our future capital requirements will depend on many factors, including:</w:t>
      </w:r>
    </w:p>
    <w:p>
      <w:pPr>
        <w:spacing w:after="0" w:line="80"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continuing to build our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acquiring licenses for the delivery modalities that will be used with our product candidates;</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preclinical development, laboratory testing, manufacturing, and clinical trials for the product candidates we may develop;</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distribution, coverage and reimbursement for any product candidates for which we receive regulatory approval to commercialize;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our license agreements and our collaborations;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establish and maintain additional license agreements and collaborations on favorable terms, if at all;</w:t>
      </w:r>
    </w:p>
    <w:p>
      <w:pPr>
        <w:spacing w:after="0" w:line="103"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additional license agreements or collaboration agreements we obtain;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we acquire or in-license products, intellectual property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of obtaining, building and expanding our internal manufacturing capacity.</w:t>
      </w:r>
    </w:p>
    <w:p>
      <w:pPr>
        <w:spacing w:after="0" w:line="104"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product sales. In addition, even if we successfully identify and develop product candidates and those product candidates are approved, we may not achieve commercial success. Our commercial revenues, if any, will be derived from sales of medicines that we do not expect to be commercially available for many years, if ever. Accordingly, we will need to continue to rely on additional financing to achieve our business objectives. Adequate additional financing may not be available to us on acceptable terms, or at all.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3" w:name="page54"/>
    <w:bookmarkEnd w:id="53"/>
    <w:p>
      <w:pPr>
        <w:ind w:right="80"/>
        <w:spacing w:after="0" w:line="253" w:lineRule="auto"/>
        <w:rPr>
          <w:sz w:val="20"/>
          <w:szCs w:val="20"/>
          <w:color w:val="auto"/>
        </w:rPr>
      </w:pPr>
      <w:r>
        <w:rPr>
          <w:rFonts w:ascii="Arial" w:cs="Arial" w:eastAsia="Arial" w:hAnsi="Arial"/>
          <w:sz w:val="17"/>
          <w:szCs w:val="17"/>
          <w:color w:val="auto"/>
        </w:rPr>
        <w:t>Any additional fundraising efforts may divert the attention of our management from their day-to-day activities, which may adversely affect our ability to develop and, if approved, commercialize our product candidates. We cannot be certain that additional funding will be available to us on acceptable terms, or at all. We have no committed source of additional capital and, if we are unable to raise additional capital in sufficient amounts or on terms acceptable to us on a timely basis, we may have to significantly delay, scale back or discontinue the development or, if approved, commercialization of our product candidates or other research and development initiatives. Our current and any future license agreements and collaboration agreements may also be terminated if we are unable to meet the payment or other obligations under the agreements. We could be required to seek collaborators for product candidates we may develop at an earlier stage than otherwise would be desirable or on terms that are less favorable than might otherwise be available or relinquish or license on unfavorable terms our rights to product candidates we may develop in markets where we otherwise would seek to pursue development or commercialization ourselves.</w:t>
      </w:r>
    </w:p>
    <w:p>
      <w:pPr>
        <w:spacing w:after="0" w:line="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we are unable to obtain funding on a timely basis, we may also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spacing w:after="0" w:line="56"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 we may develop.</w:t>
      </w:r>
    </w:p>
    <w:p>
      <w:pPr>
        <w:spacing w:after="0" w:line="6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capital. To the extent that we raise additional capital through the sale of equity or convertible debt securities, your ownership interest will be diluted.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spacing w:after="0" w:line="81"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technologies, future revenue streams, research programs, or product candidates we may develop,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In addition, we have and may in the future enter collaboration and acquisition agreements, pursuant to which we are required to issue additional shares of our common stock in connection with future milestone payment obligations. These and other future issuances to our partners and collaborators may cause substantial dilution to our stockholders.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short operating history may make it difficult for you to evaluate the success of our business to date and to assess our future viability.</w:t>
      </w:r>
    </w:p>
    <w:p>
      <w:pPr>
        <w:spacing w:after="0" w:line="115"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We are an early-stage company. We were founded in January 2017 and began operations in July 2017. Our operations to date have been limited to organizing and staffing our company, business planning, raising capital, acquiring and developing our platform and technology, identifying potential product candidates, undertaking preclinical studies and preparing for the initiation of clinical trials. Nearly all of our product development programs are still in the preclinical or research stage of development, and their risk of failure is high. We have not yet demonstrated an ability to initiate or successfully complete any clinical trials, including large-scale, pivotal clinical trials, obtain marketing approvals, manufacture a commercial-scale medicine, or arrange for a third party to do so on our behalf, or conduct sales and marketing activities necessary for successful commercialization. Typically, it takes about 10 to 15 years to develop a new medicine from the time it is discovered to when it is available for treating patients. Consequently, any predictions you make about our future success or viability may not be as accurate as they could be if we had a longer operating history.</w:t>
      </w:r>
    </w:p>
    <w:p>
      <w:pPr>
        <w:spacing w:after="0" w:line="60"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Our limited operating history, particularly in light of the rapidly evolving base editing and gene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early stage companies in rapidly evolving fields. If we do not address these risks successfully, our business will suffer.</w:t>
      </w:r>
    </w:p>
    <w:p>
      <w:pPr>
        <w:spacing w:after="0" w:line="8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addition, as a new business, we may encounter other unforeseen expenses, difficulties, complications, delays, and other known and unknown factors. We will eventually need to transition from a company with a research focus to a company capable of supporting commercial activities. We may not be successful in such a transition.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become profitable.</w:t>
      </w:r>
    </w:p>
    <w:p>
      <w:pPr>
        <w:spacing w:after="0" w:line="10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the next several years, if ever. Our ability to generate future revenues from product sales depends heavily on our, or our collaborators’, ability to successfully:</w:t>
      </w:r>
    </w:p>
    <w:p>
      <w:pPr>
        <w:spacing w:after="0" w:line="80" w:lineRule="exact"/>
        <w:rPr>
          <w:sz w:val="20"/>
          <w:szCs w:val="20"/>
          <w:color w:val="auto"/>
        </w:rPr>
      </w:pPr>
    </w:p>
    <w:p>
      <w:pPr>
        <w:ind w:left="1020" w:right="6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product candidates and complete research and preclinical and clinical development of the product candidates we or our collaborators may identify;</w:t>
      </w:r>
    </w:p>
    <w:p>
      <w:pPr>
        <w:spacing w:after="0" w:line="62"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seek and obtain regulatory and marketing approvals for any of our product candidates for which we or our collaborators successfully complete clinical trials;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launch and commercialize any of our product candidates for which we obtain regulatory and marketing approval by establishing a sales force, marketing,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qualify for adequate coverage and reimbursement by government and third-party payors for our product candidates for which we or our collaborators obtain regulatory and marketing approval;</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develop, maintain, and enhance a sustainable, scalable, reproducible, and transferable manufacturing process for the product candidates we or our collaborators may develop;</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manufacture materials in compliance with cGMP and establish the infrastructure necessary to support and develop large-scale manufacturing capabilities;</w:t>
      </w:r>
    </w:p>
    <w:p>
      <w:pPr>
        <w:spacing w:after="0" w:line="62"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that can provide adequate, in both amount and quality, products, and services to support clinical development and the market demand for our product candidates for which we or our collaborators obtain regulatory and marketing approval;</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market acceptance of any product candidates we or our collaborators may develop as viable treatment options;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 competing technological and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 internal systems and infrastructure, as needed;</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negotiate favorable terms in any collaboration, licensing, or other arrangements into which we may enter and performing our obligations in such collaborations, licensing or other arrangements;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maintain, protect, enforce, defend, and expand our portfolio of intellectual property rights, including patents, trade secrets, and know-how;</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avoid and defend against third-party interference, infringement, and other intellectual property claims;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04"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Even if one or more of the product candidates we or our collaborators may develop are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Our future ability to utilize our net operating loss carryforwards and certain other tax attributes may be limited.</w:t>
      </w:r>
    </w:p>
    <w:p>
      <w:pPr>
        <w:spacing w:after="0" w:line="104"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We have incurred substantial losses during our history, and we may never achieve profitability. To the extent that we continue to generate taxable losses, unused losses will carry forward to offset a portion of future taxable income, if any, subject to expiration of such carryforwards in the case of carryforwards generated prior to 2018. Additionally, we continue to generate business tax credits, including research and development tax credits, which generally may be carried forward to offset a portion of future taxable income, if any, subject to expiration of such credit carryforwards. In addition, under Sections 382 and 383 of the Internal Revenue Code of 1986, as amended, or the Code, if a corporation undergoes an “ownership change,” generally defined as one or more shareholders or groups of shareholders who own at least 5% of the corporation’s equity increasing their ownership in the aggregate by a greater than 50 percentage point change (by value) in their equity ownership over a three-year period, the corporation’s ability to use its pre-change net operating loss carryforwards, or NOLs, and other pre-change tax attributes (such as research and development tax credits) to offset its post-change income or taxes may be limited. The amount of the annual limitation is determined based on the value of the corporation immediately prior to the ownership change. Our prior equity offerings and other changes in our stock ownership may have resulted in such ownership changes. In addition, we may experience ownership changes in the future as a result of shifts in our stock ownership,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 limitations on our ability to utilize our NOLs to offset future taxable income may arise as a result of our corporate structure, whereby NOLs generated by certain of our subsidiaries or controlled entities may not be available to offset taxable income earned by our subsidiaries or other controlled entities. In addition, under legislation commonly referred to as the Tax Cuts and Jobs Act of 2017, or the Tax Act, as amended by the Coronavirus Aid, Relief, and Economic Security Act, or the CARES Act, the amount of post-2017 NOLs that we are permitted to deduct in any taxable year is limited to 80% of our taxable income in such year. The Tax Act generally eliminates the ability to carry back any NOLs to prior taxable years, while allowing post-2017 unused NOLs to be carried forward indefinitely. There is a risk that due to changes under the Tax Act,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development, and commercialization</w:t>
      </w:r>
    </w:p>
    <w:p>
      <w:pPr>
        <w:spacing w:after="0" w:line="10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63"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We are focused on developing potentially curative medicines utilizing base editing technology. Although there have been significant advances in the field of gene therapy, which typically involves introducing a copy of a gene into a patient’s cell, and gene editing in recent years, base editing technologies are new and largely unproven. The technologies that we have licensed and that we intend to develop and intend to license have not yet completed any clinical trials, nor are we aware of any clinical trials for safety or efficacy having been completed by third parties using our base editing or similar technologies.</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 xml:space="preserve">The scientific evidence to support the feasibility of developing product candidates based on these technologies is both preliminary and limited, and base editing and delivery modalities for it are novel. Successful development of product candidates by us will require solving a number of issues, including safely delivering a therapeutic into target cells within the human body or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setting, optimizing the efficiency and specificity of such product candidates, and ensuring the therapeutic selectivity of such product candidates. Several biological steps are required for delivery of base editing medicines to translate into therapeutically active medicines. These processing steps may differ between individuals and differ based on the targeted tissue. These differences could lead to variable levels of therapeutic protein, variable activity, immunogenicity, or variable distribution to tissues further increasing the risk inherent in the development of base editing medicines. There can be no assurance we will be successful in solving any or all of these issues, or that we will be able to progress our preclinical studies or clinical trials in accordance with anticipated timelines.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have concentrated our research efforts to date on preclinical work to bring therapeutics to the clinic for our initial indications, and our future success is highly dependent on the successful development of base editing technologies, cellular delivery methods and therapeutic applications of that technology. While some of the existing gene editing technologies have progressed to clinical trials, they continue to suffer from various limitations, and such limitations may affect our future success. We may decide to alter or abandon our initial programs as new data become available and we gain experience in developing base editing therapeutics. We cannot be sure that our technologies will yield satisfactory products that are safe and effective, scalable or profitable in our initial indications or any other indication we pursue.</w:t>
      </w:r>
    </w:p>
    <w:p>
      <w:pPr>
        <w:spacing w:after="0" w:line="8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Development activities in the field of base editing are currently subject to a number of risks related to the ownership and use of certain intellectual property rights that are subject to patent interference proceedings in the United States and opposition proceedings in Europe. For additional information regarding the risks that may apply to our and our licensors’ intellectual property rights, see the section entitled “—Risks related to our intellectual property”.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6" w:name="page57"/>
    <w:bookmarkEnd w:id="56"/>
    <w:p>
      <w:pPr>
        <w:ind w:right="120"/>
        <w:spacing w:after="0" w:line="261" w:lineRule="auto"/>
        <w:rPr>
          <w:sz w:val="20"/>
          <w:szCs w:val="20"/>
          <w:color w:val="auto"/>
        </w:rPr>
      </w:pPr>
      <w:r>
        <w:rPr>
          <w:rFonts w:ascii="Arial" w:cs="Arial" w:eastAsia="Arial" w:hAnsi="Arial"/>
          <w:sz w:val="18"/>
          <w:szCs w:val="18"/>
          <w:b w:val="1"/>
          <w:bCs w:val="1"/>
          <w:i w:val="1"/>
          <w:iCs w:val="1"/>
          <w:color w:val="auto"/>
        </w:rPr>
        <w:t>We may not be successful in our efforts to identify and develop potential product candidates. If these efforts are unsuccessful, we may never become a commercial stage company or generate any revenues.</w:t>
      </w:r>
    </w:p>
    <w:p>
      <w:pPr>
        <w:spacing w:after="0" w:line="63"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 xml:space="preserve">The success of our business depends primarily upon our ability to identify, develop, and commercialize product candidates based on our gene editing platform. Nearly all of our product development programs are still in the research or preclinical stage of development. Our research programs may fail to identify potential product candidates for clinical development for a number of reasons. Our research methodology may be unsuccessful in identifying potential product candidates, our potential product candidates may be shown to have harmful side effects in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or animal model studies, they may not show promising signals of therapeutic effect in such experiments or studies or they may have other characteristics that may make the product candidates impractical to manufacture, unmarketable, or unlikely to receive marketing approval.</w:t>
      </w:r>
    </w:p>
    <w:p>
      <w:pPr>
        <w:spacing w:after="0" w:line="5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In addition, although we believe base editing will position us to rapidly expand our portfolio of product candidates beyond our current product candidates we may develop after only minimal changes to the product candidate construct, we have not yet successfully developed any product candidate and our ability to expand our portfolio may never materialize.</w:t>
      </w:r>
    </w:p>
    <w:p>
      <w:pPr>
        <w:spacing w:after="0" w:line="7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If any of these events occur, we may be forced to abandon our research or development efforts for a program or programs, which would have a material adverse effect on our business, financial condition, results of operations, and prospects. Research programs to identify new product candidates require substantial technical, financial, and human resources. We may focus our efforts and resources on potential programs or product candidates that ultimately prove to be unsuccessful, which would be costly and time-consuming.</w:t>
      </w:r>
    </w:p>
    <w:p>
      <w:pPr>
        <w:spacing w:after="0" w:line="80"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The gene editing field is relatively new and is evolving rapidly. We are focusing our research and development efforts primarily on gene editing using base editing technology, but other gene editing technologies may be discovered that provide significant advantages over base editing, which could materially harm our business.</w:t>
      </w:r>
    </w:p>
    <w:p>
      <w:pPr>
        <w:spacing w:after="0" w:line="7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focus our research and development efforts primarily on gene editing technologies using base editing. Other companies have previously undertaken research and development of gene editing technologies using zinc finger nucleases, engineered meganucleases, and transcription activator-like effector nucleases, or TALENs, but to date no company has obtained marketing approval for a product candidate developed using those technologies. There can be no certainty that base editing technology will lead to the development of genetic medicines or that other gene editing technologies will not be considered better or more attractive for the development of medicines. For example, Feng Zhang’s group at MIT and Broad Institute, and, separately, Samuel Sternberg’s group at Columbia University announced the discovery of the use of transposons, or jumping genes, in June 2019. Transposons can insert themselves into different places in the genome and can be programmed to carry specific DNA sequences to specific sites, without the need for making double-stranded breaks in DNA. In addition, one of our founders, David Liu, and his group at Broad Institute developed a novel gene editing technology. We have secured an exclusive license from Prime Medicine, a company founded by David Liu, to pursue this new technology in certain fields and for certain applications similar to those we are already pursuing with base editing. Our license does not cover all fields and applications of this new technology for gene editing and Prime Medicine retains broad rights to use this technology outside of the fields licensed to us. It is possible that this gene editing technology developed by David Liu’s group is competitive with our business, and it is also possible that such gene editing technology may potentially be considered more attractive than base editing. Therefore, Prime Medicine may pursue this technology in other fields and for other applications and may develop competing products using such technology. David Liu has reported results from his lab related to base editing in mitochondria; this is accomplished by splitting the deaminase into two halves, which are reassembled at the desired regions of the mitochondrial DNA. This new technology could be used to treat mitochondrial diseases. Our current technology cannot edit within the mitochondria. In addition, Geoffrey von Maltzahn and others have launched a company called Tessera Therapeutics, Inc., which is focused on a technology they call “Gene Writing.” This technology, which utilizes mobile genetic elements, can alter the genome by inserting genes and exons, introducing small insertions and deletions, or by changing single or multiple DNA base pairs. Similarly, another new gene editing technology that has not been discovered yet may be determined to be more attractive than base editing. Moreover, if we decide to focus primarily on gene editing technologies other than those involving base editing, we cannot be certain we will be able to obtain rights to such technologies. Although all of our founders who currently provide consulting and advisory services to us in the area of base editing technologies have assignment of inventions obligations to us with respect to the services they perform for us, these assignment of inventions obligations are subject to limitations and do not extend to their work in other fields or to the intellectual property arising from their employment with their respective academic and research institutions. To obtain intellectual property rights assigned by these founders to such institutions, we would need to enter into license agreements with such institutions, which may not be available on commercially reasonable terms or at all. Further, while our three founders have non-competition clauses in their respective consulting agreements, the non-competition obligation is limited to the field of base editing for human therapeutics, and our founders have developed and may in the future develop new technologies that are outside of the field of their non-competition obligations but may be competitive to our business. For example, as discussed above, David Liu and his group at Broad Institute have developed novel gene editing technology outside of the field of his non-competition obligations that may be used to develop products that compete with our business. Any of these factors could reduce or eliminate our commercial opportunity, and could have a material adverse effect on our business, financial condition, results of operations, and prospects.</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7" w:name="page58"/>
    <w:bookmarkEnd w:id="57"/>
    <w:p>
      <w:pPr>
        <w:ind w:right="300"/>
        <w:spacing w:after="0" w:line="243" w:lineRule="auto"/>
        <w:rPr>
          <w:sz w:val="20"/>
          <w:szCs w:val="20"/>
          <w:color w:val="auto"/>
        </w:rPr>
      </w:pPr>
      <w:r>
        <w:rPr>
          <w:rFonts w:ascii="Arial" w:cs="Arial" w:eastAsia="Arial" w:hAnsi="Arial"/>
          <w:sz w:val="18"/>
          <w:szCs w:val="18"/>
          <w:b w:val="1"/>
          <w:bCs w:val="1"/>
          <w:i w:val="1"/>
          <w:iCs w:val="1"/>
          <w:color w:val="auto"/>
        </w:rPr>
        <w:t>We are very early in our development efforts. Nearly all of our product candidates are still in preclinical development or earlier stages and it will be many years before we or our collaborators commercialize a product candidate, if ever. If we are unable to advance our product candidates to and through clinical development, obtain regulatory approval and ultimately commercialize our product candidates, or experience significant delays in doing so, our business will be materially harmed.</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are very early in our development efforts and have focused our research and development efforts to date on base editing and delivery technology, identifying our initial targeted disease indications and product candidates in these indications. Our future success depends heavily on the successful development of our base editing product candidates. With the exception of our BEACON-101 clinical trial to evaluate the safety and efficacy of BEAM-101 for the treatment of sickle cell disease, all of our product candidates are in preclinical development or in discovery. We have invested substantially all of our efforts and financial resources in building our base editing and delivery technologies, and the identification and preclinical development of our current product candidates. Our ability to generate product revenue, which we do not expect will occur for many years, if ever, will depend heavily on the successful development and, if approved, eventual commercialization of our product candidates, which may never occur. We currently generate no revenue from sales of any product, and we may never be able to develop or commercialize a marketable product.</w:t>
      </w:r>
    </w:p>
    <w:p>
      <w:pPr>
        <w:spacing w:after="0" w:line="6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Commencing clinical trials in the United States is subject to acceptance by the FDA of our INDs and finalizing the trial design based on discussions with the FDA and other regulatory authorities. In the event that the FDA requires us to complete additional preclinical studies or we are required to satisfy other FDA requests for our BEACON-101 trial or other clinical trials we may seek to conduct, the start or progress of such trials may be delayed. Even after we receive and incorporate guidance from these regulatory authorities, the FDA or other regulatory authorities could disagree that we have satisfied their requirements to commence our clinical trial or change their position on the acceptability of our data, trial design or the clinical endpoints selected, which may require us to complete additional preclinical studies or clinical trials or impose stricter requirements for approval than we currently expect. There are equivalent processes and risks applicable to clinical trial applications in other countries, including in Europe.</w:t>
      </w:r>
    </w:p>
    <w:p>
      <w:pPr>
        <w:spacing w:after="0" w:line="5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Commercialization of our product candidates we may develop will require additional preclinical and clinical development; regulatory and marketing approval in multiple jurisdictions, including by the FDA and the EMA; obtaining manufacturing supply, capacity and expertise; building of a commercial organization; and significant marketing efforts. The success of product candidates we identify and develop will depend on many factors, including the following:</w:t>
      </w:r>
    </w:p>
    <w:p>
      <w:pPr>
        <w:spacing w:after="0" w:line="80"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sufficiency of our financial and other resources to complete the necessary preclinical studies, IND-enabling studies, and clinical trials;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clearance of IND applications or comparable foreign applications that allow commencement of our planned clinical trials or future clinical trials for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03"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for clinical supply and commercial manufacturing and, where applicable, commercial manufacturing capabilities;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successful development of our internal manufacturing processes and transfer to larger-scale facilities operated by either a CMO, or by us;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obtaining and maintaining patent, trade secret, and other intellectual property protection and non-patent exclusivity for our medicines;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launching commercial sales of the medicines, if and when approved, whether alone or in collaboration with others;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continued acceptable safety profile of the medicines following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supplying the product at a price that is acceptable to the pricing or reimbursement authorities in different countries.</w:t>
      </w:r>
    </w:p>
    <w:p>
      <w:pPr>
        <w:spacing w:after="0" w:line="10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If we do not successfully achieve one or more of these activities in a timely manner or at all, we could experience significant delays or an inability to successfully commercialize any product candidates we may develop, which would materially harm our business. If we do not receive regulatory approvals for our product candidates, we may not be able to continue our operations.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8" w:name="page59"/>
    <w:bookmarkEnd w:id="58"/>
    <w:p>
      <w:pPr>
        <w:ind w:right="300"/>
        <w:spacing w:after="0" w:line="322" w:lineRule="auto"/>
        <w:rPr>
          <w:sz w:val="20"/>
          <w:szCs w:val="20"/>
          <w:color w:val="auto"/>
        </w:rPr>
      </w:pPr>
      <w:r>
        <w:rPr>
          <w:rFonts w:ascii="Arial" w:cs="Arial" w:eastAsia="Arial" w:hAnsi="Arial"/>
          <w:sz w:val="15"/>
          <w:szCs w:val="15"/>
          <w:b w:val="1"/>
          <w:bCs w:val="1"/>
          <w:i w:val="1"/>
          <w:iCs w:val="1"/>
          <w:color w:val="auto"/>
        </w:rPr>
        <w:t>If any of the product candidates we may develop, or the delivery modalities we rely on to administer them,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2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have not evaluated any product candidates in human clinical trials. Moreover, there have been only a limited number of clinical trials involving the use of gene editing technologies and none involving base editing technology similar to our technology. It is impossible to predict when or if any product candidates we develop will prove safe in humans. In the genetic medicine field, there have been several significant adverse events from gene therapy treatments in the past, including reported cases of leukemia, serious blood disorders and death. There can be no assurance that base editing technologies, or components of our product candidates or methods of delivery, will not cause undesirable side effects, as improper editing of a patient’s DNA and other effects could lead to lymphoma, leukemia, or other cancers, other serious conditions or syndromes or other aberrantly functioning cells.</w:t>
      </w:r>
    </w:p>
    <w:p>
      <w:pPr>
        <w:spacing w:after="0" w:line="5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 significant risk in any base editing product candidate is that “off-target” edits may occur, which could cause serious adverse events, undesirable side effects or unexpected characteristics. For example, Erwei Zuo et al. reported that cytosine base editors generated substantial off-target edits, that is, edits in unintended locations on the DNA, when tested in mouse embryos. Such unintended edits are referred to as “spurious deamination.” We cannot be certain that off-target editing will not occur in any of our planned or future clinical studies, and the lack of observed side effects in preclinical studies does not guarantee that such side effects will not occur in human clinical studies. We have developed assays that can detect off-target edits, even when such edits occur at very low frequencies. Using these assays, we have observed off-target edits in our base editing product candidates. As the sensitivity of these assays increases, it is possible that we will continue to detect more such off-target edits. While we do not believe that the off-target edits we have observed to date have had a material adverse impact on the safety or benefit of our product candidates, if, in the future, we detect off-target edits for a product candidate that negatively impact safety or efficacy, our ability to develop the product candidate as a therapeutic could be adversely affected. There is also the potential risk of delayed adverse events following exposure to base editing therapy due to the permanence of edits to DNA or due to other components of product candidates used to carry the genetic material. Further, because base editing makes a permanent change, the therapy cannot be withdrawn, even after a side effect is observed. In addition, Rees et al. and Grunewald et al. have reported that the deaminases we currently use in our C base editors and our A base editors for use in DNA base editing also cause unintended mutations in RNA for as long as the editor is present in the cell.</w:t>
      </w:r>
    </w:p>
    <w:p>
      <w:pPr>
        <w:spacing w:after="0" w:line="60"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Although we and others have demonstrated the ability to engineer base editors to improve the specificity of their edits in a laboratory setting, we cannot be sure that our engineering efforts will be effective in any product candidates that we may develop. For example, we might not be able to engineer an editor to make the desired change or a by-stander edit could diminish the effectiveness of an edit that we make.</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certain rare DNA sequence contexts, where more than one edit occurs on a contiguous piece of DNA, the repair of two or more nicks may lead to a deletion. For example, in our BEAM-101 program, where we are simultaneously editing two positions in the promoters of the HBG2 and HBG1 genes, which share &gt;99% sequence identity and are contiguous due to a gene duplication event, we observed a 5 kb deletion in HBG2 at single digit percentages in animal studies. We do not believe that such a deletion represents a safety or efficacy concern because healthy individuals, including those with hereditary persistence of fetal hemoglobin, with naturally-occurring deletions at this locus, including some as large as 13 kb, have been documented. However, if we were to observe deletions that have a negative effect on HbF upregulation or on other important cellular attributes, our ability to develop BEAM-101 as a therapeutic could be adversely affected.</w:t>
      </w:r>
    </w:p>
    <w:p>
      <w:pPr>
        <w:spacing w:after="0" w:line="83"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In certain of our programs, we plan to use LNPs to deliver our base editors. LNPs have been shown to induce oxidative stress in the liver at certain doses, as well as initiate systemic inflammatory responses that can be fatal in some cases. While we aim to continue to optimize our LNPs, there can be no assurance that our LNPs will not have undesired effects. Our LNPs could contribute, in whole or in part, to one or more of the following: immune reactions; infusion reactions; complement reactions; opsonization reactions; antibody reactions including IgA, IgM, IgE or IgG or some combination thereof; or reactions to the PEG from some lipids or PEG otherwise associated with the LNP. Certain aspects of our investigational medicines may induce immune reactions from either the mRNA or the lipid as well as adverse reactions within liver pathways or degradation of the mRNA or the LNP, any of which could lead to significant adverse events in one or more of our future clinical trials. Many of these types of side effects have been seen for legacy LNPs. There may be uncertainty as to the underlying cause of any such adverse event, which would make it difficult to accurately predict side effects in future clinical trials and would result in significant delays in our programs.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9" w:name="page60"/>
    <w:bookmarkEnd w:id="59"/>
    <w:p>
      <w:pPr>
        <w:ind w:right="40"/>
        <w:spacing w:after="0" w:line="269" w:lineRule="auto"/>
        <w:rPr>
          <w:sz w:val="20"/>
          <w:szCs w:val="20"/>
          <w:color w:val="auto"/>
        </w:rPr>
      </w:pPr>
      <w:r>
        <w:rPr>
          <w:rFonts w:ascii="Arial" w:cs="Arial" w:eastAsia="Arial" w:hAnsi="Arial"/>
          <w:sz w:val="16"/>
          <w:szCs w:val="16"/>
          <w:color w:val="auto"/>
        </w:rPr>
        <w:t>Our viral vectors that we plan to use in certain of our base editing programs, including AAV or lentiviruses, which are relatively new approaches used for disease treatment, also have known side effects, and for which additional risks could develop in the future. In past clinical trials that were conducted by others with non-AAV viral vectors, several significant side effects were caused by gene therapy treatments, including reported cases of leukemia and death. For example, in February 2021, bluebird bio reported a suspected unexpected serious adverse reaction, or SUSAR, of acute myeloid leukemia, and a SUSAR of myelodysplastic syndrome in its Phase 1/2 clinical trial of LentiGlobin, a gene therapy using a lentiviral vector for the treatment of sickle cell disease, which resulted in the FDA placing a clinical hold on the trial and the suspension of the conditional marketing authorization by the EMA of ZYNTEGLO (beti-cel), which also uses a lentiviral vector, for patients 12 years and older with transfusion-dependent beta thalassemia who do not have a β0/β0 genotype, for whom HSC transplantation is appropriate, but HLA related HSC donor is not available. Other potential side effects of viral vectors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the vectors we use demonstrate a similar side effect, or other adverse events, we may be required to halt or delay further clinical development of any potential product candidates using such technology. Furthermore, the FDA has stated that lentiviral vectors possess characteristics that may pose high risks of delayed adverse events. Such delayed adverse events may occur in other viral vectors, including AAV vectors, at a lower rate.</w:t>
      </w:r>
    </w:p>
    <w:p>
      <w:pPr>
        <w:spacing w:after="0" w:line="6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addition to side effects and adverse events caused by our product candidates, the conditioning administration process or related procedures which may be used in our electroporation pipeline also can cause adverse side effects and adverse events. Additionally, we have and may continue to collaborate with third parties to develop alternative conditioning regimes, including, for example, our collaboration with Magenta, and we are conducting our own research into novel conditioning strategies. We cannot predict if alternative conditioning regimes will be compatible with our product candidates. If in the future we are unable to demonstrate that such adverse events were not caused by the conditioning regimens used, or administration process or related procedure, the FDA, the European Commission, EMA or other regulatory authorities could order us to cease further development of, or deny or limit approval of, our product candidates using such regimens, processes or procedures for any or all target indications. Even if we are able to demonstrate that adverse events are not related to the product candidate or the administration of such product candidate, such occurrences could affect patient recruitment, the ability of enrolled patients to complete the clinical trial, or the commercial viability of any product candidates that obtain regulatory approval.</w:t>
      </w:r>
    </w:p>
    <w:p>
      <w:pPr>
        <w:spacing w:after="0" w:line="61"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If any product candidates we develop are associated with serious adverse events, undesirable side effects, or unexpected characteristics, we may need to abandon their development or limit development to certain uses or subpopulations in which the serious adverse events, undesirable side effects or other characteristics are less prevalent, less severe, or more acceptable from a risk-benefit perspective, any of which would have a material adverse effect on our business, financial condition, results of operations, and prospects. Many product candidates that initially showed promise in early stage testing for treating cancer or other diseases have later been found to cause side effects that prevented further clinical development of the product candidates.</w:t>
      </w:r>
    </w:p>
    <w:p>
      <w:pPr>
        <w:spacing w:after="0" w:line="51"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If in the future we are unable to demonstrate that any of the above adverse events were caused by factors other than our product candidate, the FDA, the EMA or other regulatory authorities could order us to cease further development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5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develop, several potentially significant negative consequences could result, including:</w:t>
      </w:r>
    </w:p>
    <w:p>
      <w:pPr>
        <w:spacing w:after="0" w:line="81"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or limit the approved use of such product candidate;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required to conduct additional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ind w:right="120"/>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any product candidates we may identify and develop and could have a material adverse effect on our business, financial condition, and results of operations.</w:t>
      </w:r>
    </w:p>
    <w:p>
      <w:pPr>
        <w:spacing w:after="0" w:line="6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We have not tested any of our proposed delivery modalities and product candidates in clinical trials and any favorable preclinical results are not predictive of results that may be observed in clinical trials.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have not tested any of our proposed delivery modalities in clinical trials. For example, in certain of our base editing programs we intend to use novel split intein technology for AAV gene therapy that we believe will allow us to deliver the base editor and guide RNA construct by co-infection with two viruses, where each virus contains one half of the editor. The scientific evidence to support the feasibility of developing product candidates based on this technology is both preliminary and limited. We also intend to use LNPs to deliver some of our base editors. While LNPs have been used to deliver smaller molecules, such as RNAi, they have not been clinically proven to deliver larger RNA molecules, such as the ones we intend to use for our base editors. Furthermore, as with many AAV-mediated gene therapy approaches, certain clinical trial patients’ immune systems might prohibit the successful delivery, thereby potentially limiting treatment outcomes of these patients. Even if initial clinical trials in any of our product candidates are successful, these product candidates may fail to show the desired safety and efficacy in later stages of clinical development despite having successfully advanced through preclinical studies and initial clinical trials.</w:t>
      </w:r>
    </w:p>
    <w:p>
      <w:pPr>
        <w:spacing w:after="0" w:line="7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4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Any such adverse events may cause us to delay, limit, or terminate planned clinical trials, any of which would have a material adverse effect on our business, financial condition, results of operations, and prospects.</w:t>
      </w:r>
    </w:p>
    <w:p>
      <w:pPr>
        <w:spacing w:after="0" w:line="6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addition, the results of preclinical studies or clinical trials may not be predictive of the results of later preclinical studies or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3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the EMA or other analogous regulatory authorities outside the United States, or as needed to provide appropriate statistical power for a given trial. Enrollment may be particularly challenging for some of the rare genetically defined diseases we are targeting in our most advanced programs, as well as for some of our product candidates for pediatric populations, and delays related to the COVID-19 pandemic could exacerbate delays in enrolling for new clinical trials. In addition, if patients are unwilling to participate in our base editing trials because of negative publicity from adverse events related to the biotechnology, gene therapy, or gene editing fields, competitive clinical trials for similar patient populations, clinical trials in competing products, or for other reasons, the timeline for recruiting patients, conducting studies, and obtaining regulatory approval of any product candidates we may develop may be delayed. Moreover, some of our competitors currently and may in the future have ongoing clinical trials for product candidates that treat the same indications as product candidates we are developing and may develop in the future, and patients who would otherwise be eligible for our clinical trials may instead enroll in clinical trials of our competitors’ product candidates.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patient enrollment is also affected by other factors, including:</w:t>
      </w:r>
    </w:p>
    <w:p>
      <w:pPr>
        <w:spacing w:after="0" w:line="104"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ability to obtain and maintain patient informed consent;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 of the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61" w:name="page62"/>
    <w:bookmarkEnd w:id="61"/>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perceived risks and benefits of base editing as a therapeutic approach;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proximity and availability of clinical trial sites for prospective patients, especially for those conditions which have small patient pools.</w:t>
      </w:r>
    </w:p>
    <w:p>
      <w:pPr>
        <w:spacing w:after="0" w:line="10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Our ability to successfully initiate, enroll, and complete a clinical trial in any foreign country is subject to numerous risks unique to conducting business in foreign countries, including:</w:t>
      </w:r>
    </w:p>
    <w:p>
      <w:pPr>
        <w:spacing w:after="0" w:line="75"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different standard-of-care for patients with a particular disease;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difficulty in locating qualified local consultants, physicians, and partners; and</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burden of complying with a variety of foreign laws, medical standards, and regulatory requirements, including the regulation of pharmaceutical and biotechnology products and treatment and of gene editing technologies.</w:t>
      </w:r>
    </w:p>
    <w:p>
      <w:pPr>
        <w:spacing w:after="0" w:line="4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Enrollment delays in our clinical trials may result in increased development costs for any product candidates we may develop, which would cause the value of our company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8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If clinical trials of any product candidates we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60"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Before obtaining marketing approval from regulatory authorities for the sale of any product candidates we identify and develop, we must complete preclinical development and then conduct extensive clinical trials to demonstrate their safety and efficacy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w:t>
      </w:r>
    </w:p>
    <w:p>
      <w:pPr>
        <w:spacing w:after="0" w:line="70"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We and our collaborators may experience numerous unforeseen events during, or as a result of, clinical trials that could delay or prevent our ability to receive marketing approval or commercialize any product candidates we identify and develop, including:</w:t>
      </w:r>
    </w:p>
    <w:p>
      <w:pPr>
        <w:spacing w:after="0" w:line="75"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reaching a consensus with regulators on trial design and endpoints;</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regulators, institutional review boards, or IRBs, or independent ethics committees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clinical trial contracts or clinical trial protocols with prospective CROs and clinical trial sites;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in designing well-controlled clinical trials due to ethical considerations which may render it inappropriate to conduct a trial with a control arm that can be effectively compared to a treatment arm;</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in designing clinical trials and selecting endpoints for diseases that have not been well-studied and for which the natural history and course of the disease is poorly understood;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2" w:name="page63"/>
    <w:bookmarkEnd w:id="62"/>
    <w:p>
      <w:pPr>
        <w:ind w:left="1020" w:right="200" w:hanging="503"/>
        <w:spacing w:after="0" w:line="24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any product candidates we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79"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020" w:right="60" w:hanging="503"/>
        <w:spacing w:after="0" w:line="24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regulators, IRBs, or independent ethics committees may require that we or our investigators suspend or terminate clinical research or clinical trials of any product candidates we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clinical trials of any product candidates we may develop may be greater than we anticipate;</w:t>
      </w:r>
    </w:p>
    <w:p>
      <w:pPr>
        <w:spacing w:after="0" w:line="103" w:lineRule="exact"/>
        <w:rPr>
          <w:rFonts w:ascii="Arial" w:cs="Arial" w:eastAsia="Arial" w:hAnsi="Arial"/>
          <w:sz w:val="18"/>
          <w:szCs w:val="18"/>
          <w:color w:val="auto"/>
        </w:rPr>
      </w:pPr>
    </w:p>
    <w:p>
      <w:pPr>
        <w:ind w:left="1020" w:right="240" w:hanging="503"/>
        <w:spacing w:after="0" w:line="24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supply or quality of any product candidates we may develop or other materials necessary to conduct clinical trials of any product candidates we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trial sites dropping out of a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any product candidates we may develop that are viewed to outweigh their potential benefits;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occurrence of serious adverse events in trials of the same class of agents conducted by other sponsors;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 to the operations of the FDA; and</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otherwise complying with additional requirements.</w:t>
      </w:r>
    </w:p>
    <w:p>
      <w:pPr>
        <w:spacing w:after="0" w:line="6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we or our collaborators are required to conduct additional clinical trials or other testing of any product candidates we develop beyond those that we currently contemplate, if we or our collaborators are unable to successfully complete clinical trials or other testing of any product candidates we develop, or if the results of these trials or tests are not positive or are only modestly positive or if there are safety concerns, we or our collaborators may:</w:t>
      </w:r>
    </w:p>
    <w:p>
      <w:pPr>
        <w:spacing w:after="0" w:line="39"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be delayed in obtaining marketing approval for any such product candidates we may develop or not obtain marketing approval at all;</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 including boxed warnings;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15" w:lineRule="exact"/>
        <w:rPr>
          <w:rFonts w:ascii="Arial" w:cs="Arial" w:eastAsia="Arial" w:hAnsi="Arial"/>
          <w:sz w:val="17"/>
          <w:szCs w:val="17"/>
          <w:color w:val="auto"/>
        </w:rPr>
      </w:pPr>
    </w:p>
    <w:p>
      <w:pPr>
        <w:ind w:left="1020" w:right="46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impose restrictions on its distribution in the form of a REMS or through modification to an existing REMS;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10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3" w:name="page64"/>
    <w:bookmarkEnd w:id="63"/>
    <w:p>
      <w:pPr>
        <w:ind w:right="100"/>
        <w:spacing w:after="0" w:line="26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3"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Because we have limited financial and managerial resources, we focus on research programs and product candidates that we identify for specific indications among many potential options.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medicines.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Any such event could have a material adverse effect on our business, financial condition, results of operations, and prospects.</w:t>
      </w:r>
    </w:p>
    <w:p>
      <w:pPr>
        <w:spacing w:after="0" w:line="60" w:lineRule="exact"/>
        <w:rPr>
          <w:sz w:val="20"/>
          <w:szCs w:val="20"/>
          <w:color w:val="auto"/>
        </w:rPr>
      </w:pPr>
    </w:p>
    <w:p>
      <w:pPr>
        <w:jc w:val="both"/>
        <w:ind w:right="700"/>
        <w:spacing w:after="0" w:line="356" w:lineRule="auto"/>
        <w:rPr>
          <w:sz w:val="20"/>
          <w:szCs w:val="20"/>
          <w:color w:val="auto"/>
        </w:rPr>
      </w:pPr>
      <w:r>
        <w:rPr>
          <w:rFonts w:ascii="Arial" w:cs="Arial" w:eastAsia="Arial" w:hAnsi="Arial"/>
          <w:sz w:val="15"/>
          <w:szCs w:val="15"/>
          <w:b w:val="1"/>
          <w:bCs w:val="1"/>
          <w:i w:val="1"/>
          <w:iCs w:val="1"/>
          <w:color w:val="auto"/>
        </w:rPr>
        <w:t>Even if we complete the necessary clinical trials, we cannot predict when, or if, we will obtain regulatory approval to commercialize a product candidate we develop in the United States or any other jurisdiction, and any such approval may be for a more narrow indication than we seek.</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any product candidates we may develop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8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any product candidates we may develop. Any of the foregoing scenarios could materially harm the commercial prospects for any product candidates we may develop and materially adversely affect our business, financial condition, results of operations, and prospects.</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Marketing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foreign regulatory approval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we may develop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spacing w:after="0" w:line="72"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b w:val="1"/>
          <w:bCs w:val="1"/>
          <w:i w:val="1"/>
          <w:iCs w:val="1"/>
          <w:color w:val="auto"/>
        </w:rPr>
        <w:t>Even if any product candidates we may develop receive marketing approval, they may fail to achieve the degree of market acceptance by physicians, patients, healthcare payors, and others in the medical community necessary for commercial success.</w:t>
      </w:r>
    </w:p>
    <w:p>
      <w:pPr>
        <w:spacing w:after="0" w:line="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commercial success of any of our product candidates we may develop will depend upon its degree of market acceptance by physicians, patients, third-party payors, and others in the medical community. Ethical, social, and legal concerns about genetic medicines generally and base editing technologies specifically could result in additional regulations restricting or prohibiting the marketing of our product candidates we may develop.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81"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limitation to our targeted patient population and limitations or warnings contained in approved labeling by the FDA or other regulatory authorities;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4" w:name="page65"/>
    <w:bookmarkEnd w:id="64"/>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offer our medicines for sale at competitive prices;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the FDA, the EMA, or other regulatory agencies;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 attitudes regarding genetic medicine generally and gene editing and base editing technologies specifically;</w:t>
      </w:r>
    </w:p>
    <w:p>
      <w:pPr>
        <w:spacing w:after="0" w:line="103" w:lineRule="exact"/>
        <w:rPr>
          <w:rFonts w:ascii="Arial" w:cs="Arial" w:eastAsia="Arial" w:hAnsi="Arial"/>
          <w:sz w:val="18"/>
          <w:szCs w:val="18"/>
          <w:color w:val="auto"/>
        </w:rPr>
      </w:pPr>
    </w:p>
    <w:p>
      <w:pPr>
        <w:ind w:left="1020" w:right="84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novel therapies and of physicians to prescribe these therapies, as well as their willingness to accept a therapeutic intervention that involves the editing of the patient’s gene;</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EMA, or other regulatory authorities, including any limitations or warnings contained in a product’s approved labeling;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0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Even if any of our product candidates we may develop are approved, such products may not achieve an adequate level of acceptance, we may not generate significant product revenues, and we may not become profitable.</w:t>
      </w:r>
    </w:p>
    <w:p>
      <w:pPr>
        <w:spacing w:after="0" w:line="63"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do not have a sales or marketing infrastructure and do not have experience in the sale, marketing, or distribution of pharmaceutical products. To achieve commercial success for any approved medicine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we develop if and when they are approved.</w:t>
      </w:r>
    </w:p>
    <w:p>
      <w:pPr>
        <w:spacing w:after="0" w:line="4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we may develop on our own include:</w:t>
      </w:r>
    </w:p>
    <w:p>
      <w:pPr>
        <w:spacing w:after="0" w:line="104" w:lineRule="exact"/>
        <w:rPr>
          <w:sz w:val="20"/>
          <w:szCs w:val="20"/>
          <w:color w:val="auto"/>
        </w:rPr>
      </w:pPr>
    </w:p>
    <w:p>
      <w:pPr>
        <w:ind w:left="1020" w:right="4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medicines;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26" w:lineRule="exact"/>
        <w:rPr>
          <w:rFonts w:ascii="Arial" w:cs="Arial" w:eastAsia="Arial" w:hAnsi="Arial"/>
          <w:sz w:val="16"/>
          <w:szCs w:val="16"/>
          <w:color w:val="auto"/>
        </w:rPr>
      </w:pPr>
    </w:p>
    <w:p>
      <w:pPr>
        <w:ind w:left="1020" w:right="6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 candidates we may develop to segments of the patient population;</w:t>
      </w:r>
    </w:p>
    <w:p>
      <w:pPr>
        <w:spacing w:after="0" w:line="62"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spacing w:after="0" w:line="257"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revenues or the profitability of these product revenues to us may be lower than if we were to market and sell any medicines we may develop ourselves. In addition, we may not be successful in entering into arrangements with third parties to commercialize our product candidates we may develop or may be unable to do so on terms that are favorable to us. We may have little control over such third parties, and any of them may fail to devote the necessary resources and attention to sell and market our medicines effectively. If we do not establish commercialization capabilities successfully, either on our own or in collaboration with third parties, we will not be successful in commercializing our product candidates we may develop.</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7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development and commercialization of new drug products is highly competitive. Moreover, the base editing and delivery technology fields are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1"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and others are based on entirely different approaches.</w:t>
      </w:r>
    </w:p>
    <w:p>
      <w:pPr>
        <w:spacing w:after="0" w:line="56" w:lineRule="exact"/>
        <w:rPr>
          <w:sz w:val="20"/>
          <w:szCs w:val="20"/>
          <w:color w:val="auto"/>
        </w:rPr>
      </w:pPr>
    </w:p>
    <w:p>
      <w:pPr>
        <w:ind w:right="240"/>
        <w:spacing w:after="0" w:line="274" w:lineRule="auto"/>
        <w:rPr>
          <w:sz w:val="20"/>
          <w:szCs w:val="20"/>
          <w:color w:val="auto"/>
        </w:rPr>
      </w:pPr>
      <w:r>
        <w:rPr>
          <w:rFonts w:ascii="Arial" w:cs="Arial" w:eastAsia="Arial" w:hAnsi="Arial"/>
          <w:sz w:val="16"/>
          <w:szCs w:val="16"/>
          <w:color w:val="auto"/>
        </w:rPr>
        <w:t>There are several other companies utilizing CRISPR/Cas9 nuclease technology, including Caribou Biosciences, Editas Medicine, CRISPR Therapeutics, Intellia Therapeutics, Arbor Biotechnologies, Metagenomi, and Mammoth Biosciences. Several additional companies utilize other nuclease-based gene editing technologies, including Zinc Fingers, Arcuses, and TAL Nucleases, which includes Sangamo Biosciences, Precision BioSciences, bluebird bio, Allogene Therapeutics, and Cellectis. Additionally, newer gene editing modalities are emerging, including from Prime Medicine, Tessera Therapeutics, Shape Therapeutics, Scribe Therapeutics, Korro Bio, PerkinElmer (formerly Horizon Discovery) and Intellia Therapeutics. PerkinElmer and Intellia Therapeutics are developing base editing technology and Tessera Therapeutics is utilizing mobile genetic elements for gene editing. In addition, we face competition from companies utilizing various gene therapy, oligonucleotides, and CAR-T therapeutic approaches.</w:t>
      </w:r>
    </w:p>
    <w:p>
      <w:pPr>
        <w:spacing w:after="0" w:line="5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we may develop. This may include other types of therapies, such as small molecule, antibody, and/or protein therapies.</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Many of our current or potential competitors, either alone or with their collaboration partners,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spacing w:after="0" w:line="72"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 candidates that we may develop and commercialize.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6" w:name="page67"/>
    <w:bookmarkEnd w:id="66"/>
    <w:p>
      <w:pPr>
        <w:ind w:right="200"/>
        <w:spacing w:after="0" w:line="261" w:lineRule="auto"/>
        <w:rPr>
          <w:sz w:val="20"/>
          <w:szCs w:val="20"/>
          <w:color w:val="auto"/>
        </w:rPr>
      </w:pPr>
      <w:r>
        <w:rPr>
          <w:rFonts w:ascii="Arial" w:cs="Arial" w:eastAsia="Arial" w:hAnsi="Arial"/>
          <w:sz w:val="18"/>
          <w:szCs w:val="18"/>
          <w:b w:val="1"/>
          <w:bCs w:val="1"/>
          <w:i w:val="1"/>
          <w:iCs w:val="1"/>
          <w:color w:val="auto"/>
        </w:rPr>
        <w:t>Adverse public perception of genetic medicines, and gene editing and base editing in particular, may negatively impact regulatory approval of, and/or demand for, our potential products.</w:t>
      </w:r>
    </w:p>
    <w:p>
      <w:pPr>
        <w:spacing w:after="0" w:line="6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Our potential therapeutic products involve editing the human genome. The clinical and commercial success of our potential products will depend in part on public understanding and acceptance of the use of gene editing therapy for the prevention or treatment of human diseases. Public attitudes may be influenced by claims that gene editing is unsafe, unethical, or immoral, and, consequently, our product candidates may not gain the acceptance of the public or the medical community. For example, a public backlash developed against gene therapy following the death of a patient in 1999 during a gene therapy clinical trial. The death of the clinical trial subject was due to complications related to AAV vector administration. In addition, in 2020, three patients in Audentes Therapeutics’ clinical trial investigating AT132 (a gene therapy product candidate which was being delivered via AAV administration) for X-linked myotubular myopathy (XLMTM) died. The immediate cause of death in two cases was sepsis and in a third case was gastrointestinal bleeding, each of which followed progressive liver dysfunction that occurred within the first 4-6 weeks following AT132 dosing, and which did not respond to standard treatment.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5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addition, gene editing technology is subject to public debate and heightened regulatory scrutiny due to ethical concerns relating to the application of gene editing technology to human embryos or the human germline. For example, academic scientists in several countries, including the United States, have reported on their attempts to edit the gene of human embryos as part of basic research. In addition, in November 2018, Dr. Jiankui He, a Chinese biophysics researcher who was an associate professor in the Department of Biology of the Southern University of Science and Technology in Shenzhen, China, reportedly claimed he had created the first human genetically edited babies, twin girls. This claim, and another that Dr. He had helped create a second gene-edited pregnancy, was subsequently confirmed by Chinese authorities and was negatively received by the public, in particular those in the scientific community. News reports indicate that Dr. He was sentenced to three years in prison and fined $430,000 in December 2019 by the Chinese government for illegal medical practice in connection with such activities. In the wake of the claim, the World Health Organization established a new advisory committee to create global governance and oversight standards for human gene editing and announced plans for a new global registry to track research on human gene editing. The Alliance for Regenerative Medicine also released principles for the use of gene editing in therapeutic applications endorsed by a number of companies that use gene editing technologies.</w:t>
      </w:r>
    </w:p>
    <w:p>
      <w:pPr>
        <w:spacing w:after="0" w:line="64"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Regulation of gene editing technology varies across jurisdictions. In the United States, germline editing for clinical application has been expressly prohibited since enactment of a December 2015 FDA ban on such activity. Prohibitions are also in place in the U.K., across most of Europe, in China, and many other countries around the world. In the United States, the NIH has announced that the agency would not fund any use of gene 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U.K. prohibit genetically modified embryos from being implanted into women, except that mitochondrial replacement therapy has been permitted in the U.K. since 2016. Separately, embryos can be altered in the U.K. in research labs under license from the Human Fertilisation and Embryology Authority. Research on embryos is more tightly controlled in some other European countries.</w:t>
      </w:r>
    </w:p>
    <w:p>
      <w:pPr>
        <w:spacing w:after="0" w:line="6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Moreover, in an annual worldwide threat assessment report delivered to the U.S. Congress in February 2016, the U.S. Director of National Intelligence stated that research into gene editing that is conducted under different regulatory standards than those of Western countries probably increases the risk of the creation of potentially harmful biological agents or products, including weapons of mass destruction. He noted that given the broad distribution, low cost, and accelerated pace of development of gene editing technology, its deliberate or unintentional misuse could have far-reaching economic and national security implications.</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Although we do not use our technologies to edit human embryos or the human germline, such public debate about the use of gene 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 candidates we may develop. Adverse events in our preclinical studies or clinical trials or those of our competitors or of academic researchers utilizing gene editing technologies, even if not ultimately attributable to product candidates we may identify and develop, and the gene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 Use of gene editing technology by a third party or government to develop biological agents or products that threaten U.S. national security could similarly result in such negative impacts to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7" w:name="page68"/>
    <w:bookmarkEnd w:id="67"/>
    <w:p>
      <w:pPr>
        <w:ind w:right="580"/>
        <w:spacing w:after="0" w:line="246"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regulations that govern marketing approvals, pricing, and reimbursement for new medicines vary widely from country to country.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or might even prevent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we may develop, even if any product candidates we may develop obtain marketing approval.</w:t>
      </w:r>
    </w:p>
    <w:p>
      <w:pPr>
        <w:spacing w:after="0" w:line="5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authorities or healthcare program, private health plans, and other organizations. Government authorities and third-party payors, such as private health plans,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challenging the prices charged for medical products and requiring that drug companies provide them with predetermined discounts from list prices. Novel medical products, if covered at all, may be subject to enhanced utilization management controls designed to ensure that the products are used only when medically necessary. Such utilization management controls may discourage the prescription or use of a medical product by increasing the administrative burden associated with its prescription or creating coverage uncertainties for prescribers and patients. We cannot be sure that reimbursement will be available for any medicine that we commercialize and, if reimbursement is available, that the level of reimbursement will be adequate.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5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There may be significant delays in obtaining reimbursement for newly approved medicines, and coverage may be more limited than the purposes for which the medicine is approved by the FDA, the EMA or other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w:t>
      </w:r>
    </w:p>
    <w:p>
      <w:pPr>
        <w:spacing w:after="0" w:line="2"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Our inability to promptly obtain coverage and profitable payment rates from both government-funded and private payors for any approved medicines we may develop could have a material adverse effect on our operating results, our ability to raise capital needed to commercialize medicines, and our overall financial condition.</w:t>
      </w:r>
    </w:p>
    <w:p>
      <w:pPr>
        <w:spacing w:after="0" w:line="71" w:lineRule="exact"/>
        <w:rPr>
          <w:sz w:val="20"/>
          <w:szCs w:val="20"/>
          <w:color w:val="auto"/>
        </w:rPr>
      </w:pPr>
    </w:p>
    <w:p>
      <w:pPr>
        <w:ind w:right="720"/>
        <w:spacing w:after="0" w:line="356" w:lineRule="auto"/>
        <w:rPr>
          <w:sz w:val="20"/>
          <w:szCs w:val="20"/>
          <w:color w:val="auto"/>
        </w:rPr>
      </w:pPr>
      <w:r>
        <w:rPr>
          <w:rFonts w:ascii="Arial" w:cs="Arial" w:eastAsia="Arial" w:hAnsi="Arial"/>
          <w:sz w:val="15"/>
          <w:szCs w:val="15"/>
          <w:b w:val="1"/>
          <w:bCs w:val="1"/>
          <w:i w:val="1"/>
          <w:iCs w:val="1"/>
          <w:color w:val="auto"/>
        </w:rPr>
        <w:t>Due to the novel nature of our technology and the potential for any product candidates we may develop to offer therapeutic benefit in a single administration or limited number of administrations, we face uncertainty related to pricing and reimbursement for these product candidates.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we may develop.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68" w:name="page69"/>
    <w:bookmarkEnd w:id="68"/>
    <w:p>
      <w:pPr>
        <w:ind w:right="60"/>
        <w:spacing w:after="0" w:line="257" w:lineRule="auto"/>
        <w:rPr>
          <w:sz w:val="20"/>
          <w:szCs w:val="20"/>
          <w:color w:val="auto"/>
        </w:rPr>
      </w:pPr>
      <w:r>
        <w:rPr>
          <w:rFonts w:ascii="Arial" w:cs="Arial" w:eastAsia="Arial" w:hAnsi="Arial"/>
          <w:sz w:val="17"/>
          <w:szCs w:val="17"/>
          <w:color w:val="auto"/>
        </w:rPr>
        <w:t>We expect the cost of a single administration of genetic medicines,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product candidates we may develop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spacing w:after="0" w:line="67"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0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product candidates we may develop. Even if coverage is provided, the approved reimbursement amount may not be adequate to realize a sufficient return on our investment.</w:t>
      </w:r>
    </w:p>
    <w:p>
      <w:pPr>
        <w:spacing w:after="0" w:line="5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Moreover, the downward pressure on healthcare costs in general, particularly prescription drugs and surgical procedures and other treatments, has become intense. As a result, increasingly high barriers are being erected to the entry of new product candidates such as ours. If we are unable to obtain adequate levels of reimbursement, our ability to successfully market and sell any product candidates we may develop will be harmed.</w:t>
      </w:r>
    </w:p>
    <w:p>
      <w:pPr>
        <w:spacing w:after="0" w:line="5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If the market opportunities for any product candidates we may develop are smaller than we believe they are, our potential revenues may be adversely affected, and our business may suffer. Because the target patient populations for many of the product candidates we may develop are small, we must be able to successfully identify patients and achieve a significant market share to maintain profitability and growth.</w:t>
      </w:r>
    </w:p>
    <w:p>
      <w:pPr>
        <w:spacing w:after="0" w:line="39"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We focus our research and product development on treatments for rare genetically defined diseases. Many of our product candidates we may develop are expected to target a single mutation; as a result, the relevant patient population may therefore be small. 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candidates we may develop, or may become increasingly difficult to identify or gain access to, all of which would adversely affect our business, financial condition, results of operations, and prospects. Additionally, because of the potential that any product candidates we develop could cure a target disease, we may not receive recurring revenues from patients and may deplete the patient population prevalence through curative therapy.</w:t>
      </w:r>
    </w:p>
    <w:p>
      <w:pPr>
        <w:spacing w:after="0" w:line="62" w:lineRule="exact"/>
        <w:rPr>
          <w:sz w:val="20"/>
          <w:szCs w:val="20"/>
          <w:color w:val="auto"/>
        </w:rPr>
      </w:pPr>
    </w:p>
    <w:p>
      <w:pPr>
        <w:ind w:right="720"/>
        <w:spacing w:after="0" w:line="274" w:lineRule="auto"/>
        <w:rPr>
          <w:sz w:val="20"/>
          <w:szCs w:val="20"/>
          <w:color w:val="auto"/>
        </w:rPr>
      </w:pPr>
      <w:r>
        <w:rPr>
          <w:rFonts w:ascii="Arial" w:cs="Arial" w:eastAsia="Arial" w:hAnsi="Arial"/>
          <w:sz w:val="17"/>
          <w:szCs w:val="17"/>
          <w:b w:val="1"/>
          <w:bCs w:val="1"/>
          <w:i w:val="1"/>
          <w:iCs w:val="1"/>
          <w:color w:val="auto"/>
        </w:rPr>
        <w:t>If we are unable to successfully identify patients who are likely to benefit from therapy with any product candidates we develop, or experience significant delays in doing so, we may not realize the full commercial potential of any medicines we may develop.</w:t>
      </w:r>
    </w:p>
    <w:p>
      <w:pPr>
        <w:spacing w:after="0" w:line="4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success may depend, in part, on our ability to identify patients who are likely to benefit from therapy with any medicines we may develop, which requires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80" w:lineRule="exact"/>
        <w:rPr>
          <w:sz w:val="20"/>
          <w:szCs w:val="20"/>
          <w:color w:val="auto"/>
        </w:rPr>
      </w:pPr>
    </w:p>
    <w:p>
      <w:pPr>
        <w:ind w:left="10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develop any product candidates may be adversely affected if we are unable to appropriately select patients for enrollment in our clinical trials; and</w:t>
      </w:r>
    </w:p>
    <w:p>
      <w:pPr>
        <w:spacing w:after="0" w:line="62" w:lineRule="exact"/>
        <w:rPr>
          <w:rFonts w:ascii="Arial" w:cs="Arial" w:eastAsia="Arial" w:hAnsi="Arial"/>
          <w:sz w:val="18"/>
          <w:szCs w:val="18"/>
          <w:color w:val="auto"/>
        </w:rPr>
      </w:pPr>
    </w:p>
    <w:p>
      <w:pPr>
        <w:ind w:left="1020" w:right="440" w:hanging="503"/>
        <w:spacing w:after="0" w:line="291"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69" w:name="page70"/>
    <w:bookmarkEnd w:id="69"/>
    <w:p>
      <w:pPr>
        <w:ind w:right="120"/>
        <w:spacing w:after="0" w:line="228" w:lineRule="auto"/>
        <w:rPr>
          <w:sz w:val="20"/>
          <w:szCs w:val="20"/>
          <w:color w:val="auto"/>
        </w:rPr>
      </w:pPr>
      <w:r>
        <w:rPr>
          <w:rFonts w:ascii="Arial" w:cs="Arial" w:eastAsia="Arial" w:hAnsi="Arial"/>
          <w:sz w:val="18"/>
          <w:szCs w:val="18"/>
          <w:color w:val="auto"/>
        </w:rPr>
        <w:t>Any product candidates we develop may require use of a companion diagnostic to identify patients who are likely to benefit from therapy. If safe and effective use of any of our product candidates we may develop depends on a companion diagnostic, we may not receive marketing approval, or marketing approval may be delayed, if we are unable to or are delayed in developing, identifying, or obtaining regulatory approval or clearance for the companion diagnostic product for use with our product candidate. Identifying a manufacturer of the companion diagnostic and entering into an agreement with the manufacturer could also delay the development of our product candidates.</w:t>
      </w:r>
    </w:p>
    <w:p>
      <w:pPr>
        <w:spacing w:after="0" w:line="7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As a result of these factors,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75"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39"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decreased demand for any product candidates or medicines that we may develop;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to commercialize any medicines that we may develop.</w:t>
      </w:r>
    </w:p>
    <w:p>
      <w:pPr>
        <w:spacing w:after="0" w:line="10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39"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b w:val="1"/>
          <w:bCs w:val="1"/>
          <w:i w:val="1"/>
          <w:iCs w:val="1"/>
          <w:color w:val="auto"/>
        </w:rPr>
        <w:t>If we or any CMOs and suppliers we engage fail to comply with environmental, health, and safety laws and regulations, we could become subject to fines or penalties or incur costs that could have a material adverse effect on the success of our business.</w:t>
      </w:r>
    </w:p>
    <w:p>
      <w:pPr>
        <w:spacing w:after="0" w:line="3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and any CMOs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70" w:name="page71"/>
    <w:bookmarkEnd w:id="70"/>
    <w:p>
      <w:pPr>
        <w:ind w:right="40"/>
        <w:spacing w:after="0" w:line="262"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6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74"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7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 materials that meet FDA, EMA or other comparable applicable foreign standards or specifications with consistent and acceptable production yields and costs. For example, the current approach of manufacturing AAV vectors may fall short of supplying required number of doses needed for advanced stages of preclinical studies or clinical trials, and the FDA may ask us to demonstrate that we have the appropriate manufacturing processes in place to support the higher-dose group in our future preclinical studies or clinical trials. In addition, our product candidates we may develop will require complicated delivery modalities, such as electroporation, LNPs, or viral vectors, each of which will introduce additional complexities in the manufacturing process.</w:t>
      </w:r>
    </w:p>
    <w:p>
      <w:pPr>
        <w:spacing w:after="0" w:line="7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8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Furthermore, we intend to use novel split intein technology for any AAV gene therapy that allows us to deliver the base editor and guide RNA construct by co-infection with two viruses, where each virus contains one half of the editor. The scientific evidence to support the feasibility of developing product candidates based on this technology is both preliminary and limited.</w:t>
      </w:r>
    </w:p>
    <w:p>
      <w:pPr>
        <w:spacing w:after="0" w:line="74"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w:t>
      </w:r>
    </w:p>
    <w:p>
      <w:pPr>
        <w:spacing w:after="0" w:line="1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Given the nature of biologics manufacturing, including for the lentivirus vectors and AAV vectors,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spacing w:after="0" w:line="8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94"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b w:val="1"/>
          <w:bCs w:val="1"/>
          <w:i w:val="1"/>
          <w:iCs w:val="1"/>
          <w:color w:val="auto"/>
        </w:rPr>
        <w:t>We expect to rely on third parties to manufacture components of our product candidates we may develop, conduct our clinical trials and some aspects of our research and preclinical testing, and those third parties may not perform satisfactorily, including failing to meet deadlines for the completion of such trials, research, or testing.</w:t>
      </w:r>
    </w:p>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We expect to rely on third parties, such as CMOs, CROs, clinical data management organizations, medical institutions, and clinical investigators, to manufacture components of our product candidates we may develop and to conduct our clinical trials. We currently rely and expect to continue to rely on third parties to conduct some aspects of our research and preclinical testing. For example, we rely on a third party to conduct electroporation; we rely on a third party to supply LNPs; and we rely on third parties to manufacture viral vectors. Any of these third parties may terminate their engagements with us at any time under certain criteria. If we need to enter into alternative arrangements, it may delay our product development activities.</w:t>
      </w:r>
    </w:p>
    <w:p>
      <w:pPr>
        <w:spacing w:after="0" w:line="5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EMA and other regulatory authorities require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In the United States,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7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Although we intend to design the clinical trials for our product candidates, CROs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66"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7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research programs, preclinical studies and clinical trial and expect to continue to do so for at least a portion of the manufacturing process for our research programs, preclinical studies, clinical trials and for commercialization of any product candidates that we may develop. This reliance on third parties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5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do not have any manufacturing facilities at the present time. We currently rely on third-party manufacturers for the manufacture of our materials for preclinical studies and clinical trial, and may continue to do so for at least a portion of the manufacturing process for our research programs, preclinical studies, clinical testing and for commercial supply of any product candidates that we may develop and for which we or our collaborators obtain marketing approval. We do not have a long-term supply agreement with any of the third-party manufacturers, and we purchase our required supply on an order-by-order basis.</w:t>
      </w:r>
    </w:p>
    <w:p>
      <w:pPr>
        <w:spacing w:after="0" w:line="8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 xml:space="preserve">While we announced that we are building a manufacturing facility designed to support manufacturing for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therapy programs in hematology and oncology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non-viral delivery programs for liver diseases in Research Triangle Park, North Carolina, this facility is not yet operational and we cannot be certain that we will be able to build out our internal manufacturing capacity, or on the timeliness we expect.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72" w:name="page73"/>
    <w:bookmarkEnd w:id="72"/>
    <w:p>
      <w:pPr>
        <w:spacing w:after="0" w:line="291" w:lineRule="auto"/>
        <w:rPr>
          <w:sz w:val="20"/>
          <w:szCs w:val="20"/>
          <w:color w:val="auto"/>
        </w:rPr>
      </w:pPr>
      <w:r>
        <w:rPr>
          <w:rFonts w:ascii="Arial" w:cs="Arial" w:eastAsia="Arial" w:hAnsi="Arial"/>
          <w:sz w:val="17"/>
          <w:szCs w:val="17"/>
          <w:color w:val="auto"/>
        </w:rPr>
        <w:t>We may be unable to establish long-term supply agreements with third-party manufacturers or to do so on acceptable terms. Even if we are able to establish long-term supply agreements with third-party manufacturers, reliance on third-party manufacturers entails additional risks, including:</w:t>
      </w:r>
    </w:p>
    <w:p>
      <w:pPr>
        <w:spacing w:after="0" w:line="39"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quality assurance, safety, and pharmacovigilance and related reporting; and</w:t>
      </w:r>
    </w:p>
    <w:p>
      <w:pPr>
        <w:spacing w:after="0" w:line="115" w:lineRule="exact"/>
        <w:rPr>
          <w:rFonts w:ascii="Arial" w:cs="Arial" w:eastAsia="Arial" w:hAnsi="Arial"/>
          <w:sz w:val="17"/>
          <w:szCs w:val="17"/>
          <w:color w:val="auto"/>
        </w:rPr>
      </w:pPr>
    </w:p>
    <w:p>
      <w:pPr>
        <w:ind w:left="1020" w:right="20" w:hanging="503"/>
        <w:spacing w:after="0" w:line="248"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possible inability of third-party suppliers to supply and/or transport materials, components and products to us in a timely manner as a result of disruptions to the global supply chain in connection with the COVID-19 pandemic or other factors, or as a result of supply shortages in connection with large-scale production of COVID-19 vaccines.</w:t>
      </w:r>
    </w:p>
    <w:p>
      <w:pPr>
        <w:spacing w:after="0" w:line="74"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8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Any medicines that we develop may compete with other product candidates and products for access to manufacturing facilities. There are a limited number of manufacturers that operate under cGMP regulations and that might be capable of manufacturing drug components and drug product necessary for gene editing. In addition, multiple third parties have contracted with commercial manufacturers to manufacture materials required for large-scale production of COVID-19 vaccines, including mRNA. If supply of mRNA is limited, we may not be able to obtain mRNA for use in our preclinical studies and clinical trials, which may result in research and development delays.</w:t>
      </w:r>
    </w:p>
    <w:p>
      <w:pPr>
        <w:spacing w:after="0" w:line="8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of all drug components and drug products necessary for our gene editing product candidates. If any one of our current contract manufacturers cannot perform as agreed, we may be required to replace that manufacturer. Although we believe that there are several potential alternative manufacturers who could manufacture any product candidates we may develop, we may incur added costs and delays in identifying and qualifying any such replacement.</w:t>
      </w:r>
    </w:p>
    <w:p>
      <w:pPr>
        <w:spacing w:after="0" w:line="81"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Our current and anticipated future dependence upon others for the manufacture of any product candidates we may develop may adversely affect our future profit margins and our ability to commercialize any medicines that receive marketing approval on a timely and competitive basis.</w:t>
      </w:r>
    </w:p>
    <w:p>
      <w:pPr>
        <w:spacing w:after="0" w:line="39" w:lineRule="exact"/>
        <w:rPr>
          <w:sz w:val="20"/>
          <w:szCs w:val="20"/>
          <w:color w:val="auto"/>
        </w:rPr>
      </w:pPr>
    </w:p>
    <w:p>
      <w:pPr>
        <w:jc w:val="both"/>
        <w:ind w:right="240"/>
        <w:spacing w:after="0" w:line="322" w:lineRule="auto"/>
        <w:rPr>
          <w:sz w:val="20"/>
          <w:szCs w:val="20"/>
          <w:color w:val="auto"/>
        </w:rPr>
      </w:pPr>
      <w:r>
        <w:rPr>
          <w:rFonts w:ascii="Arial" w:cs="Arial" w:eastAsia="Arial" w:hAnsi="Arial"/>
          <w:sz w:val="15"/>
          <w:szCs w:val="15"/>
          <w:b w:val="1"/>
          <w:bCs w:val="1"/>
          <w:i w:val="1"/>
          <w:iCs w:val="1"/>
          <w:color w:val="auto"/>
        </w:rPr>
        <w:t>As our drug development pipeline increases and matures, the increased demand for clinical supplies from our facilities and third parties may impact our ability to operate. We will require increased capacity across our entire supply chain. Furthermore, we rely on many service providers, including those that provide manufacturing or testing services, all of whom have inherent risks in their operations that may adversely impact our operations.</w:t>
      </w:r>
    </w:p>
    <w:p>
      <w:pPr>
        <w:spacing w:after="0" w:line="21"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if approved, at commercial-scale. We have limited experience manufacturing any of our product candidates in the volumes that are necessary to support clinical trials or and no experience manufacturing at volumes that are necessary to support commercial sales. Efforts to establish these capabilities may not meet initial expectations as to scheduling, scale-up, reproducibility, yield, purity, cost, potency or quality. In addition, other companies, many with substantial resources, compete with us for access to the materials needed to manufacture our product candidates.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We currently utilize, and expect to continue to utilize, third parties to, among other things, manufacture raw materials, components, parts, and consumables, and to perform quality testing. If the field of base editing and other genetic medicines continues to expand, we may encounter increasing competition for these materials and services. Demand for third-party manufacturing or testing facilities may grow at a faster rate than their existing capacity, which could disrupt our ability to find and retain third-party manufacturers capable of producing sufficient quantities of such raw materials, components, parts, and consumables required to manufacture our product candidates. The use of service providers and suppliers could expose us to risks, including, but not limited 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3" w:name="page74"/>
    <w:bookmarkEnd w:id="73"/>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termination or non-renewal of supply and service agreements with third parties in a manner or at a time that is costly or damaging to us;</w:t>
      </w:r>
    </w:p>
    <w:p>
      <w:pPr>
        <w:spacing w:after="0" w:line="115" w:lineRule="exact"/>
        <w:rPr>
          <w:rFonts w:ascii="Arial" w:cs="Arial" w:eastAsia="Arial" w:hAnsi="Arial"/>
          <w:sz w:val="17"/>
          <w:szCs w:val="17"/>
          <w:color w:val="auto"/>
        </w:rPr>
      </w:pPr>
    </w:p>
    <w:p>
      <w:pPr>
        <w:ind w:left="1020" w:right="10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disruptions to the operations of these suppliers and service providers caused by conditions unrelated to our business or operations, including the bankruptcy of the supplier or service provider; and</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inspections of third-party facilities by regulatory authorities that could have a negative outcome and result in delays to or termination of their ability to supply our requirements.</w:t>
      </w:r>
    </w:p>
    <w:p>
      <w:pPr>
        <w:spacing w:after="0" w:line="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reliance on third-party manufacturers may adversely affect our operations or result in unforeseen delays or other problems beyond our control. Because of contractual restraints and the limited number of third-party manufacturers with the expertise, required regulatory approvals and facilities to manufacture our product candidates on a clinical and, if approved, a commercial scale, replacement of a manufacturer may be expensive and time-consuming and may cause interruptions in the production of our product candidates. A third-party manufacturer may also encounter difficulties in production. These problems may include:</w:t>
      </w:r>
    </w:p>
    <w:p>
      <w:pPr>
        <w:spacing w:after="0" w:line="81"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difficulties with production costs, scale up and yields;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availability of raw materials and supplies;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compliance with strictly enforced federal, state and foreign regulations that vary in each country where products might be sold;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a result, any delay or interruption could have a material adverse effect on our business, financial condition, or results of operations.</w:t>
      </w:r>
    </w:p>
    <w:p>
      <w:pPr>
        <w:spacing w:after="0" w:line="10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We have and may in the future enter into collaborations with third parties for the research, development, and commercialization of certain of the product candidates we develop. If any such collaborations are not successful, we may not be able to capitalize on the market potential of those product candidates.</w:t>
      </w:r>
    </w:p>
    <w:p>
      <w:pPr>
        <w:spacing w:after="0" w:line="7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We have and may in the future seek third-party collaborators for the research, development, and commercialization of certain of the product candidates we develop. Under the agreements we have entered into and any agreements we may enter into in the future with any third parties, we have and will likely have limited control over the amount and timing of resources that our collaborators dedicate to the development or commercialization of any product candidates we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Collaborations involving our research programs or any product candidates we may develop pose numerous risks to us, including the following:</w:t>
      </w:r>
    </w:p>
    <w:p>
      <w:pPr>
        <w:spacing w:after="0" w:line="115"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03" w:lineRule="exact"/>
        <w:rPr>
          <w:rFonts w:ascii="Arial" w:cs="Arial" w:eastAsia="Arial" w:hAnsi="Arial"/>
          <w:sz w:val="18"/>
          <w:szCs w:val="18"/>
          <w:color w:val="auto"/>
        </w:rPr>
      </w:pPr>
    </w:p>
    <w:p>
      <w:pPr>
        <w:ind w:left="1020" w:right="240" w:hanging="503"/>
        <w:spacing w:after="0" w:line="270"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55" w:lineRule="exact"/>
        <w:rPr>
          <w:rFonts w:ascii="Arial" w:cs="Arial" w:eastAsia="Arial" w:hAnsi="Arial"/>
          <w:sz w:val="17"/>
          <w:szCs w:val="17"/>
          <w:color w:val="auto"/>
        </w:rPr>
      </w:pPr>
    </w:p>
    <w:p>
      <w:pPr>
        <w:ind w:left="1020" w:right="400" w:hanging="503"/>
        <w:spacing w:after="0" w:line="291"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jc w:val="both"/>
        <w:ind w:left="1020" w:right="14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medicines or product candidates we develop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medicines may not commit sufficient resources to the marketing and distribution of such medicine or medicines.</w:t>
      </w:r>
    </w:p>
    <w:p>
      <w:pPr>
        <w:spacing w:after="0" w:line="62"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4" w:name="page75"/>
    <w:bookmarkEnd w:id="74"/>
    <w:p>
      <w:pPr>
        <w:ind w:left="1020" w:right="240" w:hanging="503"/>
        <w:spacing w:after="0" w:line="248"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medicines or product candidates or that result in costly litigation or arbitration that diverts management attention and resources.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identified in our collaborations, including if we undergo a change of control.</w:t>
      </w:r>
    </w:p>
    <w:p>
      <w:pPr>
        <w:spacing w:after="0" w:line="115" w:lineRule="exact"/>
        <w:rPr>
          <w:rFonts w:ascii="Arial" w:cs="Arial" w:eastAsia="Arial" w:hAnsi="Arial"/>
          <w:sz w:val="17"/>
          <w:szCs w:val="17"/>
          <w:color w:val="auto"/>
        </w:rPr>
      </w:pPr>
    </w:p>
    <w:p>
      <w:pPr>
        <w:ind w:left="1020" w:right="96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we may develop.</w:t>
      </w:r>
    </w:p>
    <w:p>
      <w:pPr>
        <w:spacing w:after="0" w:line="62" w:lineRule="exact"/>
        <w:rPr>
          <w:rFonts w:ascii="Arial" w:cs="Arial" w:eastAsia="Arial" w:hAnsi="Arial"/>
          <w:sz w:val="18"/>
          <w:szCs w:val="18"/>
          <w:color w:val="auto"/>
        </w:rPr>
      </w:pPr>
    </w:p>
    <w:p>
      <w:pPr>
        <w:ind w:left="1020" w:right="60" w:hanging="503"/>
        <w:spacing w:after="0" w:line="270"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our collaborations do not result in the successful development and commercialization of product candidates, or if one of our collaborators terminates its agreement with us, we may not receive any future research funding or milestone or royalty payments under the collaboration. Furthermore, even if we receive such payments, they will likely result in payment obligations under license agreements with our licensors, which could be substantial. If we do not receive the funding we expect under these collaboration agreements, or if the funding is substantially offset by payment obligations to our licensors, our development of product candidates could be delayed, and we may need additional resources to develop product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on Form 10-K apply to the activities of our collaborators.</w:t>
      </w:r>
    </w:p>
    <w:p>
      <w:pPr>
        <w:spacing w:after="0" w:line="8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may develop we or our collaborators may develop, we may not be able to realize the benefit of such transactions if we are unable to successfully integrate them with our existing operations and company culture.</w:t>
      </w:r>
    </w:p>
    <w:p>
      <w:pPr>
        <w:spacing w:after="0" w:line="8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If conflicts arise between our corporate or academic collaborators or strategic partners and us, the other party may act in a manner adverse to us and could limit our ability to implement our strategies. Some of our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our product candidates we may develop.</w:t>
      </w:r>
    </w:p>
    <w:p>
      <w:pPr>
        <w:spacing w:after="0" w:line="81"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establish collaborations on commercially reasonable terms, we may have to alter our development and commercialization plans.</w:t>
      </w:r>
    </w:p>
    <w:p>
      <w:pPr>
        <w:spacing w:after="0" w:line="138"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Our product development and research programs and the potential commercialization of any product candidates we may develop will require substantial additional cash to fund expenses. For some of the product candidates we may develop, we may decide to collaborate with other pharmaceutical and biotechnology companies for the development and potential commercialization of those product candidates.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5" w:name="page76"/>
    <w:bookmarkEnd w:id="75"/>
    <w:p>
      <w:pPr>
        <w:spacing w:after="0" w:line="254"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59" w:lineRule="exact"/>
        <w:rPr>
          <w:sz w:val="20"/>
          <w:szCs w:val="20"/>
          <w:color w:val="auto"/>
        </w:rPr>
      </w:pPr>
    </w:p>
    <w:p>
      <w:pPr>
        <w:ind w:right="480"/>
        <w:spacing w:after="0" w:line="253"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if approved, delay its potential commercialization or reduce the scope of any sales or marketing activities, or increase our expenditures and undertake development or, if approved, commercialization activities at our own expense. If we elect to increase our expenditures to fund development or, if approved,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i w:val="1"/>
          <w:iCs w:val="1"/>
          <w:color w:val="auto"/>
        </w:rPr>
        <w:t>If we are unable to obtain and maintain patent and other intellectual property protection for any product candidates we develop and for our platform technologies, or if the scope of the patent and other intellectual property protection obtained is not sufficiently broad, our competitors could develop and commercialize products and technology similar or identical to ours, and our ability to successfully commercialize any product candidates we may develop, and our platform technologies may be adversely affected.</w:t>
      </w:r>
    </w:p>
    <w:p>
      <w:pPr>
        <w:spacing w:after="0" w:line="6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commercial success will depend in large part on our ability to obtain and maintain patent, trademark, trade secret and other intellectual property protection of our base editing platform technology, product candidates and other technology, including delivery platform technology methods used to manufacture them and methods of treatment, as well as successfully defending our patent and other intellectual property rights against third-party challenges. It is difficult and costly to protect our base editing platform technology and protect candidates, and we may not be able to ensure their protection. Our ability to stop unauthorized third parties from making, using, selling, offering to sell, importing or otherwise commercializing our product candidates we may develop is dependent upon the extent to which we have rights under valid and enforceable patents or trade secrets that cover these activities.</w:t>
      </w:r>
    </w:p>
    <w:p>
      <w:pPr>
        <w:spacing w:after="0" w:line="8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seek to protect our proprietary position by in-licensing intellectual property relating to our platform technology and filing patent applications in the United States and abroad related to our base editing platform technology, delivery platform technology and product candidates that are important to our business. If we or our licensors are unable to obtain or maintain patent protection with respect to our base editing platform technology, delivery platform technology and product candidates we may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8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enforce, or license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any licensed patents or pending patent applications, or that we or our licensors were the first to file for patent protection of such inventions.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6" w:name="page77"/>
    <w:bookmarkEnd w:id="76"/>
    <w:p>
      <w:pPr>
        <w:ind w:right="80"/>
        <w:spacing w:after="0" w:line="257"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been the subject of much litigation in recent years. The field of gene editing, especially in the area of base editing technology, has been the subject of extensive patenting activity and litigation. As a result, the issuance, scope, validity, enforceability, and commercial value of our patent rights are highly uncertain, and we may become involved in complex and costly litigation. Our pending and future patent applications may not result in patents being issued which protect our base editing platform technology, delivery platform technology and product candidates we may develop, or which effectively prevent others from commercializing competitive technologies and product candidates.</w:t>
      </w:r>
    </w:p>
    <w:p>
      <w:pPr>
        <w:spacing w:after="0" w:line="67"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No consistent policy regarding the scope of claims allowable in the field of gene editing, including base editing technology, has emerged in the United States. The scope of patent protection outside of the United States is also uncertain. Changes in either the patent laws or their interpretation in the United States and other countries may diminish our ability to protect our inventions, obtain, maintain, enforce and defend our intellectual property rights and, more generally, could affect the value of our intellectual property or narrow the scope of our owned and licensed patent rights. With respect to both in-licensed and owned intellectual property, we cannot predict whether the patent applications we and our licensors are currently pursuing will issue as patents in any particular jurisdiction or whether the claims of any issued patents will be valid and enforceable and provide sufficient protection from competitors.</w:t>
      </w:r>
    </w:p>
    <w:p>
      <w:pPr>
        <w:spacing w:after="0" w:line="5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narrowed, circumvented, or invalidated by third parties. Consequently, we do not know whether any of our platform advances and product candidates we may develop will be protectable or remain protected by valid and enforceable patents. Our competitors or other third parties may be able to circumvent our patents by developing similar or alternative technologies or products in a non-infringing manner.</w:t>
      </w:r>
    </w:p>
    <w:p>
      <w:pPr>
        <w:spacing w:after="0" w:line="5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Moreover, some of our owned and in-licensed patents and patent applications are, and may in the future be, co-owned by us with third parties. For example, a patent application directed to our potential HBG1 and HBG2 product candidates is co-owned by us, the President and Fellows of Harvard College, or Harvard, and Broad Institute. At present, we do not have a license to the ownership interest of Harvard or Broad Institute. If we are unable to obtain an exclusive license to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7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rights to develop and commercialize our base editing platform technology and product candidates are subject, in part, to the terms and conditions of licenses granted to us by others.</w:t>
      </w:r>
    </w:p>
    <w:p>
      <w:pPr>
        <w:spacing w:after="0" w:line="63"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We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7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have licensed and are dependent on certain patent rights and proprietary technology from third parties that are important or necessary to the development of our base editing technology and product candidates. For example, we are a party to license agreements with Broad Institute, Editas, Harvard, and Bio Palette, and others, pursuant to which we in-license key patents and patent applications for our base editing platform technology and product candidates (the Broad License Agreement, the Editas License Agreement, the Harvard License Agreement and the Bio Palette License Agreement, respectively). These license agreements impose various diligence, milestone payment, royalty, insurance, and other obligations on us. If we fail to comply with these obligations, our licensors may have the right to terminate our license, in which event we would not be able to develop or market our base editing platform or any other technology or product candidates covered by the intellectual property licensed under these agreements. For example, under the Harvard License Agreement, we are required to initiate a discovery program in accordance with the development plan and development milestones for the development of a licensed product covered by certain sub-categories of licensed patents. If we fail to initiate such a discovery program, our rights with respect to the sub-category of licensed patents will terminate.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7" w:name="page78"/>
    <w:bookmarkEnd w:id="77"/>
    <w:p>
      <w:pPr>
        <w:ind w:right="20"/>
        <w:spacing w:after="0" w:line="270" w:lineRule="auto"/>
        <w:rPr>
          <w:sz w:val="20"/>
          <w:szCs w:val="20"/>
          <w:color w:val="auto"/>
        </w:rPr>
      </w:pPr>
      <w:r>
        <w:rPr>
          <w:rFonts w:ascii="Arial" w:cs="Arial" w:eastAsia="Arial" w:hAnsi="Arial"/>
          <w:sz w:val="16"/>
          <w:szCs w:val="16"/>
          <w:color w:val="auto"/>
        </w:rPr>
        <w:t>These and other licenses may not provide exclusive rights to use such intellectual property and technology in all relevant fields of use and in all territories in which we may wish to develop or commercialize our base editing platform technology and product candidates in the future. Some licenses granted to us are expressly subject to certain preexisting rights held by the licensor or certain third parties. As a result, we may not be able to prevent competitors from developing and commercializing competitive products in certain territories or fields. For example, certain licensed patents developed by employees of the Howard Hughes Medical Institute, or HHMI, and subsequently assigned to Harvard and licensed to us under the Harvard License Agreement remain subject to a non-exclusive license between Harvard and HHMI. The Editas License Agreement provides that our field of use excludes the diagnosis, treatment, and prevention of human cancers through certain engineered T-cells, which are licensed to Juno Therapeutics, Inc. (a subsidiary of Bristol-Myers Squibb Company). If we determine that rights to such excluded field are necessary to commercialize our product candidates or maintain our competitive advantage, we may need to obtain a license from such third party in order to continue developing, manufacturing or marketing our product candidates. We may not be able to obtain such a license on an exclusive basis, on commercially reasonable terms, or at all, which could prevent us from commercializing our product candidates or allow our competitors or others the chance to access technology that is important to our business.</w:t>
      </w:r>
    </w:p>
    <w:p>
      <w:pPr>
        <w:spacing w:after="0" w:line="4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Under the Broad License Agreement, rights granted to us include certain patent applications directed to Cas12b or Cas13 that are limited to the United States. The co-owners of these patent applications include Broad Institute, Harvard, MIT, the State University of New Jersey, or Rutgers, Skolkovo Institute of Science and Technology, or Skoltech, and the NIH. At present, we do not have a license to the ownership interest of Rutgers, Skoltech, or the NIH. If we are unable to obtain an exclusive license to Rutgers, Skoltech, and the NIH’s interest in such patent applications, Rutgers, Skoltech, and the NIH may be able to license its rights to other third parties, including our competitors, and such third parties could market competing products and technology. In addition, we may need the cooperation of Rutgers, Skoltech, or the NIH in order to enforce patents issuing from these patent applications against third parties, and such cooperation may not be provided to us. Any of the foregoing could have a material adverse effect on our competitive position, business, financial conditions, results of operations, and prospects.</w:t>
      </w:r>
    </w:p>
    <w:p>
      <w:pPr>
        <w:spacing w:after="0" w:line="6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In addition, pursuant to our license agreement with Broad Institute and our license agreement with Harvard, under certain specific circumstances (in each case), Broad Institute or Harvard (as applicable) may grant a license to the patents that are the subject of such license agreement to a third party in the same field as such patents are licensed to us. Such third party may then have full rights that are the subject of the Broad License Agreement or the Harvard License Agreement (as applicable), which could impact our competitive position and enable a third party to commercialize products similar to our potential future product candidates and technology. Any grant of rights to a third party in this scenario would narrow the scope of our exclusive rights to the patents and patent applications we have in-licensed from Broad Institute and/or Harvard, as applicable.</w:t>
      </w:r>
    </w:p>
    <w:p>
      <w:pPr>
        <w:spacing w:after="0" w:line="6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do not have complete control in the preparation, filing, prosecution, maintenance, enforcement, and defense of patents and patent applications covering the technology that we license from third parties. For example, pursuant to each of our intellectual property licenses with Broad Institute, Harvard, Editas and Bio Palette, our licensors retain control of preparation, filing, prosecution, and maintenance, and, in certain circumstances, enforcement and defense of their patents and patent applications. It is possible that our licensors’ enforcement of patents against infringers or defense of such patents against challenges of validity or claims of enforceability may be less vigorous than if we had conducted them ourselves, or may not be conducted in accordance with our best interests.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our right to develop and commercialize any of our product candidates we may develop that are the subject of such licensed rights could be adversely affected and we may not be able to prevent competitors from making, using, and selling competing products.</w:t>
      </w:r>
    </w:p>
    <w:p>
      <w:pPr>
        <w:spacing w:after="0" w:line="6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 license granted to us in jurisdictions where the consent of a co-owner is necessary to grant such a license may not be valid and such co-owners may be able to license such patents to our competitors, and our competitors could market competing products and technology. In addition, our rights to our in-licensed patents and patent applications are dependent,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Any of these events could have a material adverse effect on our competitive position, business, financial conditions, results of operations, and prospects.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8" w:name="page79"/>
    <w:bookmarkEnd w:id="78"/>
    <w:p>
      <w:pPr>
        <w:ind w:right="40"/>
        <w:spacing w:after="0" w:line="252" w:lineRule="auto"/>
        <w:rPr>
          <w:sz w:val="20"/>
          <w:szCs w:val="20"/>
          <w:color w:val="auto"/>
        </w:rPr>
      </w:pPr>
      <w:r>
        <w:rPr>
          <w:rFonts w:ascii="Arial" w:cs="Arial" w:eastAsia="Arial" w:hAnsi="Arial"/>
          <w:sz w:val="16"/>
          <w:szCs w:val="16"/>
          <w:color w:val="auto"/>
        </w:rPr>
        <w:t>Furthermore, inventions contained within some of our in-licensed patents and patent applications were made using U.S. government funding. We rely on our licensors to ensure compliance with applicable obligations arising from such funding, such as timely reporting, an obligation associated with our in-licensed patents and patent applications. The failure of our licensors to meet their obligations may lead to a loss of rights or the unenforceability of relevant patents. For example, the U.S. government could have certain rights in such in-licensed patents, including a non-exclusive license authorizing the U.S. government to use the invention or to have others use the invention on its behalf. If the U.S. government decides to exercise these rights, it is not required to engage us as its contractor in connection with doing so.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also exercise its march-in rights if it determines that action is necessary because we or our licensors failed to achieve practical application of the U.S. government-funded technology, because action is necessary to alleviate health or safety needs, to meet requirements of federal regulations, or to give preference to U.S. industry. In addition, our rights in such in-licensed U.S. government-funded inventions may be subject to certain requirements to manufacture product candidates embodying such inventions in the United States. Any of the foregoing could harm our business, financial condition, results of operations, and prospects significantly.</w:t>
      </w:r>
    </w:p>
    <w:p>
      <w:pPr>
        <w:spacing w:after="0" w:line="7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the event any of our third-party licensors determine that, in spite of our efforts, we have materially breached a license agreement or have failed to meet certain obligations thereunder, it may elect to terminate the applicable license agreement or, in some cases, one or more licenses under the applicable license agreement and such termination would result in us no longer having the ability to develop and commercialize product candidates and technology covered by that license agreement or license. In the event of such termination of a third-party in-license, or if the underlying patents under a third-party in-license fail to provide the intended exclusivity, competitors would have the freedom to seek regulatory approval of, and to market, products identical to ours. Any of these events could have a material adverse effect on our competitive position, business, financial conditions, results of operations, and prospects.</w:t>
      </w:r>
    </w:p>
    <w:p>
      <w:pPr>
        <w:spacing w:after="0" w:line="8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owned and in-licensed patents and patent applications may not provide sufficient protection of our platform technologies, our product candidates and our future product candidates or result in any competitive advantage.</w:t>
      </w:r>
    </w:p>
    <w:p>
      <w:pPr>
        <w:spacing w:after="0" w:line="6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have in-licensed a number of issued U.S. patents and patent applications that cover base editing and gene targeting technologies, as well as our delivery platform technology. We have applied for provisional patent applications or Patent Cooperation Treaty, or PCT, applications intended to specifically cover our base editing platform technology and uses with respect to treatment of particular diseases and conditions, and currently own two issued U.S. patents. We have applied for provisional patent applications or PCT applications intended to specifically cover our delivery platform technology but do not currently own any issued U.S. patents. Each U.S. provisional patent application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intentions disclosed in the associated provisional patent applications. We cannot be certain that any of these patent applications will issue as patents, and if they do, that such patents will cover or adequately protect our base editing platform technology, delivery platform technology or our product candidates, or that such patents will not be challenged, narrowed, circumvented, invalidated or held unenforceable. Any failure to obtain or maintain patent protection with respect to our base editing platform technology, delivery platform technology and product candidates could have a material adverse effect on our business, financial condition, results of operations and growth prospects.</w:t>
      </w:r>
    </w:p>
    <w:p>
      <w:pPr>
        <w:spacing w:after="0" w:line="7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owned patents and patent applications and our in-licensed patents and patent applications contain claims directed to compositions of matter on our base editing product candidates, as well as methods directed to the use of such product candidates for gene therapy treatment.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9" w:name="page80"/>
    <w:bookmarkEnd w:id="79"/>
    <w:p>
      <w:pPr>
        <w:spacing w:after="0" w:line="267" w:lineRule="auto"/>
        <w:rPr>
          <w:sz w:val="20"/>
          <w:szCs w:val="20"/>
          <w:color w:val="auto"/>
        </w:rPr>
      </w:pPr>
      <w:r>
        <w:rPr>
          <w:rFonts w:ascii="Arial" w:cs="Arial" w:eastAsia="Arial" w:hAnsi="Arial"/>
          <w:sz w:val="16"/>
          <w:szCs w:val="16"/>
          <w:color w:val="auto"/>
        </w:rPr>
        <w:t xml:space="preserve">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or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 adverse determination in any such submission, proceeding or litigation could reduce the scope of, or invalidate or render unenforceable, our owned or in-licensed patent rights, allow third parties to commercialize our technology or product candidates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 proceedings, such as oppositions in a foreign patent office,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If the breadth or strength of protection provided by the patents and patent applications we own or the patents and patent applications we in-license with respect to our base editing platform technology, delivery platform technology and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Given that patent applications in the United States and other countries are confidential for a period of time after filing, at any moment in time, we cannot be certain that we or our licensors were in the past or will be in the future the first to file any patent application related to our base editing technology, delivery platform technology or product candidates. In addition, some patent applications in the United States may be maintained in secrecy until the patents are issued. As a result, there may be prior art of which we or our licensors are not aware that may affect the validity or enforceability of a patent claim, and we or our licensors may be subject to priority disputes. For our in-licensed patent portfolios, we rely on our licensors to determine inventorship, and obtain and file inventor assignments of priority applications before their conversion as PCT applications. A failure to do so in a timely fashion may give rise to a challenge to entitlement of priority for foreign applications nationalized from such PCT applications. For example, the European Patent Office, or the EPO, Opposition Division, or the EPO Opposition Division, has revoked our optioned Broad Institute patent European Patent No. EP2771468 following a third-party challenge to its priority rights. The patent was revoked due to loss of priority. We or our licensors are subject to and may in the future become a party to proceedings or priority disputes in Europe or other foreign jurisdictions. The loss of priority for, or the loss of, these European patents could have a material adverse effect on the conduct of our business.</w:t>
      </w:r>
    </w:p>
    <w:p>
      <w:pPr>
        <w:spacing w:after="0" w:line="78"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We may be required to disclaim part or all of the term of certain patents or patent applications. There may be prior art of which we are not aware that may affect the validity or enforceability of a patent claim. There also may be prior art of which we or our licensors are aware, but which we or our licensors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ours. Those patent applications may have priority over our owned patent applications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our patent applications or our in-licensed patents or patent applications that cover our product candidates.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0" w:name="page81"/>
    <w:bookmarkEnd w:id="80"/>
    <w:p>
      <w:pPr>
        <w:ind w:right="20"/>
        <w:spacing w:after="0" w:line="255" w:lineRule="auto"/>
        <w:rPr>
          <w:sz w:val="20"/>
          <w:szCs w:val="20"/>
          <w:color w:val="auto"/>
        </w:rPr>
      </w:pPr>
      <w:r>
        <w:rPr>
          <w:rFonts w:ascii="Arial" w:cs="Arial" w:eastAsia="Arial" w:hAnsi="Arial"/>
          <w:sz w:val="17"/>
          <w:szCs w:val="17"/>
          <w:color w:val="auto"/>
        </w:rPr>
        <w:t>Likewise, our currently owned patents and patent applications, if issued as patents, and in-licensed patents and patent applications, if issued as patents, directed to our proprietary base editing technologies and our product candidates are expected to expire from 2034 through 2043, without taking into account any possible patent term adjustments or extensions. Our owned or in-licensed patents may expire before, or soon after, our first product candidate achieves marketing approval in the United States or foreign jurisdictions. Additionally, no assurance can be given that the USPTO or relevant foreign patent offices will grant any of the pending patent applications we own or in-license currently or in the future. Upon the expiration of our current in-licensed patents, we may lose the right to exclude others from practicing these inventions. The expiration of these patents could also have a similar material adverse effect on our business, financial condition, results of operations and prospects.</w:t>
      </w:r>
    </w:p>
    <w:p>
      <w:pPr>
        <w:spacing w:after="0" w:line="72"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b w:val="1"/>
          <w:bCs w:val="1"/>
          <w:i w:val="1"/>
          <w:iCs w:val="1"/>
          <w:color w:val="auto"/>
        </w:rPr>
        <w:t>Our owned patents and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3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of the U.S. patents and one U.S. patent application to which we hold an option are co-owned by Broad Institute and MIT, and in some cases co-owned by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w:t>
      </w:r>
    </w:p>
    <w:p>
      <w:pPr>
        <w:spacing w:after="0" w:line="73"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On June 24, 2019, the PTAB declared an interference (U.S. Interference No. 106,115) between ten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spacing w:after="0" w:line="5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 a result of the declaration of interference, an adversarial proceeding in the USPTO before the PTAB has been initiated, which is declared to ultimately determine priority, specifically and which party was first to invent the claimed subject matter. Following oral arguments on the parties’ motions in May 2020, the PTAB issued a decision in September 2020, which included, in part, denying the Boston Licensing Parties motion that the University of California should be estopped in the current proceeding by the PTAB’s decision in the prior interference proceeding between the parties (No. 106,048), finding that the Boston Licensing Parties remain the senior party in the proceeding, and holding that the interference will proceed to the second, priority phase.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We cannot predict with any certainty how long the priority phase will actually take, and it may take approximately a year or longer before a decision is made by the PTAB. On February 4, 2022 an oral hearing was held in the priority phase of U.S. Interference No. 106,048. Although the hearing typically precedes a decision by the PTAB, we cannot predict with any certainty when a decision will be made. The ten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There can be no assurance that the U.S. interference will be resolved in favor of the Boston Licensing Parties. If the U.S. interference resolves in favor of University of California, or if the Boston Licensing Parties’ patents and patent application are narrowed, invalidated, or held unenforceable, we may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1" w:name="page82"/>
    <w:bookmarkEnd w:id="81"/>
    <w:p>
      <w:pPr>
        <w:ind w:right="20"/>
        <w:spacing w:after="0" w:line="252" w:lineRule="auto"/>
        <w:rPr>
          <w:sz w:val="20"/>
          <w:szCs w:val="20"/>
          <w:color w:val="auto"/>
        </w:rPr>
      </w:pPr>
      <w:r>
        <w:rPr>
          <w:rFonts w:ascii="Arial" w:cs="Arial" w:eastAsia="Arial" w:hAnsi="Arial"/>
          <w:sz w:val="17"/>
          <w:szCs w:val="17"/>
          <w:color w:val="auto"/>
        </w:rPr>
        <w:t>We or our licensors may be subject to similar interferences in the future with the same risks as described above. For example, on December 14, 2020, the PTAB declared an interference (U.S. Interference No. 106,126) between 14 U.S. patents and two U.S. patent applications (U.S. Patent Nos. 8,697,359; 8,771,945; 8,795,965; 8,865,406; 8,871,445; 8,889,356; 8,889,418; 8,895,308; 8,906,616; 8,932,814; 8,945,839; 8,993,233; 8,999,641; and 9,840,713, and U.S. Serial Nos. 14/704,551 and 15/330,876) that are co-owned by the Boston Licensing Parties, which we have an option to under the Editas License Agreement, and one U.S. patent application (U.S. Serial Nos. 14/685,510) that is owned by Toolgen, Inc, or Toolgen. In the declared interference, the Boston Licensing Parties have been designated as the junior party and Toolgen has been designated as the senior party. In March 2021, the PTAB issued an order on preliminary motions, granting, in part, and denying, in part, certain motions proposed by the Boston Licensing Parties and Toolgen. Although we cannot predict with any certainty how long the preliminary motions phase will actually take, it may take approximately a year or longer before a decision on the motions is made by the PTAB. The 14 U.S. patents and two U.S. patent applications co-owned by the Boston Licensing Parties involved in U.S. Interference No. 106,126 generally relate to CRISPR/Cas9 systems or eukaryotic cells comprising CRISPR/Cas9 systems having fused or covalently linked RNA and the use thereof in eukaryotic cells.</w:t>
      </w:r>
    </w:p>
    <w:p>
      <w:pPr>
        <w:spacing w:after="0" w:line="7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On June 21, 2021, the PTAB declared an interference (U.S. Interference No. 106,133) between the same 14 U.S. patents and two U.S. patent applications (U.S. Patent Nos. 8,697,359; 8,771,945; 8,795,965; 8,865,406; 8,871,445; 8,889,356; 8,889,418; 8,895,308; 8,906,616; 8,932,814; 8,945,839; 8,993,233; 8,999,641; and 9,840,713, and U.S. Serial Nos. 14/704,551 and 15/330,876, co-owned by the Boston Licensing Parties) as named in the interference with Toolgen, and one U.S. patent application (U.S. Serial Nos. 15/456,204) that is owned by Sigma-Aldrich Co., LLC, or Sigma-Aldrich. In the declared interference, the Boston Licensing Parties have been designated as the junior party and Sigma-Aldrich has been designated as the senior party. In September 2021, the PTAB issued an order on preliminary motions, granting, deferring, dismissing, or denying, certain motions proposed by the Boston Licensing Parties and Sigma-Aldrich.</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or our licensors may also be subject to claims that former employees, collaborators, or other third parties have an interest in our owned patents or patent applications or in-licensed patents or patent applications or other intellectual property as an inventor or co-inventor. If we are unable to obtain an exclusive license to any such third-party co-owners’ interest in such patents or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spacing w:after="0" w:line="6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spacing w:after="0" w:line="7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and proprietary rights throughout the world.</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2" w:name="page83"/>
    <w:bookmarkEnd w:id="82"/>
    <w:p>
      <w:pPr>
        <w:ind w:right="120"/>
        <w:spacing w:after="0" w:line="25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7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81" w:lineRule="exact"/>
        <w:rPr>
          <w:sz w:val="20"/>
          <w:szCs w:val="20"/>
          <w:color w:val="auto"/>
        </w:rPr>
      </w:pPr>
    </w:p>
    <w:p>
      <w:pPr>
        <w:ind w:right="800"/>
        <w:spacing w:after="0" w:line="356"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our existing licensors and others to advance our research or allow commercialization of product candidates we may develop. It is possible that we may be unable to obtain any additional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including base editing technology, delivery platform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6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each of our license agreements, we are generally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these license agreements. If these in-licenses are terminated, or if the underlying patents fail to provide the intended exclusivity, competitors or other third parties would have the freedom to seek regulatory approval of, and to market, products identical to ours and we may be required to cease our development and commercialization of or base editing platform technology, delivery platform technology or product candidates. Any of the foregoing could have a material adverse effect on our competitive position, business, financial conditions, results of operations, and growth prospects. Disputes may arise regarding intellectual property subject to a licensing agreement, including:</w:t>
      </w:r>
    </w:p>
    <w:p>
      <w:pPr>
        <w:spacing w:after="0" w:line="61"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020" w:right="80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sublicensing of patent and other rights to third parties under our collaborative development relationships;</w:t>
      </w:r>
    </w:p>
    <w:p>
      <w:pPr>
        <w:spacing w:after="0" w:line="103"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with respect to the use of the licensed technology in relation to our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3" w:name="page84"/>
    <w:bookmarkEnd w:id="83"/>
    <w:p>
      <w:pPr>
        <w:ind w:right="20"/>
        <w:spacing w:after="0" w:line="270"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broaden what we believe to be the scope of the licensor’s rights to our intellectual property and technology, or increase what we believe to be our financial or other obligations under the relevant agreement, any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As a result, any termination of or disputes over our intellectual property licenses could result in the loss of our ability to develop and commercialize our base editing platform, delivery platform, or other product candidates or we could lose other significant rights, any of which could have a material adverse effect on our business, financial conditions, results of operations, and prospects. It is also possible that a third party could be granted limited licenses to some of the same technology, in certain circumstances.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acquiring or in-licensing necessary rights to key technologies or any product candidates we may develop.</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currently have rights to intellectual property, through licenses from third parties, to identify and develop product candidates, and we expect to seek to expand our product candidate pipeline in part by in-licensing the rights to key technologies. The future growth of our business will depend in part on our ability to in-license or otherwise acquire the rights to additional product candidates and technologies. Although we have succeeded in licensing technologies from third party licensees including Harvard, Broad Institute, Editas, and Bio Palette in the past, we cannot assure you that we will be able to in-license or acquire the rights to any product candidates or technologies from third parties on acceptable terms or at all.</w:t>
      </w:r>
    </w:p>
    <w:p>
      <w:pPr>
        <w:spacing w:after="0" w:line="6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For example, our agreements with certain of our third-party licensors provide that our field of use excludes particular fields, for example, the diagnosis, treatment, and prevention of human cancers through certain engineered T-cells, which are licensed exclusively or non-exclusively to a third-party licensee. If we determine that rights to such fields are necessary to commercialize our drug candidates or maintain our competitive advantage, we may need to obtain a license from such third party in order to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chance to access technology that is important to our business.</w:t>
      </w:r>
    </w:p>
    <w:p>
      <w:pPr>
        <w:spacing w:after="0" w:line="6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Furthermore, there has been extensive patenting activity in the fields of gene editing and delivery technologies, and pharmaceutical companies, biotechnology companies, and academic institutions are competing with us or are expected to compete with us in the fields of gene editing and delivery technologies and filing patent applications potentially relevant to our business and we are aware of certain third-party patent applications that, if issued, may allow the third party to circumvent our patent rights. For example, we are aware of several third-party patents, and patent applications, that if issued, may be construed to cover our base editing technology, delivery technology and product candidates. In order to market our product candidates, we may find it necessary or prudent to obtain licenses from such third-party intellectual property holders. However, we may be unable to secure such licenses or otherwise acquire or in-license any compositions, methods of use, processes, or other intellectual property rights from third parties that we identify as necessary for product candidates we may develop and base editing and delivery technologies. We may also require licenses from third parties for additional non-base editing technologies, including additional delivery methods that we are evaluating for use with product candidates we are developing and may develop in the future. In addition, some of our owned patents and patent applications and in-licensed patents and patent applications are co-owned with third parties. With respect to any patents co-owned with third parties, we may require licenses to such co-owners’ interest to such patents.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6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4" w:name="page85"/>
    <w:bookmarkEnd w:id="84"/>
    <w:p>
      <w:pPr>
        <w:ind w:right="40"/>
        <w:spacing w:after="0" w:line="238" w:lineRule="auto"/>
        <w:rPr>
          <w:sz w:val="20"/>
          <w:szCs w:val="20"/>
          <w:color w:val="auto"/>
        </w:rPr>
      </w:pPr>
      <w:r>
        <w:rPr>
          <w:rFonts w:ascii="Arial" w:cs="Arial" w:eastAsia="Arial" w:hAnsi="Arial"/>
          <w:sz w:val="18"/>
          <w:szCs w:val="18"/>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86" w:lineRule="exact"/>
        <w:rPr>
          <w:sz w:val="20"/>
          <w:szCs w:val="20"/>
          <w:color w:val="auto"/>
        </w:rPr>
      </w:pPr>
    </w:p>
    <w:p>
      <w:pPr>
        <w:ind w:right="340"/>
        <w:spacing w:after="0" w:line="322" w:lineRule="auto"/>
        <w:rPr>
          <w:sz w:val="20"/>
          <w:szCs w:val="20"/>
          <w:color w:val="auto"/>
        </w:rPr>
      </w:pPr>
      <w:r>
        <w:rPr>
          <w:rFonts w:ascii="Arial" w:cs="Arial" w:eastAsia="Arial" w:hAnsi="Arial"/>
          <w:sz w:val="15"/>
          <w:szCs w:val="15"/>
          <w:b w:val="1"/>
          <w:bCs w:val="1"/>
          <w:i w:val="1"/>
          <w:iCs w:val="1"/>
          <w:color w:val="auto"/>
        </w:rPr>
        <w:t>The intellectual property landscape around gene editing technology, including base editing and delivery technology,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21"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field of gene editing, especially in the area of base editing technology, is still in its infancy, and no such product candidates have reached the market. Due to the intense research and development that is taking place by several companies, including us and our competitors, in this field and in the field of delivery technology, the intellectual property landscape is evolving and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8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and licensors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as well as administrative proceedings for challenging patents, including interference, derivation,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reexamination proceedings before the USPTO or oppositions and other comparable proceedings in foreign jurisdictions. We may be subject to and may in the future become party to, or threatened with, adversarial proceedings or litigation regarding intellectual property rights with respect to our base editing platform technology, delivery platform technology and any product candidates we may develop, including interference proceedings,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EPO. Numerous U.S. and foreign issued patents and pending patent applications that are owned by third parties exist in the fields in which we are developing our product candidates and they may assert infringement claims against us based on existing patents or patents that may be granted in the future, regardless of their merit.</w:t>
      </w:r>
    </w:p>
    <w:p>
      <w:pPr>
        <w:spacing w:after="0" w:line="78"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As the biotechnology and pharmaceutical industries expand and more patents are issued, the risk increases that our base editing platform technology, delivery platform technology and product candidates may give rise to claims of infringement of the patent rights of others. Moreover, it is not always clear to industry participants, including us, which patents cover various types of therapies, products or their methods of use or manufacture. We are aware of certain third-party patents and patent applications that, if issued, may be construed to cover our base editing technology, delivery technology and product candidates. There may also be third-party patents of which we are currently unaware with claims to technologies,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5" w:name="page86"/>
    <w:bookmarkEnd w:id="85"/>
    <w:p>
      <w:pPr>
        <w:spacing w:after="0" w:line="266" w:lineRule="auto"/>
        <w:rPr>
          <w:sz w:val="20"/>
          <w:szCs w:val="20"/>
          <w:color w:val="auto"/>
        </w:rPr>
      </w:pPr>
      <w:r>
        <w:rPr>
          <w:rFonts w:ascii="Arial" w:cs="Arial" w:eastAsia="Arial" w:hAnsi="Arial"/>
          <w:sz w:val="16"/>
          <w:szCs w:val="16"/>
          <w:color w:val="auto"/>
        </w:rPr>
        <w:t>Numerous third-party U.S. and foreign issued patents and pending patent applications exist in the fields in which we are developing product candidates. Our product candidates make use of CRISPR-based technology, which is a field that is highly active for patent filings. The extensive patent filings related to CRISPR and Cas make it difficult for us to assess the full extent of relevant patents and pending applications that may cover our base editing platform technology and product candidates and their use or manufacture. There may be third-party patents or patent applications with claims to materials, formulations, methods of manufacture or methods for treatment related to the use or manufacture of our base editing platform technology and product candidates. For example, we are aware of a patent portfolio that is co-owned by the University of California, University of Vienna and Emmanuelle Charpentier, or the University of California Portfolio, which contains multiple patents and pending applications directed to gene editing. The University of California portfolio includes, for example, U.S. Patent Nos. 10,266,850; 10,227,611; 10,000,772; 10,113,167; 10,301,651; 10,308,961; 10,337,029; 10,351,878; 10,407,697; 10,358,659; 10,358,658; 10,385,360; 10,400,253; 10,421,980; 10,415,061; 10,428,352; 10,443,076; 10,487,341; 10,513,712; 10,519,467; 10,526,619; 10,533,190; 10,550,407; 10,563,227; 10,570,419; 10,577,631; 10,597,680; 10,612,045; 10,626,419; 10,640,791; 10,669,560; 10,676,759; 10,752,920; 10,774,344; 10,793,878; 10,900,054; 10,982,230; 10,982,231; 10,988,780; 10,988,782; 11,001,863; 11,008,589; 11,008,590; 11,028,412; 11,186,849; 11,242,543, which are expected to expire around March 2033, excluding any additional term for patent term adjustment, or PTA, or patent term extension, or PTE, and any disclaimed term for terminal disclaimers. The University of California portfolio also includes numerous additional pending patent applications. If these patent applications issue as patents, they are expected to expire around March 2033, excluding any PTA, PTE, and any disclaimed term for terminal disclaimers. As discussed above, certain applications in the University of California Portfolio are currently subject to U.S. Interference No. 106,115 with certain U.S. patents and one U.S. patent application that are co-owned by the Boston Licensing Parties to which we have an option under the Editas License Agreement. Although we have an option to exclusively license certain patents and patent applications directed to Cas9 and Cas12a from Editas, who in turn has licensed such patents from various academic institutions including Broad Institute, we do not currently have a license to such patents and patent applications. Certain members of the University of California Portfolio are being opposed in Europe by multiple parties. For example, the EPO Opposition Division has initiated opposition proceedings against European Patent Nos. EP2,800,811 B1, and EP3,241,902 B1and EP3401400 B1, which are estimated to expire in March 2033 (excluding any patent term adjustments or extensions).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Most of the claims of European patent EP 2,800,811 B1 were maintained without amendment by the Opposition Division, but this decision is being appealed. In April 2021, the claims of European patent EP3,241,902 B1 were revoked in their entirety, and that decision is not being appealed. In February 2022, the claims of European patent EP3,401,400 B1 were maintained in amended form by the Opposition Division, and it is uncertain if this decision will be appealed.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26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Numerous other patents and patent applications have been filed by other third parties directed to gene editing, guide nucleic acids, PAM sequence variants, split inteins, Cas12b or gene editing in the context of immune therapy or chimeric antigen receptors.</w:t>
      </w:r>
    </w:p>
    <w:p>
      <w:pPr>
        <w:spacing w:after="0" w:line="63"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Because of the large number of patents issued and patent applications filed in our field, third parties may allege they have patent rights encompassing our product candidates, technologies or methods. Third parties may assert that we are employing their proprietary technology without authorization and may file patent infringement claims or lawsuit against us, and if we are found to infringe such third-party patents, we may be required to pay damages, cease commercialization of the infringing technology, or obtain a license from such third parties, which may not be available on commercially reasonable terms or at all.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6" w:name="page87"/>
    <w:bookmarkEnd w:id="86"/>
    <w:p>
      <w:pPr>
        <w:ind w:right="20"/>
        <w:spacing w:after="0" w:line="267" w:lineRule="auto"/>
        <w:rPr>
          <w:sz w:val="20"/>
          <w:szCs w:val="20"/>
          <w:color w:val="auto"/>
        </w:rPr>
      </w:pPr>
      <w:r>
        <w:rPr>
          <w:rFonts w:ascii="Arial" w:cs="Arial" w:eastAsia="Arial" w:hAnsi="Arial"/>
          <w:sz w:val="16"/>
          <w:szCs w:val="16"/>
          <w:color w:val="auto"/>
        </w:rPr>
        <w:t>Our ability to commercialize our product candidates in the United States and abroad may be adversely affected if we cannot obtain a license on commercially reasonable terms to relevant third-party patents that cover our product candidates, delivery platform technology or base editing platform technology.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67"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Defense of third-party claims of infringement of misappropriation, or violation of intellectual property rights involves substantial litigation expense and would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There could also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events could have a material adverse effect on our business, financial condition, results of operations and prospects.</w:t>
      </w:r>
    </w:p>
    <w:p>
      <w:pPr>
        <w:spacing w:after="0" w:line="73"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future patents or the patents of our licensors, which could be expensive, time consuming, and unsuccessful and could result in a finding that such patents are unenforceable or invalid.</w:t>
      </w:r>
    </w:p>
    <w:p>
      <w:pPr>
        <w:spacing w:after="0" w:line="3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Competitors may infringe our patents, future patents or the patents of our licensing partners, or we may be required to defend against claims of infringement. In addition, our patents, future patents or the patents of our licensing partners also are, and may in the future become, involved in inventorship, priority, validity or enforceability disputes. Countering or defending against such claims can be expensive and time consuming. In an infringement proceeding, a court may decide that a patent owned or in-licensed by us is invalid or unenforceable,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or interpreted narrowly.</w:t>
      </w:r>
    </w:p>
    <w:p>
      <w:pPr>
        <w:spacing w:after="0" w:line="67"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 xml:space="preserve">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These types of mechanisms include re-examination, post-grant review,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interference proceedings, derivation proceedings, and equivalent proceedings in foreign jurisdictions (e.g., opposition proceedings). These</w:t>
      </w:r>
      <w:r>
        <w:rPr>
          <w:rFonts w:ascii="Arial" w:cs="Arial" w:eastAsia="Arial" w:hAnsi="Arial"/>
          <w:sz w:val="16"/>
          <w:szCs w:val="16"/>
          <w:i w:val="1"/>
          <w:iCs w:val="1"/>
          <w:color w:val="auto"/>
        </w:rPr>
        <w:t xml:space="preserve"> </w:t>
      </w:r>
      <w:r>
        <w:rPr>
          <w:rFonts w:ascii="Arial" w:cs="Arial" w:eastAsia="Arial" w:hAnsi="Arial"/>
          <w:sz w:val="16"/>
          <w:szCs w:val="16"/>
          <w:color w:val="auto"/>
        </w:rPr>
        <w:t>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licensors,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technology and/or product candidates. Defense of these types of claims, regardless of their merit, would involve substantial litigation expense and would be a substantial diversion of employee resources from our business.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7" w:name="page88"/>
    <w:bookmarkEnd w:id="87"/>
    <w:p>
      <w:pPr>
        <w:spacing w:after="0" w:line="239" w:lineRule="auto"/>
        <w:rPr>
          <w:sz w:val="20"/>
          <w:szCs w:val="20"/>
          <w:color w:val="auto"/>
        </w:rPr>
      </w:pPr>
      <w:r>
        <w:rPr>
          <w:rFonts w:ascii="Arial" w:cs="Arial" w:eastAsia="Arial" w:hAnsi="Arial"/>
          <w:sz w:val="18"/>
          <w:szCs w:val="18"/>
          <w:color w:val="auto"/>
        </w:rPr>
        <w:t xml:space="preserve">Conversely, we may choose to challenge the patentability of claims in a third party’s U.S. patent by requesting that the USPTO review the patent claims in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interference proceedings, derivation proceedings, and equivalent proceedings in foreign jurisdictions (e.g., opposition proceedings). We are currently challenging, and in the future may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base editing platform technology, delivery platform technology or other or proprietary technologies.</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For example, as discussed above, elements of the University of California patent portfolio are being opposed in Europe by multiple parties and we are participating in the opposition proceedings. The EPO Opposition Division, or the Opposition Division, has initiated opposition proceedings against European patents estimated to expire in March 2033 (excluding any patent term adjustments or extensions) and co-owned by the University of California. The opposition procedure before the EPO allows one or more third parties to challenge the validity of a granted European patent within nine months after grant date of the European patent. Opposition proceedings may involve issues including, but not limited to, priority, patentability of the claims involved, and procedural formalities related to the filing of the patent application. As a result of the opposition proceedings, the Opposition Division can revoke a patent, maintain the patent as granted, or maintain the patent in an amended form. It is uncertain when or in what manner the Opposition Division will act on the opposition proceedings of these European patents. If these patents are maintained by the Opposition Division with claims similar to those that are currently opposed, our ability to commercialize our product candidates may be adversely affected if we do not obtain a license to these patents.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If we are unable to obtain a necessary license to a third-party patent on commercially reasonable terms, we may be unable to commercialize our base editing platform technology, delivery platform technology or product candidates or such commercialization efforts may be significantly delayed, which could in turn significantly harm our business.</w:t>
      </w:r>
    </w:p>
    <w:p>
      <w:pPr>
        <w:spacing w:after="0" w:line="8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72"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In certain circumstances, we rely on our licensing partners to pay these fees due to U.S. and non-U.S. patent agencies.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8" w:name="page89"/>
    <w:bookmarkEnd w:id="88"/>
    <w:p>
      <w:pPr>
        <w:spacing w:after="0" w:line="261"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platform technologies and product candidates.</w:t>
      </w:r>
    </w:p>
    <w:p>
      <w:pPr>
        <w:spacing w:after="0" w:line="6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7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 xml:space="preserve">Changes in either the patent laws or interpretation of the patent laws could increase the uncertainties and costs surrounding the prosecution of patent applications and the enforcement or defense of our issued patents.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file any patent application related to our technology or product candidates or invent any of the inventions claimed in our or our licensor’s patents or patent applications. The America Invents Act also includes a number of other significant changes to U.S. patent law, including provisions that affect the way patent applications are prosecuted, allowing third party submission of prior art and establish a new post-grant review system including post-grant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derivation proceedings. Because of a lower evidentiary standard in USPTO proceedings compared to the evidentiary standard in</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effects of some of these changes are currently unclear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However, the America Invents Act and its implementation could increase the uncertainties and costs surrounding the prosecution of our patent applications and the enforcement or defense of our issued patents.</w:t>
      </w:r>
    </w:p>
    <w:p>
      <w:pPr>
        <w:spacing w:after="0" w:line="8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In addition,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For example, in the case, </w:t>
      </w:r>
      <w:r>
        <w:rPr>
          <w:rFonts w:ascii="Arial" w:cs="Arial" w:eastAsia="Arial" w:hAnsi="Arial"/>
          <w:sz w:val="16"/>
          <w:szCs w:val="16"/>
          <w:i w:val="1"/>
          <w:iCs w:val="1"/>
          <w:color w:val="auto"/>
        </w:rPr>
        <w:t>Assoc. for Molecular Pathology v. Myriad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Genetics, Inc., </w:t>
      </w:r>
      <w:r>
        <w:rPr>
          <w:rFonts w:ascii="Arial" w:cs="Arial" w:eastAsia="Arial" w:hAnsi="Arial"/>
          <w:sz w:val="16"/>
          <w:szCs w:val="16"/>
          <w:color w:val="auto"/>
        </w:rPr>
        <w:t>the U.S. Supreme Court held that certain claims to DNA molecules are not patentable. We cannot predict how this and future decisions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courts, the U.S. Congress or the USPTO may impact the value of our patents. Any similar adverse changes in the patent laws of other jurisdictions could also have a material adverse effect on our business, financial condition, results of operations and prospects.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PTE and PTA,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If we do not obtain PTE and data exclusivity for any product candidates we may develop, our business may be materially harmed.</w:t>
      </w:r>
    </w:p>
    <w:p>
      <w:pPr>
        <w:spacing w:after="0" w:line="104"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Depending upon the timing, duration and specifics of any FDA marketing approval of any product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auto"/>
        </w:rPr>
        <w:t>In addition to seeking patents for our technology and product candidates, we also rely on know-how and trade secret protection, as well as confidentiality agreements, non-disclosure agreements and invention assignment agreements with our employees, consultants and third parties, to protect our confidential and proprietary information, especially where we do not believe patent protection is appropriate or obtainable.</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6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7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0" w:name="page91"/>
    <w:bookmarkEnd w:id="90"/>
    <w:p>
      <w:pPr>
        <w:ind w:right="260"/>
        <w:spacing w:after="0" w:line="261" w:lineRule="auto"/>
        <w:rPr>
          <w:sz w:val="20"/>
          <w:szCs w:val="20"/>
          <w:color w:val="auto"/>
        </w:rPr>
      </w:pPr>
      <w:r>
        <w:rPr>
          <w:rFonts w:ascii="Arial" w:cs="Arial" w:eastAsia="Arial" w:hAnsi="Arial"/>
          <w:sz w:val="18"/>
          <w:szCs w:val="18"/>
          <w:b w:val="1"/>
          <w:bCs w:val="1"/>
          <w:i w:val="1"/>
          <w:iCs w:val="1"/>
          <w:color w:val="auto"/>
        </w:rPr>
        <w:t>Third parties may assert that our employees, consultants, or advisors have wrongfully used or disclosed confidential information or misappropriated trade secrets.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Also, we have in the past and may in the future be subject to claims that these individuals are violating non-compete agreements with their former employers. We may then have to pursue litigation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6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0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product candidates we may develop will eventually become commercially available in generic or biosimilar product forms;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any product candidates we may develop or utilize similar base editing technology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20" w:right="520" w:hanging="503"/>
        <w:spacing w:after="0" w:line="324"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or our license partners or current or future collaborators, may fail to meet our obligations to the U.S. government regarding any in-licensed patents and patent applications funded by U.S. government grants, leading to the loss or unenforceability of patent rights;</w:t>
      </w:r>
    </w:p>
    <w:p>
      <w:pPr>
        <w:spacing w:after="0" w:line="16" w:lineRule="exact"/>
        <w:rPr>
          <w:rFonts w:ascii="Arial" w:cs="Arial" w:eastAsia="Arial" w:hAnsi="Arial"/>
          <w:sz w:val="16"/>
          <w:szCs w:val="16"/>
          <w:color w:val="auto"/>
        </w:rPr>
      </w:pPr>
    </w:p>
    <w:p>
      <w:pPr>
        <w:ind w:left="1020" w:right="240" w:hanging="503"/>
        <w:spacing w:after="0" w:line="26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it is possible that our pending, owned or licensed patent applications or those that we may own in the future will not lead to issued patents;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1" w:name="page92"/>
    <w:bookmarkEnd w:id="91"/>
    <w:p>
      <w:pPr>
        <w:ind w:left="1020" w:right="2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owned or in-licensed patents, or parts of our owned or in-licensed patents;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62" w:lineRule="exact"/>
        <w:rPr>
          <w:rFonts w:ascii="Arial" w:cs="Arial" w:eastAsia="Arial" w:hAnsi="Arial"/>
          <w:sz w:val="18"/>
          <w:szCs w:val="18"/>
          <w:color w:val="auto"/>
        </w:rPr>
      </w:pPr>
    </w:p>
    <w:p>
      <w:pPr>
        <w:ind w:left="1020" w:right="280" w:hanging="503"/>
        <w:spacing w:after="0" w:line="248"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7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unenforceable, or narrowed in scope, including as a result of legal challenges by our competitors;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15" w:lineRule="exact"/>
        <w:rPr>
          <w:rFonts w:ascii="Arial" w:cs="Arial" w:eastAsia="Arial" w:hAnsi="Arial"/>
          <w:sz w:val="17"/>
          <w:szCs w:val="17"/>
          <w:color w:val="auto"/>
        </w:rPr>
      </w:pPr>
    </w:p>
    <w:p>
      <w:pPr>
        <w:ind w:left="1020" w:right="86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proprietary rights or the proprietary rights of license partners or current or future collaborators to the same extent as the laws of the United States;</w:t>
      </w:r>
    </w:p>
    <w:p>
      <w:pPr>
        <w:spacing w:after="0" w:line="62" w:lineRule="exact"/>
        <w:rPr>
          <w:rFonts w:ascii="Arial" w:cs="Arial" w:eastAsia="Arial" w:hAnsi="Arial"/>
          <w:sz w:val="18"/>
          <w:szCs w:val="18"/>
          <w:color w:val="auto"/>
        </w:rPr>
      </w:pPr>
    </w:p>
    <w:p>
      <w:pPr>
        <w:ind w:left="1020" w:right="140" w:hanging="503"/>
        <w:spacing w:after="0" w:line="324" w:lineRule="auto"/>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spacing w:after="0" w:line="16" w:lineRule="exact"/>
        <w:rPr>
          <w:rFonts w:ascii="Arial" w:cs="Arial" w:eastAsia="Arial" w:hAnsi="Arial"/>
          <w:sz w:val="16"/>
          <w:szCs w:val="16"/>
          <w:color w:val="auto"/>
        </w:rPr>
      </w:pPr>
    </w:p>
    <w:p>
      <w:pPr>
        <w:ind w:left="1020" w:right="720" w:hanging="503"/>
        <w:spacing w:after="0" w:line="291" w:lineRule="auto"/>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product candidates we develop may be covered by third parties’ patents or other exclusive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patents of others may harm our business; or</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3" w:lineRule="exact"/>
        <w:rPr>
          <w:sz w:val="20"/>
          <w:szCs w:val="20"/>
          <w:color w:val="auto"/>
        </w:rPr>
      </w:pPr>
    </w:p>
    <w:p>
      <w:pPr>
        <w:ind w:right="560"/>
        <w:spacing w:after="0" w:line="360" w:lineRule="auto"/>
        <w:rPr>
          <w:sz w:val="20"/>
          <w:szCs w:val="20"/>
          <w:color w:val="auto"/>
        </w:rPr>
      </w:pPr>
      <w:r>
        <w:rPr>
          <w:rFonts w:ascii="Arial" w:cs="Arial" w:eastAsia="Arial" w:hAnsi="Arial"/>
          <w:sz w:val="18"/>
          <w:szCs w:val="18"/>
          <w:color w:val="auto"/>
        </w:rPr>
        <w:t xml:space="preserve">Should any of these events occur, they could have a material adverse effect on our business, financial condition, results of operations, and prospects. </w:t>
      </w:r>
      <w:r>
        <w:rPr>
          <w:rFonts w:ascii="Arial" w:cs="Arial" w:eastAsia="Arial" w:hAnsi="Arial"/>
          <w:sz w:val="18"/>
          <w:szCs w:val="18"/>
          <w:b w:val="1"/>
          <w:bCs w:val="1"/>
          <w:color w:val="auto"/>
        </w:rPr>
        <w:t>Risks related to regulatory and other legal compliance matters</w:t>
      </w:r>
    </w:p>
    <w:p>
      <w:pPr>
        <w:ind w:right="320"/>
        <w:spacing w:after="0" w:line="261" w:lineRule="auto"/>
        <w:rPr>
          <w:sz w:val="20"/>
          <w:szCs w:val="20"/>
          <w:color w:val="auto"/>
        </w:rPr>
      </w:pPr>
      <w:r>
        <w:rPr>
          <w:rFonts w:ascii="Arial" w:cs="Arial" w:eastAsia="Arial" w:hAnsi="Arial"/>
          <w:sz w:val="18"/>
          <w:szCs w:val="18"/>
          <w:b w:val="1"/>
          <w:bCs w:val="1"/>
          <w:i w:val="1"/>
          <w:iCs w:val="1"/>
          <w:color w:val="auto"/>
        </w:rPr>
        <w:t>Regulatory requirements governing genetic medicines, and in particular any novel genetic medicines we may develop, have changed frequently and may continue to change in the future.</w:t>
      </w:r>
    </w:p>
    <w:p>
      <w:pPr>
        <w:spacing w:after="0" w:line="63"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Regulatory requirements governing genetic and cellular medicines, and in particular any novel genetic medicine products we may develop, have changed frequently and may continue to change in the future. We are aware of a limited number of genetic medicines that have received marketing authorization from the FDA and EMA. Even with respect to more established products in the genetic medicine field, the regulatory landscape is still developing. For example, the FDA has established the Office of Tissues and Advanced Therapies (formerly the Office of Cellular, Tissue and Gene Therapies) within CBER to consolidate the review of genetic medicines and related products, and the Cellular, Tissue and Gene Therapies Advisory Committee to advise CBER on its review. Genetic medicine clinical trials conducted at institutions that receive funding for recombinant DNA research from the NIH also are potentially subject to review by the Office of Biotechnology Activities’ Recombinant DNA Advisory Committee, or the RAC; however, the NIH announced that the RAC will only publicly review clinical trials if the trials cannot be evaluated by standard oversight bodies and pose unusual risks.</w:t>
      </w:r>
    </w:p>
    <w:p>
      <w:pPr>
        <w:spacing w:after="0" w:line="60"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The same applies in the European Union, or EU. The EMA’s Committee for Advanced Therapies, or CAT, is responsible for assessing the quality, safety and efficacy of advanced-therapy medicinal products. The role of the CAT is to prepare a draft opinion on an application for marketing authorization for a genetic medicinal candidate that is submitted to the CHMP before CHMP adopts its final opinion. In the EU, the development and evaluation of a genetic medicinal product must be considered in the context of the relevant EU guidelines. The EMA may issue new guidelines concerning the development and marketing authorization for genetic medicinal products and require that we comply with these new guidelines. As a result, the procedures and standards applied to genetic medicines and cell therapy products may be applied to any product candidates we may develop, but that remains uncertain at this point.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2" w:name="page93"/>
    <w:bookmarkEnd w:id="92"/>
    <w:p>
      <w:pPr>
        <w:spacing w:after="0" w:line="239" w:lineRule="auto"/>
        <w:rPr>
          <w:sz w:val="20"/>
          <w:szCs w:val="20"/>
          <w:color w:val="auto"/>
        </w:rPr>
      </w:pPr>
      <w:r>
        <w:rPr>
          <w:rFonts w:ascii="Arial" w:cs="Arial" w:eastAsia="Arial" w:hAnsi="Arial"/>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As we advance any product candidates we may develop, we will be required to consult with these regulatory and advisory groups and comply with applicable guidelines. If we fail to do so, we may be required to delay or discontinue development of these product candidates. Delay or failure to obtain, or unexpected costs in obtaining, the regulatory approval necessary to bring a potential product to market could decrease our ability to generate sufficient product revenue to maintain our business.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Although the FDA decides whether individual genetic medicine protocols may proceed, the RAC public review process, if undertaken, can delay the initiation of a clinical trial, even if the FDA has reviewed the trial design and details and approved its initiation. Conversely, the FDA can put an IND on a clinical hold even if the RAC has provided a favorable review or an exemption from in-depth, public review. If we were to engage an NIH-funded institution to conduct a clinical trial, that institution’s IBC as well as its IRB would need to review the proposed clinical trial to assess the safety of the trial. In addition, adverse developments in clinical trials of genetic medicine products conducted by others may cause the FDA or other oversight bodies to change the requirements for approval of any product candidates we may develop. Similarly, the EMA may issue new guidelines concerning the development and marketing authorization for genetic medicine products and require that we comply with these new guidelines.</w:t>
      </w:r>
    </w:p>
    <w:p>
      <w:pPr>
        <w:spacing w:after="0" w:line="72"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As we are initially seeking to identify and develop product candidates to treat diseases using novel technologies, there is heightened risk that the FDA, the EMA or other regulatory authority may not consider the clinical trial endpoints that we propose to provide clinically meaningful results. Even if the endpoints are deemed clinically meaningful, we may not achieve these endpoints to a degree of statistical significance, particularly because many of the diseases we are targeting with our platform, including T-cell acute lymphoblastic leukemia, glycogen storage disorder and Stargardt disease, have small patient populations, making development of large and rigorous clinical trials more difficult.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gene editing therapeutic product has been approved in the United States or in Europe.</w:t>
      </w:r>
    </w:p>
    <w:p>
      <w:pPr>
        <w:spacing w:after="0" w:line="63"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Adverse developments in post-marketing experience or in clinical trials conducted by others of genetic medicines or cell therapy products may cause the FDA, the EMA, and other regulatory bodies to revise the requirements for development or approval of any product candidates we may develop or limit the use of products utilizing non-viral genetic medicinal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such as the product candidates we may develop can be more expensive and take longer than for other, better known or more extensively studied pharmaceutical or other product candidates. Regulatory agencies administering existing or future regulations or legislation may not allow production and marketing of products utilizing non-viral genetic medicine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spacing w:after="0" w:line="72"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In addition, ethical, social and legal concerns about genetic medicine,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any product candidates we may develop are unsafe or pose a hazard could prevent us from commercializing any products. New government requirements may be established that could delay or prevent regulatory approval of any product candidates we may develop under development. It is impossible to predict whether legislative changes will be enacted, regulations, policies or guidance changed, or interpretations by agencies or courts changed, or what the impact of such changes, if any, may be.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As we advance any product candidates we may develop through clinical development,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any product candidates we may develop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3" w:name="page94"/>
    <w:bookmarkEnd w:id="93"/>
    <w:p>
      <w:pPr>
        <w:ind w:right="180"/>
        <w:spacing w:after="0" w:line="262" w:lineRule="auto"/>
        <w:rPr>
          <w:sz w:val="20"/>
          <w:szCs w:val="20"/>
          <w:color w:val="auto"/>
        </w:rPr>
      </w:pPr>
      <w:r>
        <w:rPr>
          <w:rFonts w:ascii="Arial" w:cs="Arial" w:eastAsia="Arial" w:hAnsi="Arial"/>
          <w:sz w:val="17"/>
          <w:szCs w:val="17"/>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64"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Any product candidates we may develop and the activities associated with their development and commercialization, including their design, testing, manufacture, recordkeeping, labeling, storage, approval, advertising, promotion, sale, import, export, and distribution, are subject to comprehensive regulation by the FDA, the EMA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We have only limited experience in filing and supporting the applications necessary to gain marketing approvals and expect to rely on third parties to assist us in this process. Securing regulatory approval requires the submission of extensive preclinical and clinical data and supporting information to the various regulatory authorities for each therapeutic indication to establish the biological product candidate’s safety, purity, and potency. Securing regulatory approval also requires the submission of extensive information about the product manufacturing process,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78"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medicine not commercially viable.</w:t>
      </w:r>
    </w:p>
    <w:p>
      <w:pPr>
        <w:spacing w:after="0" w:line="6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6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any product candidates we may develop from being marketed in such jurisdictions, which, in turn, would materially impair our ability to generate revenue.</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order to market and sell any product candidates we may develop in the EU and other foreign jurisdictions, we or our third-party collaborators must obtain separate marketing approvals (a single one for the EU)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7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On June 23, 2016, the electorate in the U.K. voted in favor of leaving the EU, commonly referred to as Brexit. Following protracted negotiations, the U.K. left the EU on January 31, 2020 and a transition period to December 31, 2020, was established to allow the U.K. and the EU to negotiate the U.K.’s withdrawal. As a result, effective January 1, 2021, the U.K. is no longer part of the European Single Market and European Union Customs Union. A co-operation agreement was signed between the U.K. and the EU in December 2020 which has been applied provisionally since January 1, 2021 until it is ratified by all parties to that agreement. The agreement addresses trade, economic arrangements, law enforcement, judicial cooperation and a governance framework including procedures for dispute resolution, among other things. As both parties continue to work on the rules for implementation, significant political and economic uncertainty remains about how the precise terms of the relationship between the parties will differ from the terms before withdrawal.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4" w:name="page95"/>
    <w:bookmarkEnd w:id="94"/>
    <w:p>
      <w:pPr>
        <w:ind w:right="20"/>
        <w:spacing w:after="0" w:line="253" w:lineRule="auto"/>
        <w:rPr>
          <w:sz w:val="20"/>
          <w:szCs w:val="20"/>
          <w:color w:val="auto"/>
        </w:rPr>
      </w:pPr>
      <w:r>
        <w:rPr>
          <w:rFonts w:ascii="Arial" w:cs="Arial" w:eastAsia="Arial" w:hAnsi="Arial"/>
          <w:sz w:val="17"/>
          <w:szCs w:val="17"/>
          <w:color w:val="auto"/>
        </w:rPr>
        <w:t>Since the regulatory framework for pharmaceutical products in the U.K. covering the quality, safety, and efficacy of pharmaceutical products, clinical trials, marketing authorization, commercial sales, and distribution of pharmaceutical products is derived from EU directives and regulations, the consequences of Brexit and the impact the future regulatory regime that applies to products and the approval of product candidates in the U.K. remains unclear. As of January 1, 2021, the Medicines and Healthcare products Regulatory Agency, or the MHRA, became responsible for supervising medicines and medical devices in Great Britain, comprising England, Scotland and Wales under domestic law, whereas Northern Ireland will continue to be subject to EU rules under the Northern Ireland Protocol. The MHRA will rely on the Human Medicines Regulations 2012 (SI 2012/1916) (as amended), or the HMR, as the basis for regulating medicines. The HMR has incorporated into the domestic law of the body of EU law instruments governing medicinal products that pre-existed prior to the U.K.’s withdrawal from the EU. Any delay in obtaining, or an inability to obtain, any marketing approvals, as a result of Brexit or otherwise, may force us to restrict or delay efforts to seek regulatory approval in the U.K. for our product candidates, which could significantly and materially harm our business.</w:t>
      </w:r>
    </w:p>
    <w:p>
      <w:pPr>
        <w:spacing w:after="0" w:line="72"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Even if we, or any collaborators we may have, obtain marketing approvals for any product candidates we develop, the terms of approvals and ongoing regulation of our product candidates could require the substantial expenditure of resources and may limit how we, or they, manufacture and market our product candidates, which could materially impair our ability to generate revenue.</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medicine, will be subject to continual requirements of and review by the FDA, EMA and other regulatory authorities. These requirements include submissions of safety and other post-marketing information and reports, facility registration and drug listing requirements, cGMP requirements relating to quality control, quality assurance and corresponding maintenance of records and documents, and requirements regarding the distribution of samples to physicians and recordkeeping. Even if marketing approval of a product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7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Accordingly, assuming we, or any collaborators we may have, receive marketing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be subject to enforcement actions or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83"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medicines, when and if any of them are approved.</w:t>
      </w:r>
    </w:p>
    <w:p>
      <w:pPr>
        <w:spacing w:after="0" w:line="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FDA, the EMA, and other regulatory agencies closely regulate the post-approval marketing and promotion of medicines to ensure that they are marketed only for the approved indications and in accordance with the provisions of the approved labeling. The FDA, the EMA and other regulatory agencies impose stringent restrictions on manufacturers’ communications regarding off-label use, and if we market our medicines for off-label use, we may be subject to enforcement action for off-label marketing by the FDA and other federal and state enforcement agencies, including the Department of Justice. Violation of the Federal Food, Product, and Cosmetic Act and other statutes, including the False Claims Act, and equivalent legislation in other countries relating to the promotion and advertising of prescription products may also lead to investigations or allegations of violations of federal and state and other countries’ health care fraud and abuse laws and state consumer protection laws. Even if it is later determined we were not in violation of these laws, we may be faced with negative publicity, incur significant expenses defending our actions and have to divert significant management resources from other matters.</w:t>
      </w:r>
    </w:p>
    <w:p>
      <w:pPr>
        <w:spacing w:after="0" w:line="83"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In addition, later discovery of previously unknown problems with our medicines, manufacturers, or manufacturing processes, or failure to comply with regulatory requirements, may yield various negative consequences, including:</w:t>
      </w:r>
    </w:p>
    <w:p>
      <w:pPr>
        <w:spacing w:after="0" w:line="63"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such medicines, manufacturers, or manufacturing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the labeling or marketing of a medicine;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on the distribution or use of a medicine;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withdrawal of the medicines from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5" w:name="page96"/>
    <w:bookmarkEnd w:id="95"/>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recall of medicines;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restrictions on future procurements with governmental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refusal to permit the import or export of our medicines;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product seizure;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jc w:val="both"/>
        <w:ind w:right="580"/>
        <w:spacing w:after="0" w:line="24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may develop and adversely affect our business, financial condition, results of operations, and prospects.</w:t>
      </w:r>
    </w:p>
    <w:p>
      <w:pPr>
        <w:spacing w:after="0" w:line="74" w:lineRule="exact"/>
        <w:rPr>
          <w:sz w:val="20"/>
          <w:szCs w:val="20"/>
          <w:color w:val="auto"/>
        </w:rPr>
      </w:pPr>
    </w:p>
    <w:p>
      <w:pPr>
        <w:ind w:right="680"/>
        <w:spacing w:after="0" w:line="324" w:lineRule="auto"/>
        <w:rPr>
          <w:sz w:val="20"/>
          <w:szCs w:val="20"/>
          <w:color w:val="auto"/>
        </w:rPr>
      </w:pPr>
      <w:r>
        <w:rPr>
          <w:rFonts w:ascii="Arial" w:cs="Arial" w:eastAsia="Arial" w:hAnsi="Arial"/>
          <w:sz w:val="16"/>
          <w:szCs w:val="16"/>
          <w:b w:val="1"/>
          <w:bCs w:val="1"/>
          <w:i w:val="1"/>
          <w:iCs w:val="1"/>
          <w:color w:val="auto"/>
        </w:rPr>
        <w:t>Fast track, breakthrough, or regenerative medicine advanced therapy designation by the FDA may not actually lead to a faster development or regulatory review or approval process and does not assure FDA approval of any product candidates we may develop.</w:t>
      </w:r>
    </w:p>
    <w:p>
      <w:pPr>
        <w:spacing w:after="0" w:line="1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FDA’s fast track, breakthrough, and regenerative medicine advanced therapy, or RMAT, programs are intended to expedite the development of certain qualifying products intended for the treatment of serious diseases and conditions. If a product candidate is intended for the treatment of a serious or life-threatening condition and preclinical or clinical data demonstrate the product’s potential to address an unmet medical need for this condition, the sponsor may apply for FDA fast track designation. A product candidate may be designated as a breakthrough therapy if it is intended to treat a serious or life-threatening condition and preliminary clinical evidence indicates that the product candidate may demonstrate substantial improvement over existing therapies on one or more clinically significant endpoints. A product candidate may receive RMAT designation if it is a regenerative medicine therapy that is intended to treat, modify, reverse or cure a serious or life-threatening condition, and preliminary clinical evidence indicates that the product candidate has the potential to address an unmet medical need for such condition. While we may seek fast track, breakthrough, and/or RMAT designation, there is no guarantee that we will be successful in obtaining any such designation. Even if we do obtain such designation, we may not experience a faster development process, review or approval compared to conventional FDA procedures. A fast track, breakthrough, or RMAT designation does not ensure that the product candidate will receive marketing approval or that approval will be granted within any particular timeframe. In addition, the FDA may withdraw fast track, breakthrough, or RMAT designation if it believes that the designation is no longer supported by data from our clinical development program. Fast track, breakthrough, and/or RMAT designation alone do not guarantee qualification for the FDA’s priority review procedures.</w:t>
      </w:r>
    </w:p>
    <w:p>
      <w:pPr>
        <w:spacing w:after="0" w:line="6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Priority review designation by the FDA may not lead to a faster regulatory review or approval process and, in any event, does not assure FDA approval of any product candidates we may develop.</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If the FDA determines that a product candidate is intended to treat a serious disease or condition and, if approved, would provide a significant improvement in the safety or effectiveness of the treatment, prevention, or diagnosis of such disease or condition, the FDA may designate the product candidate for priority review. A priority review designation means that the goal for the FDA to review a marketing application is six months from filing of the application, rather than the standard review period of ten months. We may request priority review for certain of our product candidates. The FDA has broad discretion with respect to whether or not to grant priority review status to a product candidate, so even if we believe a particular product candidate is eligible for such designation or status, the FDA may disagree and decide not to grant it. Moreover, a priority review designation does not necessarily mean a faster regulatory review process or necessarily confer any advantage with respect to approval compared to conventional FDA procedures. Receiving priority review from the FDA does not guarantee approval within the six-month review cycle or thereafter.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6" w:name="page97"/>
    <w:bookmarkEnd w:id="96"/>
    <w:p>
      <w:pPr>
        <w:ind w:right="820"/>
        <w:spacing w:after="0" w:line="261" w:lineRule="auto"/>
        <w:rPr>
          <w:sz w:val="20"/>
          <w:szCs w:val="20"/>
          <w:color w:val="auto"/>
        </w:rPr>
      </w:pPr>
      <w:r>
        <w:rPr>
          <w:rFonts w:ascii="Arial" w:cs="Arial" w:eastAsia="Arial" w:hAnsi="Arial"/>
          <w:sz w:val="18"/>
          <w:szCs w:val="18"/>
          <w:b w:val="1"/>
          <w:bCs w:val="1"/>
          <w:i w:val="1"/>
          <w:iCs w:val="1"/>
          <w:color w:val="auto"/>
        </w:rPr>
        <w:t>We may seek PRIME Designation in the EU for our product candidates, but we might not receive such designations, and even if we do, such designations may not lead to a faster development or regulatory review or approval process.</w:t>
      </w:r>
    </w:p>
    <w:p>
      <w:pPr>
        <w:spacing w:after="0" w:line="6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In the EU, we may seek PRIME designation for some of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where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 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60"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6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Separately, in response to the COVID-19 pandemic, since March 2020 when foreign and domestic inspections of facilities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As of May 2021, certain inspections, such as foreign preapproval, surveillance, and for-cause inspections that are not deemed mission-critical, remain temporarily postponed.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a complete response letter or defer action on the application until an inspection can be completed.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7" w:name="page98"/>
    <w:bookmarkEnd w:id="97"/>
    <w:p>
      <w:pPr>
        <w:ind w:right="120"/>
        <w:spacing w:after="0" w:line="252" w:lineRule="auto"/>
        <w:rPr>
          <w:sz w:val="20"/>
          <w:szCs w:val="20"/>
          <w:color w:val="auto"/>
        </w:rPr>
      </w:pPr>
      <w:r>
        <w:rPr>
          <w:rFonts w:ascii="Arial" w:cs="Arial" w:eastAsia="Arial" w:hAnsi="Arial"/>
          <w:sz w:val="17"/>
          <w:szCs w:val="17"/>
          <w:color w:val="auto"/>
        </w:rPr>
        <w:t>In 2020 and 2021, a number of companies announced receipt of complete response letters due to the FDA’s inability to complete required inspections for their applications. As of May 26,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7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or biologic intended to treat a rare disease or condition. A similar regulatory scheme governs approval of orphan product candidates by the EMA in the EU.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product candidate for the same orphan therapeutic indication for that time period. The applicable period is seven years in the United States and ten years in the EU. The exclusivity period in the EU can be reduced to six years if a product no longer meets the criteria for orphan drug designation, in particular if the product is sufficiently profitable so that market exclusivity is no longer justified.</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FDA’s standards for granting orphan drug exclusivity in the gene therapy context are unclear and evolving. For example, 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 differences, the two products would be considered different drugs for orphan drug exclusivity purposes. The FDA will determine whether two vectors from the same viral class are the same on a case-by-case basis and may consider additional key features in assessing sameness. In addition, in order for the FDA to grant orphan drug exclusivity to one of our product candidates, the agency must find that the product candidate is indicated for the treatment of a condition or disease that affects fewer than 200,000 individuals in the United States or that affects more than 200,000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Orphan drug exclusivity may also be lost if the FDA or EMA determines that the request for designation was materially defective or if the manufacturer is unable to assure sufficient quantity of the product to meet the needs of the patients with the rare disease or condition. In addition, even after an orphan drug is approved, the FDA can subsequently approve the same drug for the same condition if the FDA concludes that the later product candidate is clinically superior in that it is shown to be safer, more effective or makes a major contribution to patient care compared with the product that has orphan exclusivity.</w:t>
      </w:r>
    </w:p>
    <w:p>
      <w:pPr>
        <w:spacing w:after="0" w:line="6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On August 3,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Further, under Omnibus legislation signed in December 2020, the requirement for a product to show clinical superiority applies to drugs and biologics that received orphan drug designation before enactment of FDARA in 2017, but have not yet been approved or licensed by the FDA.</w:t>
      </w:r>
    </w:p>
    <w:p>
      <w:pPr>
        <w:spacing w:after="0" w:line="67"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FDA may further reevaluate the Orphan Drug Act and its regulations and policies. This may be particularly true in light of a decision from the Court of Appeals for the 11</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Circuit in September 2021 finding that, for the purpose of determining the scope of exclusivity, the term “same disease or condition” means the designated “rare disease or condition” and could not be interpreted by the agency to mean the “indication or use.” Thus, the court concluded, orphan drug exclusivity applies to the entire designated disease or condition rather than the “indication or use.”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98" w:name="page99"/>
    <w:bookmarkEnd w:id="98"/>
    <w:p>
      <w:pPr>
        <w:jc w:val="both"/>
        <w:ind w:right="380"/>
        <w:spacing w:after="0" w:line="248"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including certain laws and regulations applicable only if we have marketed products, include the following:</w:t>
      </w:r>
    </w:p>
    <w:p>
      <w:pPr>
        <w:spacing w:after="0" w:line="66" w:lineRule="exact"/>
        <w:rPr>
          <w:sz w:val="20"/>
          <w:szCs w:val="20"/>
          <w:color w:val="auto"/>
        </w:rPr>
      </w:pPr>
    </w:p>
    <w:p>
      <w:pPr>
        <w:ind w:left="1020" w:right="180" w:hanging="503"/>
        <w:spacing w:after="0" w:line="248"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73"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federal healthcare program anti-kickback law, which prohibits, among other things, persons from offering, soliciting, receiving or providing remuneration, directly or indirectly, to induce either the referral of an individual for, or the purchasing or ordering of a good or service, for which payment may be made under federal healthcare programs such as Medicare and Medicaid;</w:t>
      </w:r>
    </w:p>
    <w:p>
      <w:pPr>
        <w:spacing w:after="0" w:line="73" w:lineRule="exact"/>
        <w:rPr>
          <w:rFonts w:ascii="Arial" w:cs="Arial" w:eastAsia="Arial" w:hAnsi="Arial"/>
          <w:sz w:val="18"/>
          <w:szCs w:val="18"/>
          <w:color w:val="auto"/>
        </w:rPr>
      </w:pPr>
    </w:p>
    <w:p>
      <w:pPr>
        <w:jc w:val="both"/>
        <w:ind w:left="1020" w:right="200" w:hanging="503"/>
        <w:spacing w:after="0" w:line="248"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in addition to privacy protections applicable to healthcare providers and other entities, prohibits executing a scheme to defraud any healthcare benefit program or making false statements relating to healthcare matters;</w:t>
      </w:r>
    </w:p>
    <w:p>
      <w:pPr>
        <w:spacing w:after="0" w:line="73" w:lineRule="exact"/>
        <w:rPr>
          <w:rFonts w:ascii="Arial" w:cs="Arial" w:eastAsia="Arial" w:hAnsi="Arial"/>
          <w:sz w:val="18"/>
          <w:szCs w:val="18"/>
          <w:color w:val="auto"/>
        </w:rPr>
      </w:pPr>
    </w:p>
    <w:p>
      <w:pPr>
        <w:ind w:left="1020" w:right="1000" w:hanging="503"/>
        <w:spacing w:after="0" w:line="291" w:lineRule="auto"/>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federal Food, Drug, and Cosmetic Act, or the FDCA, which among other things, strictly regulates drug marketing, prohibits manufacturers from marketing such products for off-label use and regulates the distribution of samples;</w:t>
      </w:r>
    </w:p>
    <w:p>
      <w:pPr>
        <w:spacing w:after="0" w:line="38" w:lineRule="exact"/>
        <w:rPr>
          <w:rFonts w:ascii="Arial" w:cs="Arial" w:eastAsia="Arial" w:hAnsi="Arial"/>
          <w:sz w:val="17"/>
          <w:szCs w:val="17"/>
          <w:color w:val="auto"/>
        </w:rPr>
      </w:pPr>
    </w:p>
    <w:p>
      <w:pPr>
        <w:ind w:left="1020" w:right="500" w:hanging="503"/>
        <w:spacing w:after="0" w:line="248"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73" w:lineRule="exact"/>
        <w:rPr>
          <w:rFonts w:ascii="Arial" w:cs="Arial" w:eastAsia="Arial" w:hAnsi="Arial"/>
          <w:sz w:val="18"/>
          <w:szCs w:val="18"/>
          <w:color w:val="auto"/>
        </w:rPr>
      </w:pPr>
    </w:p>
    <w:p>
      <w:pPr>
        <w:ind w:left="1020" w:right="40" w:hanging="503"/>
        <w:spacing w:after="0" w:line="243"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so-called “federal sunshine” law under the Healthcare Reform Act, which requires pharmaceutical and medical device companies to monitor and report certain financial interactions with certain healthcare providers to the Center for Medicare &amp; Medicaid Services within the U.S. Department of Health and Human Services for re-disclosure to the public, as well as ownership and investment interests held by physicians, other healthcare providers and their immediate family members;</w:t>
      </w:r>
    </w:p>
    <w:p>
      <w:pPr>
        <w:spacing w:after="0" w:line="79"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state laws also requiring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 and</w:t>
      </w:r>
    </w:p>
    <w:p>
      <w:pPr>
        <w:spacing w:after="0" w:line="73" w:lineRule="exact"/>
        <w:rPr>
          <w:rFonts w:ascii="Arial" w:cs="Arial" w:eastAsia="Arial" w:hAnsi="Arial"/>
          <w:sz w:val="18"/>
          <w:szCs w:val="18"/>
          <w:color w:val="auto"/>
        </w:rPr>
      </w:pPr>
    </w:p>
    <w:p>
      <w:pPr>
        <w:ind w:left="1020" w:right="640" w:hanging="503"/>
        <w:spacing w:after="0" w:line="291" w:lineRule="auto"/>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3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83"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EU Member States, such as the U.K. Bribery Act 2010. Infringement of these laws could result in substantial fines and imprisonment.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99" w:name="page100"/>
    <w:bookmarkEnd w:id="99"/>
    <w:p>
      <w:pPr>
        <w:ind w:right="100"/>
        <w:spacing w:after="0" w:line="241"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and any future collaborators to obtain marketing approval of and commercialize our product candidates and affect the prices we, or they, may obtain.</w:t>
      </w:r>
    </w:p>
    <w:p>
      <w:pPr>
        <w:spacing w:after="0" w:line="6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among other things, prevent or delay marketing approval of any product candidates we may develop, restrict or regulate post-approval activities and affect our ability, or the ability of any future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51"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In March 2010, the United States Congress enacted the 2010 Patient Protection and Affordable Care Act, or the PPACA. In addition, other legislative changes have been proposed and adopted since the PPACA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with the exception of a temporary suspension from May 1, 2020 through March 31, 2022 unless additional Congressional Action is taken. Under current legislation, the actual reduction in Medicare payments will vary from 1% in 2022 to up to 3% in the final fiscal year of this sequester.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59"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Since enactment of the PPACA, there have been, and continue to be, numerous legal challenges and Congressional actions to repeal and replace provisions of the law. For example, with enactment of the Tax Act,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PPACA is an essential and inseverable feature of the PPACA, and therefore because the mandate was repealed as part of the Tax Act, the remaining provisions of the PPACA are invalid as well. The U.S. Supreme Court heard this case on November 10, 2020 and, on June 17, 2021, dismissed this action after finding that the plaintiffs do not have standing to challenge the constitutionality of the PPACA. Litigation and legislation over the PPACA are likely to continue, with unpredictable and uncertain results.</w:t>
      </w:r>
    </w:p>
    <w:p>
      <w:pPr>
        <w:spacing w:after="0" w:line="55"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In January 2021, a new executive order directed federal agencies to reconsider rules and other policies that limit Americans’ access to healthcare and consider actions that will protect and strengthen that access. Under this order, federal agencies are directed to re-examine: policies that undermine protections for people with pre-existing conditions, including complications related to the COVID</w:t>
      </w:r>
      <w:r>
        <w:rPr>
          <w:rFonts w:ascii="MS PGothic" w:cs="MS PGothic" w:eastAsia="MS PGothic" w:hAnsi="MS PGothic"/>
          <w:sz w:val="16"/>
          <w:szCs w:val="16"/>
          <w:color w:val="auto"/>
        </w:rPr>
        <w:t>‑</w:t>
      </w:r>
      <w:r>
        <w:rPr>
          <w:rFonts w:ascii="Arial" w:cs="Arial" w:eastAsia="Arial" w:hAnsi="Arial"/>
          <w:sz w:val="16"/>
          <w:szCs w:val="16"/>
          <w:color w:val="auto"/>
        </w:rPr>
        <w:t>19 pandemic; demonstrations and waivers under Medicaid and the PPACA that may reduce coverage or undermine the programs, including work requirements; policies that undermine the Health Insurance Marketplace or other markets for health insurance; policies that make it more difficult to enroll in Medicaid and under the PPACA; and policies that reduce affordability of coverage or financial assistance, including for dependents. This executive order also directs the U.S. Department of Health and Human Services to create a special enrollment period for the Health Insurance Marketplace in response to the COVID</w:t>
      </w:r>
      <w:r>
        <w:rPr>
          <w:rFonts w:ascii="MS PGothic" w:cs="MS PGothic" w:eastAsia="MS PGothic" w:hAnsi="MS PGothic"/>
          <w:sz w:val="16"/>
          <w:szCs w:val="16"/>
          <w:color w:val="auto"/>
        </w:rPr>
        <w:t>‑</w:t>
      </w:r>
      <w:r>
        <w:rPr>
          <w:rFonts w:ascii="Arial" w:cs="Arial" w:eastAsia="Arial" w:hAnsi="Arial"/>
          <w:sz w:val="16"/>
          <w:szCs w:val="16"/>
          <w:color w:val="auto"/>
        </w:rPr>
        <w:t>19 pandemic.</w:t>
      </w:r>
    </w:p>
    <w:p>
      <w:pPr>
        <w:spacing w:after="0" w:line="8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0" w:name="page101"/>
    <w:bookmarkEnd w:id="100"/>
    <w:p>
      <w:pPr>
        <w:ind w:right="220"/>
        <w:spacing w:after="0" w:line="261" w:lineRule="auto"/>
        <w:rPr>
          <w:sz w:val="20"/>
          <w:szCs w:val="20"/>
          <w:color w:val="auto"/>
        </w:rPr>
      </w:pPr>
      <w:r>
        <w:rPr>
          <w:rFonts w:ascii="Arial" w:cs="Arial" w:eastAsia="Arial" w:hAnsi="Arial"/>
          <w:sz w:val="18"/>
          <w:szCs w:val="18"/>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licensed.</w:t>
      </w:r>
    </w:p>
    <w:p>
      <w:pPr>
        <w:spacing w:after="0" w:line="6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prices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products. For example, on September 24, 2020, a rulemaking was finalized that allows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8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addition, in prior administrations, several executive orders intended to lower the costs of prescription drug products were issued. Certain of these orders are reflected in recently promulgated regulations, including an interim final rule implementing a most favored nation model, which would tie Medicare Part B payments for certain physician-administered drugs to the lowest price paid in other economically advanced countries effective January 1, 2021, but such final rule is subject to a nationwide preliminary injunction for its failure to comply with notice and comment rulemaking requirements. The current administration has frozen certain of the previous administration’s measures to reform drug prices, pending further review. Further, Executive Order 14063, signed on July 9, 2021, focuses on, among other things, the price of pharmaceuticals. To address these costs, the Order directs the Department of Health and Human Services, or HHS, to create a plan within 45 days to combat “excessive pricing of prescription drugs and enhance domestic pharmaceutical supply chains, to reduce the prices paid by the federal government for such drugs, and to address the recurrent problem of price gouging.”</w:t>
      </w:r>
    </w:p>
    <w:p>
      <w:pPr>
        <w:spacing w:after="0" w:line="6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On September 9, 2021, HHS released its plan to reduce drug prices. The key features of that plan are to: (a) make drug prices more affordable and equitable for all consumers and throughout the health care system by supporting drug price negotiations with manufacturers; (b) improve and promote competition throughout the prescription drug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 Further, on August 21, 2021, in response to the litigation challenging the most favored nation model, CMS issued a proposed rule to rescind the interim final rule, following public notice and comment. With issuance of this proposal, CMS stated that it will carefully consider the comments it received on the November 2020 interim final rule as it explores all options to incorporate value into payments for Medicare Part B drugs and improve beneficiaries' access to evidence-based care.</w:t>
      </w:r>
    </w:p>
    <w:p>
      <w:pPr>
        <w:spacing w:after="0" w:line="6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the EU, similar political, economic and regulatory developments may affect our ability to profitably commercialize our product candidates, if approved. In markets outside of the United States and the EU, reimbursement and healthcare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1" w:name="page102"/>
    <w:bookmarkEnd w:id="101"/>
    <w:p>
      <w:pPr>
        <w:ind w:right="220"/>
        <w:spacing w:after="0" w:line="246"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74" w:lineRule="exact"/>
        <w:rPr>
          <w:sz w:val="20"/>
          <w:szCs w:val="20"/>
          <w:color w:val="auto"/>
        </w:rPr>
      </w:pPr>
    </w:p>
    <w:p>
      <w:pPr>
        <w:ind w:right="140"/>
        <w:spacing w:after="0" w:line="307"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spacing w:after="0" w:line="6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73"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Similarly, the U.K. Bribery Act 2010 has extra-territorial effect for companies and individuals having a connection with the U.K.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2" w:name="page103"/>
    <w:bookmarkEnd w:id="102"/>
    <w:p>
      <w:pPr>
        <w:ind w:right="20"/>
        <w:spacing w:after="0" w:line="291" w:lineRule="auto"/>
        <w:rPr>
          <w:sz w:val="20"/>
          <w:szCs w:val="20"/>
          <w:color w:val="auto"/>
        </w:rPr>
      </w:pPr>
      <w:r>
        <w:rPr>
          <w:rFonts w:ascii="Arial" w:cs="Arial" w:eastAsia="Arial" w:hAnsi="Arial"/>
          <w:sz w:val="17"/>
          <w:szCs w:val="17"/>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are subject to a wide variety of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U.S., EU and U.K. and other countries around the world.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 In addition, these laws and regulations may impose additional costs on our business activities, including costs of contracting with vendors and other business partners and the costs of identifying appropriate patients for clinical trials or subsequent treatment.</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If we are unable to properly protect the privacy and security of individually identifiable health information, we could be found to have breached our contracts. Further, if we fail to comply with applicable privacy laws, we could face civil and criminal penalties or other enforcement risks related to our business. In addition to these potential penalties,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7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media platforms present new risks and challenges to our business.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social media continues to expand, it also presents us with new risks and challenges. Social media is increasingly being used to communicate information about us, our programs and the diseases our product candidates are being developed to treat.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disclosure of non-public information by our workforce or others through media channels could lead to information loss. In addition, there is a risk of inappropriate disclosure of sensitive information or negative or inaccurate posts or comments about us, our products, or our product candidates on any social media platform. If any of these events were to occur or we otherwise fail to comply with applicable regulations, we could incur liability, face restrictive regulatory actions or incur other harm to our business including quick and irreversible damage to our reputation, brand image and goodwill.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Risks related to employee matters, managing growth and information technology</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Our future growth may depend on our ability to identify and acquire businesses or technologies, and if we do not successfully do so, or otherwise fail to integrate any new businesses or technologies into our operations, we may have limited growth opportunities and it could result in significant impairment charges or other adverse financial consequences.</w:t>
      </w:r>
    </w:p>
    <w:p>
      <w:pPr>
        <w:spacing w:after="0" w:line="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are continuing to seek to acquire businesses or technologies that we believe are a strategic fit with our business strategy. Future acquisitions, however, may entail numerous operational and financial risks, including:</w:t>
      </w:r>
    </w:p>
    <w:p>
      <w:pPr>
        <w:spacing w:after="0" w:line="63"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reduction of our current financial resources;</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 and in connection with future milestone payment obligations under such acquisition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development activities for those acquired or in-licensed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disruption of our business, customer base and diversion of our management’s time and attention to develop acquired technologies; and</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may not have sufficient resources to identify and execute the acquisition businesses and technologies and integrate them into our current infrastructure. In particular, we may compete with larger biotechnology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overlap between our product candidates and the companies which we acquire that may create conflicts in relationships or other commitments detrimental to the integrated businesses. Additionally, the time between our expenditures to acquire or in-license new technologies or businesses and the subsequent generation of revenues from those acquired technologies or businesses (or the timing of revenue recognition related to licensing agreements and/or strategic collaborations) could cause fluctuations in our financial performance from period to period. Finally, if we devote resources to potential acquisition opportunities that are never completed, or if we fail to realize the anticipated benefits of those efforts, we could incur significant impairment charges or other adverse financial consequences.</w:t>
      </w:r>
    </w:p>
    <w:p>
      <w:pPr>
        <w:spacing w:after="0" w:line="6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our Chief Executive Officer, President and Chief Scientific Officer, other key executives and to attract, retain, and motivate qualified personnel.</w:t>
      </w:r>
    </w:p>
    <w:p>
      <w:pPr>
        <w:spacing w:after="0" w:line="6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are highly dependent on John Evans, our Chief Executive Officer, and Dr. Giuseppe Ciaramella, our President and Chief Scientific Officer, as well as the other principal members of our management and scientific teams. Mr. Evans, Dr. Ciaramella and such other principal members are employed “at will,” meaning we or they may terminate the employment at any time. We do not maintain “key person” insurance for any of our executives or other employees. The loss of the services of any of these persons could impede the achievement of our research, development, and commercialization objectives.</w:t>
      </w:r>
    </w:p>
    <w:p>
      <w:pPr>
        <w:spacing w:after="0" w:line="4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Recruiting and retaining qualified scientific, clinical, manufacturing, and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73"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We expect to expand our development, regulatory, and future sales and marketing capabilities, and as a result, we may encounter difficulties in managing our growth, which could disrupt our operations.</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In connection with the growth and advancement of our pipeline, we expect to increase the number of our 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04" w:name="page105"/>
    <w:bookmarkEnd w:id="104"/>
    <w:p>
      <w:pPr>
        <w:spacing w:after="0" w:line="252" w:lineRule="auto"/>
        <w:rPr>
          <w:sz w:val="20"/>
          <w:szCs w:val="20"/>
          <w:color w:val="auto"/>
        </w:rPr>
      </w:pPr>
      <w:r>
        <w:rPr>
          <w:rFonts w:ascii="Arial" w:cs="Arial" w:eastAsia="Arial" w:hAnsi="Arial"/>
          <w:sz w:val="17"/>
          <w:szCs w:val="17"/>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our product candidates, if approved, will depend in part on our ability to effectively manage the future development and expansion of our company.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The market price of our common stock may be volatile and fluctuate substantially, which could result in substantially losses for purchasers of our common stock and subject us to securities class action litigation.</w:t>
      </w:r>
    </w:p>
    <w:p>
      <w:pPr>
        <w:spacing w:after="0" w:line="6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stock price has been, and in the future, may be, subject to substantial volatility.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your initial purchase price. The market price for our common stock may be influenced by many factors, including:</w:t>
      </w:r>
    </w:p>
    <w:p>
      <w:pPr>
        <w:spacing w:after="0" w:line="80"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 candidates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and results of preclinical studies and clinical trials for any product candidates that we develop;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genetic medicines, including those that involve gene editing;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level of expenses related to any of our research programs, clinical development programs, or product candidates that we may develop;</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expiration of any future market stand-off or lock-up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effects of pandemics and public health emergencies, including the ongoing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05" w:name="page106"/>
    <w:bookmarkEnd w:id="105"/>
    <w:p>
      <w:pPr>
        <w:ind w:right="280"/>
        <w:spacing w:after="0" w:line="235" w:lineRule="auto"/>
        <w:rPr>
          <w:sz w:val="20"/>
          <w:szCs w:val="20"/>
          <w:color w:val="auto"/>
        </w:rPr>
      </w:pPr>
      <w:r>
        <w:rPr>
          <w:rFonts w:ascii="Arial" w:cs="Arial" w:eastAsia="Arial" w:hAnsi="Arial"/>
          <w:sz w:val="18"/>
          <w:szCs w:val="18"/>
          <w:color w:val="auto"/>
        </w:rPr>
        <w:t>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6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Maintaining adequate internal financial and accounting controls and procedures to ensure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To comply with the requirements of being a public company, we have undertaken certain actions, such as documenting, reviewing and improving our internal controls and procedures for compliance with Section 404 of the Sarbanes-Oxley Act of 2002, or SOX, which requires annual management assessment of the effectiveness of our internal control over financial reporting and an annual report on and attestation to such assessment by our registered public accounting firm. Notwithstanding such actions, we may not be effective in maintaining the adequacy of our internal controls, and any failure to maintain that adequacy, or consequent inability to produce accurate financial statements on a timely basis, or any disagreement with our auditors on whether we have maintained such adequacy, could increase our operating costs and harm our business. In addition, investors’ perceptions that our internal controls are inadequate or that we are unable to produce accurate financial statements on a timely basis may harm our common stock price and make it more difficult for us to effectively market and sell our service to new and existing customers.</w:t>
      </w:r>
    </w:p>
    <w:p>
      <w:pPr>
        <w:spacing w:after="0" w:line="5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We have incurred and expect to continue to incur increased costs as a result of operating as a public company, and our management is required to devote substantial time to new compliance initiatives and corporate governance practices.</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As a public company, we have incurred and expect to continue to incur significant legal, accounting, and other expenses.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towards maintaining compliance with these requirements. These requirements have increased our legal and financial compliance costs and make some activities more time-consuming and costly. For example, as a public company it is more difficult and more expensive for us to maintain director and officer liability insurance, which could make it more difficult for us to attract and retain qualified members of our board of directors.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7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 unless they sell our common stock for a price higher than which they paid for it.</w:t>
      </w:r>
    </w:p>
    <w:p>
      <w:pPr>
        <w:spacing w:after="0" w:line="63"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w:t>
      </w:r>
    </w:p>
    <w:p>
      <w:pPr>
        <w:spacing w:after="0" w:line="4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our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7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and by-laws, include provisions that:</w:t>
      </w:r>
    </w:p>
    <w:p>
      <w:pPr>
        <w:spacing w:after="0" w:line="80" w:lineRule="exact"/>
        <w:rPr>
          <w:sz w:val="20"/>
          <w:szCs w:val="20"/>
          <w:color w:val="auto"/>
        </w:rPr>
      </w:pPr>
    </w:p>
    <w:p>
      <w:pPr>
        <w:ind w:left="1020" w:right="420" w:hanging="503"/>
        <w:spacing w:after="0" w:line="261"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03"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06" w:name="page107"/>
    <w:bookmarkEnd w:id="106"/>
    <w:p>
      <w:pPr>
        <w:ind w:left="1020" w:hanging="503"/>
        <w:spacing w:after="0"/>
        <w:tabs>
          <w:tab w:leader="none" w:pos="10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expressly authorized our board of directors to make, alter, amend or repeal our amended and restated by-laws; and</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63" w:lineRule="exact"/>
        <w:rPr>
          <w:sz w:val="20"/>
          <w:szCs w:val="20"/>
          <w:color w:val="auto"/>
        </w:rPr>
      </w:pPr>
    </w:p>
    <w:p>
      <w:pPr>
        <w:jc w:val="both"/>
        <w:ind w:right="60"/>
        <w:spacing w:after="0" w:line="324"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These provisions could also limit the price that investors might be willing to pay for shares of our common stock, thereby depressing the market price of our common stock.</w:t>
      </w:r>
    </w:p>
    <w:p>
      <w:pPr>
        <w:spacing w:after="0" w:line="16" w:lineRule="exact"/>
        <w:rPr>
          <w:sz w:val="20"/>
          <w:szCs w:val="20"/>
          <w:color w:val="auto"/>
        </w:rPr>
      </w:pPr>
    </w:p>
    <w:p>
      <w:pPr>
        <w:jc w:val="both"/>
        <w:ind w:right="40"/>
        <w:spacing w:after="0" w:line="243" w:lineRule="auto"/>
        <w:rPr>
          <w:sz w:val="20"/>
          <w:szCs w:val="20"/>
          <w:color w:val="auto"/>
        </w:rPr>
      </w:pPr>
      <w:r>
        <w:rPr>
          <w:rFonts w:ascii="Arial" w:cs="Arial" w:eastAsia="Arial" w:hAnsi="Arial"/>
          <w:sz w:val="18"/>
          <w:szCs w:val="18"/>
          <w:color w:val="auto"/>
        </w:rPr>
        <w:t>In addition, because we are incorporated in the State of Delaware, we are governed by the provisions of Section 203 of the General Corporation Law of the State of Delaware,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80"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74" w:lineRule="exact"/>
        <w:rPr>
          <w:sz w:val="20"/>
          <w:szCs w:val="20"/>
          <w:color w:val="auto"/>
        </w:rPr>
      </w:pPr>
    </w:p>
    <w:p>
      <w:pPr>
        <w:ind w:right="560"/>
        <w:spacing w:after="0" w:line="294" w:lineRule="auto"/>
        <w:rPr>
          <w:sz w:val="20"/>
          <w:szCs w:val="20"/>
          <w:color w:val="auto"/>
        </w:rPr>
      </w:pPr>
      <w:r>
        <w:rPr>
          <w:rFonts w:ascii="Arial" w:cs="Arial" w:eastAsia="Arial" w:hAnsi="Arial"/>
          <w:sz w:val="16"/>
          <w:szCs w:val="16"/>
          <w:b w:val="1"/>
          <w:bCs w:val="1"/>
          <w:i w:val="1"/>
          <w:iCs w:val="1"/>
          <w:color w:val="auto"/>
        </w:rPr>
        <w:t>Our amended and restated certificate of incorporation and amended and restated by-laws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3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or federal courts within the State of Delaware will be exclusive forums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(4) any action to interpret, apply, enforce or determine the validity of our amended and restated certificate of incorporation or our amended and restated by-laws or (5) any other action asserting a claim against us that is governed by the internal affairs doctrine. Furthermore, our amended and restated by-laws also provide that unless we consent in writing to the selection of an alternative forum, the federal district courts of the United States shall be the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amended and restated certificate of incorporation and amended and restated by-laws described above. These choice of forum provisions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or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For example, the Court of Chancery of the State of Delaware recently determined that a provision stating that federal district courts of the United States are the exclusive forum for resolving any complaint asserting a cause of action under the Securities Act is not enforceable. However, this decision may be reviewed and ultimately overturned by the Delaware Supreme Court.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health epidemics or outbreaks, including COVID-19, could adversely impact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Due to the evolving and uncertain global impacts of the COVID-19 pandemic, we cannot precisely determine or quantify the impact this pandemic will have on our business operations. The extent to which COVID-19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the effectiveness of actions taken in the U.S. and other countries to contain and treat COVID-19, periodic spikes in infection rates, new strains of the virus that causes outbreaks of COVID-19, and the broad availability of effective vaccines and therapeutics.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07" w:name="page108"/>
    <w:bookmarkEnd w:id="107"/>
    <w:p>
      <w:pPr>
        <w:ind w:right="100"/>
        <w:spacing w:after="0" w:line="256" w:lineRule="auto"/>
        <w:rPr>
          <w:sz w:val="20"/>
          <w:szCs w:val="20"/>
          <w:color w:val="auto"/>
        </w:rPr>
      </w:pPr>
      <w:r>
        <w:rPr>
          <w:rFonts w:ascii="Arial" w:cs="Arial" w:eastAsia="Arial" w:hAnsi="Arial"/>
          <w:sz w:val="16"/>
          <w:szCs w:val="16"/>
          <w:color w:val="auto"/>
        </w:rPr>
        <w:t>The rapid spread of the virus and variant strains has led to the implementation of various responses, including government-imposed quarantines, including shelter-in-place mandates, sweeping restrictions on travel, and other public health safety measures, as well as reported adverse impacts on healthcare resources, facilities and providers, in Massachusetts, where our primary offices and laboratory spaces are located, across the United States, and in other countries. The extent to which COVID-19 continues to impact our operations and those of our third-party partners will depend on future developments, which are highly uncertain and cannot be predicted with confidence, including the duration of the outbreak, availability of effective vaccines and therapeutics, additional or modified government actions, new virus variants and the actions taken to contain COVID-19 or treat its impact, among others. As interventions to contain the spread of the virus are lifted or reduced, new COVID-19 outbreaks may result in new or heightened restrictions.</w:t>
      </w:r>
    </w:p>
    <w:p>
      <w:pPr>
        <w:spacing w:after="0" w:line="57"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To protect the health of our employees and their families, and our communities, in accordance with direction from state and local government authorities, we have in the past restricted access to our facilities to personnel and third parties who must perform critical activities that must be completed on-site, limited the number of personnel that can be present at our facilities at any one time, and requested that some of our personnel work remotely. We may reinstitute similar restrictions in the future in accordance with federal, state and local requirements. In the event that governmental authorities were to increase current restrictions, our employees conducting research and development, or manufacturing activities may not be able to access our laboratory or manufacturing space, and our core activities may be significantly limited or curtailed, possibly for an extended period of time.</w:t>
      </w:r>
    </w:p>
    <w:p>
      <w:pPr>
        <w:spacing w:after="0" w:line="55"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COVID-19 pandemic has also impacted, and may continue to impact, our third-party suppliers, including through the effects of facility closures, reductions in operating hours, staggered shifts and other social distancing efforts, labor shortages, decreased productivity and unavailability of materials or components. While we maintain an inventory of materials necessary to conduct our preclinical studies and upcoming clinical trial, a prolonged outbreak could lead to shortages in these materials.</w:t>
      </w:r>
    </w:p>
    <w:p>
      <w:pPr>
        <w:spacing w:after="0" w:line="67"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color w:val="auto"/>
        </w:rPr>
        <w:t>Additionally, timely completion of preclinical activities and clinical trials is dependent upon the availability of, for example, preclinical and clinical trial sites, researchers and investigators, regulatory agency personnel, and materials, which may be adversely affected by global health matters, such as pandemics. We plan to conduct preclinical activities for our programs and clinical trials in geographies which are currently being affected by COVID-19.</w:t>
      </w:r>
    </w:p>
    <w:p>
      <w:pPr>
        <w:spacing w:after="0" w:line="40"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Some factors from the COVID-19 pandemic that could delay or otherwise adversely affect the completion of our preclinical and clinical activities and, depending on the duration of the outbreak, the initiation of any future clinical trials, as well as our business generally, include:</w:t>
      </w:r>
    </w:p>
    <w:p>
      <w:pPr>
        <w:spacing w:after="0" w:line="53" w:lineRule="exact"/>
        <w:rPr>
          <w:sz w:val="20"/>
          <w:szCs w:val="20"/>
          <w:color w:val="auto"/>
        </w:rPr>
      </w:pPr>
    </w:p>
    <w:p>
      <w:pPr>
        <w:ind w:left="1020" w:right="300" w:hanging="503"/>
        <w:spacing w:after="0" w:line="241"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cyber security and data accessibility, or communication or mass transit disruptions, any of which could adversely impact our business operations or delay necessary interactions with local regulators, ethics committees, manufacturing sites, research sites and other important agencies and contractors;</w:t>
      </w:r>
    </w:p>
    <w:p>
      <w:pPr>
        <w:spacing w:after="0" w:line="81"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our business operations by local, state, or the federal government that could impact our ability to conduct our preclinical and clinical activities, including completing additional IND-enabling studies;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limitations on travel that could hinder our timelines;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key materials; and</w:t>
      </w:r>
    </w:p>
    <w:p>
      <w:pPr>
        <w:spacing w:after="0" w:line="103"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interruption of, or delays in receiving, key materials from our CMOs due to staffing shortages, production slowdowns or stoppages, increased demand from third parties for key materials related to COVID-19 research and vaccine development and disruptions in delivery systems.</w:t>
      </w:r>
    </w:p>
    <w:p>
      <w:pPr>
        <w:spacing w:after="0" w:line="16"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These and other factors arising from COVID-19 could worsen in countries that are already afflicted with COVID-19 or could continue to spread to additional countries, each of which could further adversely impact our ability to conduct preclinical studies or clinical trials, and, in general, our business, and could have a material adverse impact on our operations and financial condition and results.</w:t>
      </w:r>
    </w:p>
    <w:p>
      <w:pPr>
        <w:spacing w:after="0" w:line="74"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color w:val="auto"/>
        </w:rPr>
        <w:t>Additionally, the future impact of the COVID-19 pandemic on our stock price and other biopharmaceutical companies is uncertain and may make us look less attractive to investors and, as a result, there may be a less active trading market for our common stock, our stock price may be more volatile, and our ability to raise capital could be impaired.</w:t>
      </w:r>
    </w:p>
    <w:p>
      <w:pPr>
        <w:spacing w:after="0" w:line="7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COVID-19 pandemic continues to rapidly evolve. The extent to which the outbreak may impact our business, preclinical studies and clinical trials will highly depend on future developments, which are very uncertain and cannot be predicted with confidence, such as the duration of the outbreak, travel restrictions and other actions to contain the outbreak or address its impact, such as social distancing and quarantines or lockdowns in the United States and other countries, business closures or business disruptions and the effectiveness of actions taken in the United States and other countries to contain and address the disease.</w:t>
      </w:r>
    </w:p>
    <w:p>
      <w:pPr>
        <w:spacing w:after="0" w:line="81"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COVID-19 pandemic may also have the effect of heightening many of the other risks described in this section titled “Item 1A. Risk Factors,” such as risks related to our need to raise additional funding, fluctuation of our quarterly financial results, and our ability to obtain and maintain regulatory approvals.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On December 22, 2017, the Tax Act was signed into law. The Tax Act, as amended by the CARES Act, among other things, contains significant changes to corporate taxation, including (i) reduction of the corporate tax rate from a top marginal rate of 35% to a flat rate of 21%, (ii) limitation of the tax deduction for interest expense to 30% of adjusted earnings (except for certain small businesses), (iii) limitation of the deduction for NOLs to 80% of current year taxable income in respect of NOLs generated during or after 2018 and elimination of NOL carrybacks for NOLs generated on or after January 1, 2021, (iv) immediate deductions for certain new investments instead of deductions for depreciation expense over time, and (v) modification or repeal of many business deductions and credits. Any federal NOL incurred in 2018 and in future years may now be carried forward indefinitely pursuant to the Tax Act. Similar rules and limitations may apply for state income tax proposes.</w:t>
      </w:r>
    </w:p>
    <w:p>
      <w:pPr>
        <w:spacing w:after="0" w:line="7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addition to the Tax Act, as part of Congress’ response to the COVID-19 pandemic, economic relief legislation was enacted in 2020 and 2021 containing tax provisions, including the CARES Act. Regulatory guidance under the Tax Act and such additional legislation is and continues to be forthcoming, and such guidance could ultimately increase or lessen their impact on our business and financial condition. Also, as a result of the changes in the U.S. presidential administration and control of the U.S. Senate in 2021, additional tax legislation may be enacted; any such additional legislation could have an impact on us. In addition, it is uncertain if and to what extent various states will conform to the Tax Act and additional tax legislation.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or additional global financial crises, could result in a variety of risks to our business, including weakened demand for our product candidates,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6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3"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any of the analysts who cover us issue an adverse or misleading opinion regarding us, our business model or our stock performance, or if our operating results fail to meet the expectations of the investor community, one or more of the analysts who cover our company may change their recommendations regarding our company, and our stock price could decline.</w:t>
      </w:r>
    </w:p>
    <w:p>
      <w:pPr>
        <w:spacing w:after="0" w:line="5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Our internal computer systems, or those of our third-party vendors, collaborators or other contractors or consultants, may fail or suffer security breaches,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spacing w:after="0" w:line="3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Our internal computer systems and those of our current and any future third-party vendors, collaborators and other contractors or consultants are vulnerable to damage or interruption from computer viruses, computer hackers, malicious code, employee theft or misuse, denial-of-service attacks, sophisticated nation-state and nation-state-supported actors, unauthorized access, natural disasters, terrorism, war and telecommunication and electrical failures. While we seek to protect our information technology systems from system failure, accident and security breach through our information security program and relevant contractual agreements with our business partners, if such an event were to occur and cause interruptions in our operations, it could result in a disruption of our development programs and our business operations, whether due to a loss of our trade secrets or other proprietary information or other disruptions, including the possible loss of personal data. For example, the loss of clinical trial data from future clinical trials could result in delays in our regulatory approval efforts and significantly increase our costs to recover or reproduce the data, as well as subject us to obligations and risks related to the potential loss of personal data. If we were to experience a significant cybersecurity breach of our information systems or data, the costs associated with the investigation, remediation and potential notification of the breach to counterparties and data subjects could be material, in addition to potential costs related to regulatory investigations in the United States or other countries. In addition, our remediation efforts may not be successful.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information.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9" w:name="page110"/>
    <w:bookmarkEnd w:id="109"/>
    <w:p>
      <w:pPr>
        <w:ind w:right="160"/>
        <w:spacing w:after="0" w:line="241" w:lineRule="auto"/>
        <w:rPr>
          <w:sz w:val="20"/>
          <w:szCs w:val="20"/>
          <w:color w:val="auto"/>
        </w:rPr>
      </w:pPr>
      <w:r>
        <w:rPr>
          <w:rFonts w:ascii="Arial" w:cs="Arial" w:eastAsia="Arial" w:hAnsi="Arial"/>
          <w:sz w:val="18"/>
          <w:szCs w:val="18"/>
          <w:color w:val="auto"/>
        </w:rPr>
        <w:t>To the extent that any disruption or security breach were to result in a loss of, or damage to, our or our third-party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could be harmed and the further development and commercialization of our product candidates could be delayed. Any of the above could have a material adverse effect on our business, financial condition, results of operations or prospects.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have leased approximately 38,203 square feet of office and laboratory space in Cambridge, Massachusetts under a lease that expires in October 2028 and approximately 130,258 square feet of office and laboratory space in Cambridge, Massachusetts under a lease that expires in 2034. Additionally, we entered into a lease agreement with Alexandria Real Estate Equities, Inc. to build a 100,000 square foot manufacturing facility in Research Triangle Park, North Carolina intended to support a broad range of clinical programs, which is currently under construction. We expect that the facility will be operational by the first quarter of 2023. Upon completion of construction and our commencement of our occupancy within the space, the lease will expire on the fifteenth anniversary of commencement and we have an option to extend the lease term for two five-year terms. We believe that our facilities are sufficient to meet our current needs and that suitable additional space will be available as and when needed.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We are not currently a party to any material legal proceedings. From time to time, we may be subject to various legal proceedings and claims that arise in the ordinary course of our business activities. Regardless of the outcome, litigation can have a material adverse effect on us because of defense and settlement costs, diversion of management resources, and other factors.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10" w:name="page111"/>
    <w:bookmarkEnd w:id="110"/>
    <w:p>
      <w:pPr>
        <w:jc w:val="center"/>
        <w:ind w:right="-27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600"/>
        <w:spacing w:after="0" w:line="36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Our common stock has been publicly traded on the Nasdaq Global Select Market under the symbol “BEAM” since February 6, 2020. Prior to that time, there was no public market for our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 of February 22, 2022, there were approximately 38 holders of record of our common stock. This number does not include beneficial owners whose shares are held by nominees in street name.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380"/>
        <w:spacing w:after="0" w:line="324" w:lineRule="auto"/>
        <w:rPr>
          <w:sz w:val="20"/>
          <w:szCs w:val="20"/>
          <w:color w:val="auto"/>
        </w:rPr>
      </w:pPr>
      <w:r>
        <w:rPr>
          <w:rFonts w:ascii="Arial" w:cs="Arial" w:eastAsia="Arial" w:hAnsi="Arial"/>
          <w:sz w:val="16"/>
          <w:szCs w:val="16"/>
          <w:color w:val="auto"/>
        </w:rPr>
        <w:t>We have not declared or paid any cash dividends on our capital stock since our inception. We intend to retain future earnings, if any, to finance the operation and expansion of our business and do not anticipate paying any cash dividends to holders of common stock in the foreseeable future.</w:t>
      </w:r>
    </w:p>
    <w:p>
      <w:pPr>
        <w:spacing w:after="0" w:line="1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64" w:right="6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Stock Performance Graph</w:t>
      </w:r>
    </w:p>
    <w:p>
      <w:pPr>
        <w:spacing w:after="0" w:line="10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8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graph set forth below compares the cumulative total stockholder return on our shares of common stock between February 6, 2020 (the date of our initial public offering) and December 31, 2021, with the cumulative total return of (a) the Nasdaq Biotechnology Index and (b) the Nasdaq Composite Index, over the same period. This graph assumes the investment of $100 on February 6, 2020 in our common stock, the Nasdaq Biotechnology Index and the Nasdaq Composite Index and assumes the reinvestment of dividends, if any. The graph uses the closing sales price of our common stock of $18.75 per share on February 6, 2020 as the initial value of our common stock and not the initial offering price to the public of $17.00 per share. The comparisons shown in the graph below are based upon historical data.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6172200" cy="5246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0" cy="5246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 xml:space="preserve">Information about our equity compensation plans is incorporated herein by reference to Item 12, </w:t>
      </w:r>
      <w:r>
        <w:rPr>
          <w:rFonts w:ascii="Arial" w:cs="Arial" w:eastAsia="Arial" w:hAnsi="Arial"/>
          <w:sz w:val="18"/>
          <w:szCs w:val="18"/>
          <w:i w:val="1"/>
          <w:iCs w:val="1"/>
          <w:color w:val="auto"/>
        </w:rPr>
        <w:t>Security Ownership of Certain Beneficial Owners and</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 and Related Stockholder Matters</w:t>
      </w:r>
      <w:r>
        <w:rPr>
          <w:rFonts w:ascii="Arial" w:cs="Arial" w:eastAsia="Arial" w:hAnsi="Arial"/>
          <w:sz w:val="18"/>
          <w:szCs w:val="18"/>
          <w:color w:val="auto"/>
        </w:rPr>
        <w:t>, of this Annual Report on Form 10-K.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Neither we nor any affiliated purchaser or anyone acting on our behalf or on behalf of an affiliated purchaser made any purchases of shares of our common stock during the fourth quarter of 2021.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2" w:right="39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under Item 1A, Risk factors, in this Annual Report on Form 10-K.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are a biotechnology company committed to establishing the leading, fully integrated platform for precision genetic medicines. Our vision is to provide life-long cures to patients suffering from serious diseases. To achieve this vision, we have assembled a platform that includes a suite of gene editing and delivery technologies and are in the process of developing internal manufacturing capabilities. Our suite of gene editing technologies is anchored by our proprietary base editing technology, which potentially enables a differentiated class of precision genetic medicines that target a single base in the genome without making a double-stranded break in the DNA. This approach uses a chemical reaction designed to create precise, predictable and efficient genetic outcomes at the targeted sequence. Our proprietary base editors have two principal components: (i) a clustered regularly interspaced short palindromic repeats, or CRISPR, protein, bound to a guide RNA, that leverages the established DNA-targeting ability of CRISPR, but is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which operate by creating targeted double-stranded breaks in the DNA that can result in unwanted DNA modifications. We believe that the precision of our editors will dramatically increase the impact of gene editing for a broad range of therapeutic applications.</w:t>
      </w:r>
    </w:p>
    <w:p>
      <w:pPr>
        <w:spacing w:after="0" w:line="7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 xml:space="preserve">To unlock the full potential of our base editing technology across a wide range of therapeutic applications, we are pursuing a broad suite of both clinically validated and novel delivery modalities, depending on tissue type, including: (1) electroporation for efficient delivery to blood cells and immune cells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vivo</w:t>
      </w:r>
      <w:r>
        <w:rPr>
          <w:rFonts w:ascii="Arial" w:cs="Arial" w:eastAsia="Arial" w:hAnsi="Arial"/>
          <w:sz w:val="18"/>
          <w:szCs w:val="18"/>
          <w:color w:val="auto"/>
        </w:rPr>
        <w:t>; (2) lipid nanoparticles, or LNPs, for non-viral</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delivery to the liver and potentially other organs in the future; and (3) adeno-associated viral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vectors, or AAV,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viral delivery to the eye and potentially other organs.</w:t>
      </w:r>
    </w:p>
    <w:p>
      <w:pPr>
        <w:spacing w:after="0" w:line="8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elegance of the base editing approach combined with a tissue specific delivery modality provides the basis for a targeted efficient, precise, and highly versatile gene editing system, capable of gene correction, gene modification, gene silencing or gene activation, and/or multiplex editing of several genes simultaneously. We are currently advancing a broad, diversified portfolio of base editing programs against distinct editing targets, utilizing the full range of our development capabilities. We believe the flexibility and versatility of our base editors and delivery technologies may have broad therapeutic applicability and have the potential to transform the field of precision genetic medicines.</w:t>
      </w:r>
    </w:p>
    <w:p>
      <w:pPr>
        <w:spacing w:after="0" w:line="8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believe that building an integrated platform combining our gene editing capabilities with advanced delivery and manufacturing capabilities will give us the flexibility to develop our own sustainable portfolio and to create a hub for partnering with other companies to unlock the full potential of precision genetic medicine across a broad array of possible applications.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To realize the full potential of base editors as a differentiated class of medicines and to enable our parallel investment strategy in multiple delivery modalities, we are building customized and integrated capabilities across discovery, manufacturing, and preclinical and clinical development. Due to the critical importance of high-quality manufacturing and control of production timing and know-how, we have taken steps toward establishing our own manufacturing facility, which will provide us the flexibility to manufacture a variety of different product modalities. We believe this investment will maximize the value of our portfolio and capabilities, the probability of technical success of our programs, and the speed at which we can provide potentially life-long cures to patients.</w:t>
      </w:r>
    </w:p>
    <w:p>
      <w:pPr>
        <w:spacing w:after="0" w:line="81"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 xml:space="preserve">In August 2020, we entered into a lease agreement with Alexandria Real Estate Equities, Inc. to build a 100,000 square foot current cGMP compliant manufacturing facility in Research Triangle Park, North Carolina intended to support a broad range of clinical programs. The initial estimate of the minimum amount of undiscounted lease payments due under this lease is $69.0 million. The tabular disclosure of minimum lease payments under Note 7, </w:t>
      </w:r>
      <w:r>
        <w:rPr>
          <w:rFonts w:ascii="Arial" w:cs="Arial" w:eastAsia="Arial" w:hAnsi="Arial"/>
          <w:sz w:val="16"/>
          <w:szCs w:val="16"/>
          <w:i w:val="1"/>
          <w:iCs w:val="1"/>
          <w:color w:val="auto"/>
        </w:rPr>
        <w:t>Leases</w:t>
      </w:r>
      <w:r>
        <w:rPr>
          <w:rFonts w:ascii="Arial" w:cs="Arial" w:eastAsia="Arial" w:hAnsi="Arial"/>
          <w:sz w:val="16"/>
          <w:szCs w:val="16"/>
          <w:color w:val="auto"/>
        </w:rPr>
        <w:t>, to our consolidated financial statements in this Annual Report on Form 10-K does not include payments due under this lease. We anticipate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facility will be operational in the first quarter of 2023. The project is facilitated, in part, by a Job Development Investment Grant approved by the North Carolina Economic Investment Committee, which authorizes potential reimbursements based on new tax revenues generated through the project. The facility is designed to support manufacturing for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cell therapy programs in hematology and oncology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non-viral delivery programs for liver diseases, with flexibility to support manufacturing of our viral delivery programs, and ultimately, scale-up to support potential commercial supply.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For our initial waves of clinical trials, we expect to use CMOs with relevant manufacturing experience in genetic medicines.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Acquisitions</w:t>
      </w:r>
    </w:p>
    <w:p>
      <w:pPr>
        <w:spacing w:after="0" w:line="10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In February 2021, we acquired Guide Therapeutics, Inc., or Guide, for upfront consideration in an aggregate amount of $120.0 million, excluding customary purchase price adjustments, in shares of our common stock, based upon the volume-weighted average price of the common stock over the ten trading-day period ending on February 19, 2021. In addition, Guide’s former stockholders and optionholders are eligible to receive up to an additional $100.0 million in technology milestone payments and $220.0 million in product milestone payments, payable in our common stock.</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0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With the ongoing concerns related to the COVID-19 pandemic, during the year ended December 31, 2021, we maintained and expanded our business continuity plans to address and mitigate the impact of the COVID-19 pandemic on our business. We expect to continue incurring additional costs to ensure we adhere to the guidelines instituted by the Centers for Disease Control and to provide a safe working environment to our onsite employees.</w:t>
      </w:r>
    </w:p>
    <w:p>
      <w:pPr>
        <w:spacing w:after="0" w:line="3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extent to which the COVID-19 pandemic impacts our business, our corporate development objectives, results of operations and financial condition, including the value of and market for our common stock, will depend on future developments that are highly uncertain and cannot be predicted with confidence at this time, such as the duration, scope and severity of the pandemic, the existence and duration of any travel restrictions or business restrictions in the United States and other countries, business closures and business disruptions, the effectiveness of actions taken in the United States and other countries to contain and treat the disease, periodic spikes in infection rates, new strains of the virus that cause outbreaks of COVID-19, and the broad availability of effective vaccines and therapeutics.</w:t>
      </w:r>
    </w:p>
    <w:p>
      <w:pPr>
        <w:spacing w:after="0" w:line="8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Disruptions to the global economy and supply chain, disruption of global healthcare systems, and other significant impacts of the COVID-19 pandemic could have a material adverse effect on our business, financial condition, results of operations and growth prospects.</w:t>
      </w:r>
    </w:p>
    <w:p>
      <w:pPr>
        <w:spacing w:after="0" w:line="6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While the COVID-19 pandemic did not significantly impact our business or results of operations during the year ended December 31, 2021, the length and extent of the pandemic, its consequences, and containment efforts will determine its future impact on our operations and financial condition. For a more detailed discussion of risks related to COVID-19, please see Part II, Item 1A, </w:t>
      </w:r>
      <w:r>
        <w:rPr>
          <w:rFonts w:ascii="Arial" w:cs="Arial" w:eastAsia="Arial" w:hAnsi="Arial"/>
          <w:sz w:val="16"/>
          <w:szCs w:val="16"/>
          <w:i w:val="1"/>
          <w:iCs w:val="1"/>
          <w:color w:val="auto"/>
        </w:rPr>
        <w:t>Risk factors—General risk factors</w:t>
      </w:r>
      <w:r>
        <w:rPr>
          <w:rFonts w:ascii="Arial" w:cs="Arial" w:eastAsia="Arial" w:hAnsi="Arial"/>
          <w:sz w:val="16"/>
          <w:szCs w:val="16"/>
          <w:color w:val="auto"/>
        </w:rPr>
        <w:t>, in this Annual Report on Form 10-K.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were founded in January 2017 and began operations in July 2017.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business planning, raising capital and providing general and administrative support for these operations. To date, we have financed our operations primarily through the sales of our redeemable convertible preferred stock, proceeds from offerings of our common stock and payments received under collaboration and license agreements.</w:t>
      </w:r>
    </w:p>
    <w:p>
      <w:pPr>
        <w:spacing w:after="0" w:line="6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are an early-stage company, and all of our programs are at a preclinical or early clinical stage of development. To date, we have not generated any revenue from product sales and do not expect to generate revenue from the sale of products for the foreseeable future. Our revenue to date has been primarily derived from license and collaboration agreements with partners. Since inception we have incurred significant operating losses. Our net losses for the years ended December 31, 2021, 2020 and 2019 were $370.6 million, $194.6 million and $78.3 million, respectively. As of December 31, 2021, we had an accumulated deficit of $768.3 million. We expect to continue to incur significant expenses and increasing operating losses in connection with ongoing development activities related to our internal programs and collaborations as we continue our preclinical and clinical development of product candidates; advance additional product candidates toward clinical development; build and operate our cGMP facility in North Carolina; further develop our base editing platform; continue to make investments in delivery technology for our base editors, including the LNP technology we acquired through our acquisition of Guide; conduct research activities as we seek to discover and develop additional product candidates; maintain, expand, enforce, defend and protect our intellectual property portfolio; and continue to hire research and development, clinical, technical operations and commercial personnel. In addition, we expect to continue to incur the costs associated with operating as a public company.</w:t>
      </w:r>
    </w:p>
    <w:p>
      <w:pPr>
        <w:spacing w:after="0" w:line="78"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As a result of these anticipated expenditures, we will need to raise additional capital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capital to support our operations, or, if such capital is available to us, that such additional capital will be sufficient to meet our needs for the short or long term.</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In April 2019, we entered into a collaboration and license agreement, or the Verve Agreement, with Verve Therapeutics, Inc., or Verve, a company focused on gene editing for cardiovascular disease treatments. In June 2021, we entered into a research collaboration agreement, or the Apellis Agreement, with Apellis Pharmaceuticals, Inc., or Apellis, focused on the use of certain of our base editing technology to discover new treatments for complement system-driven diseases. In October 2021, we entered into an option and license agreement, or the Sana Agreement, with Sana Biotechnology, Inc., or Sana, pursuant to which we granted Sana non-exclusive research and development and commercial rights to our CRISPR Cas12b technology to perform nuclease editing for certain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engineered cell therapy programs. In December 2021, we entered into a four-year research collaboration agreement, or the Pfizer Agreement, with Pfizer Inc., or Pfizer, focused 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base editing programs for three targets for rare genetic diseases of the liver, muscle and central nervous system.</w:t>
      </w:r>
    </w:p>
    <w:p>
      <w:pPr>
        <w:spacing w:after="0" w:line="113"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We have not generated any revenue to date from product sales and do not expect to do so in the near future. During the years ended December 31, 2021, 2020, and 2019, we recognized $51.8 million, $24,000 and $18,000, respectively, of revenue. In 2021, our revenue recorded was related to our collaboration and license agreements with Sana, Apellis and Verve. In 2020 and 2019, our revenue recorded was related to our license agreement with Verve.</w:t>
      </w:r>
    </w:p>
    <w:p>
      <w:pPr>
        <w:spacing w:after="0" w:line="7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For additional information about our revenue recognition policy, see Note 2 and Note 10 of the notes to our audited consolidated financial statements included in this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of costs incurred in performing research and development activities, which include:</w:t>
      </w:r>
    </w:p>
    <w:p>
      <w:pPr>
        <w:spacing w:after="0" w:line="104" w:lineRule="exact"/>
        <w:rPr>
          <w:sz w:val="20"/>
          <w:szCs w:val="20"/>
          <w:color w:val="auto"/>
        </w:rPr>
      </w:pPr>
    </w:p>
    <w:p>
      <w:pPr>
        <w:ind w:left="1020" w:right="280" w:hanging="503"/>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incurred in connection with investments in delivery technology for our base editors, including the LNP technology we acquired through our acquisition of Guide;</w:t>
      </w:r>
    </w:p>
    <w:p>
      <w:pPr>
        <w:spacing w:after="0" w:line="62" w:lineRule="exact"/>
        <w:rPr>
          <w:rFonts w:ascii="Arial" w:cs="Arial" w:eastAsia="Arial" w:hAnsi="Arial"/>
          <w:sz w:val="18"/>
          <w:szCs w:val="18"/>
          <w:color w:val="auto"/>
        </w:rPr>
      </w:pPr>
    </w:p>
    <w:p>
      <w:pPr>
        <w:ind w:left="1020" w:right="360" w:hanging="503"/>
        <w:spacing w:after="0" w:line="248"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to obtain licenses to intellectual property, such as those with Harvard University, or Harvard, The Broad Institute, Inc., or Broad Institute, Editas Medicine, Inc, or Editas, and Bio Palette Co., Ltd., or Bio Palette, and related future payments should certain success, development and regulatory milestones be achieved;</w:t>
      </w:r>
    </w:p>
    <w:p>
      <w:pPr>
        <w:spacing w:after="0" w:line="7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stock-based compensation for employees engaged in research and development functions;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incurred in connection with the discovery and preclinical development of our research programs, including under agreements with third parties, such as consultants, contractors and contract research organizations;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incurred in connection with the initiation of clinical trials, including CRO costs and costs related to study preparation;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incurred in connection with regulatory filings;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expenses incurred in connection with the building of our base editing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of manufacturing for use in our preclinical studies, IND-enabling studies and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laboratory supplies and research materials;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w:t>
      </w:r>
    </w:p>
    <w:p>
      <w:pPr>
        <w:spacing w:after="0" w:line="104" w:lineRule="exact"/>
        <w:rPr>
          <w:sz w:val="20"/>
          <w:szCs w:val="20"/>
          <w:color w:val="auto"/>
        </w:rPr>
      </w:pPr>
    </w:p>
    <w:p>
      <w:pPr>
        <w:ind w:right="440"/>
        <w:spacing w:after="0" w:line="324" w:lineRule="auto"/>
        <w:rPr>
          <w:sz w:val="20"/>
          <w:szCs w:val="20"/>
          <w:color w:val="auto"/>
        </w:rPr>
      </w:pPr>
      <w:r>
        <w:rPr>
          <w:rFonts w:ascii="Arial" w:cs="Arial" w:eastAsia="Arial" w:hAnsi="Arial"/>
          <w:sz w:val="16"/>
          <w:szCs w:val="16"/>
          <w:color w:val="auto"/>
        </w:rPr>
        <w:t>We expense research and development costs as incurred. Advance payments that we make for goods or services to be received in the future for use in research and development activities are recorded as prepaid expenses. The prepaid amounts are expensed as the benefits are consumed.</w:t>
      </w:r>
    </w:p>
    <w:p>
      <w:pPr>
        <w:spacing w:after="0" w:line="1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the early phases of development, our research and development costs are often devoted to product platform and proof-of-concept preclinical studies that are not necessarily allocable to a specific target.</w:t>
      </w:r>
    </w:p>
    <w:p>
      <w:pPr>
        <w:spacing w:after="0" w:line="6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expect that our research and development expenses will increase substantially as we advance our programs through their planned preclinical and clinical development.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intellectual property, business development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16" w:name="page117"/>
    <w:bookmarkEnd w:id="116"/>
    <w:p>
      <w:pPr>
        <w:ind w:right="60"/>
        <w:spacing w:after="0" w:line="243"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increased research and development activities. We also expect to continue to incur costs associated with being a public company and maintaining controls over financial reporting, including costs of accounting, audit, legal, regulatory and tax-related services associated with maintaining compliance with Nasdaq and SEC requirements, director and officer insurance costs, and investor and public relations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expenses consist of the following items:</w:t>
      </w:r>
    </w:p>
    <w:p>
      <w:pPr>
        <w:spacing w:after="0" w:line="104" w:lineRule="exact"/>
        <w:rPr>
          <w:sz w:val="20"/>
          <w:szCs w:val="20"/>
          <w:color w:val="auto"/>
        </w:rPr>
      </w:pPr>
    </w:p>
    <w:p>
      <w:pPr>
        <w:ind w:left="1020" w:right="80" w:hanging="503"/>
        <w:spacing w:after="0" w:line="294" w:lineRule="auto"/>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Change in fair value of derivative liabilities </w:t>
      </w:r>
      <w:r>
        <w:rPr>
          <w:rFonts w:ascii="Arial" w:cs="Arial" w:eastAsia="Arial" w:hAnsi="Arial"/>
          <w:sz w:val="16"/>
          <w:szCs w:val="16"/>
          <w:color w:val="auto"/>
        </w:rPr>
        <w:t>consists primarily of remeasurement gains or losses associated with changes in success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associated with our license agreement with Harvard, dated as of June 27, 2017, as amended, or the Harvard License Agreement, and the license agreement with The Broad Institute, as amended, dated as of May 9, 2018, or the Broad License Agreement.</w:t>
      </w:r>
    </w:p>
    <w:p>
      <w:pPr>
        <w:spacing w:after="0" w:line="39" w:lineRule="exact"/>
        <w:rPr>
          <w:rFonts w:ascii="Arial" w:cs="Arial" w:eastAsia="Arial" w:hAnsi="Arial"/>
          <w:sz w:val="16"/>
          <w:szCs w:val="16"/>
          <w:color w:val="auto"/>
        </w:rPr>
      </w:pPr>
    </w:p>
    <w:p>
      <w:pPr>
        <w:ind w:left="1020" w:right="540" w:hanging="503"/>
        <w:spacing w:after="0" w:line="261"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Change in fair value of non-controlling equity investments </w:t>
      </w:r>
      <w:r>
        <w:rPr>
          <w:rFonts w:ascii="Arial" w:cs="Arial" w:eastAsia="Arial" w:hAnsi="Arial"/>
          <w:sz w:val="18"/>
          <w:szCs w:val="18"/>
          <w:color w:val="auto"/>
        </w:rPr>
        <w:t>consists of mark-to-market adjustments related to our investments in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Change in fair value of contingent consideration liabilities </w:t>
      </w:r>
      <w:r>
        <w:rPr>
          <w:rFonts w:ascii="Arial" w:cs="Arial" w:eastAsia="Arial" w:hAnsi="Arial"/>
          <w:sz w:val="18"/>
          <w:szCs w:val="18"/>
          <w:color w:val="auto"/>
        </w:rPr>
        <w:t>consists of remeasurement of the fair market value of the technology and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consideration liabilities related to the acquisition of Guide.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Interest and other income (expense), net </w:t>
      </w:r>
      <w:r>
        <w:rPr>
          <w:rFonts w:ascii="Arial" w:cs="Arial" w:eastAsia="Arial" w:hAnsi="Arial"/>
          <w:sz w:val="16"/>
          <w:szCs w:val="16"/>
          <w:color w:val="auto"/>
        </w:rPr>
        <w:t>consists primarily of interest income as well as interest expense related to our equipment financings.</w:t>
      </w:r>
    </w:p>
    <w:p>
      <w:pPr>
        <w:spacing w:after="0" w:line="1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Results of operations</w:t>
      </w:r>
    </w:p>
    <w:p>
      <w:pPr>
        <w:spacing w:after="0" w:line="10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Comparison of the years ended December 31, 2021 and 2020</w:t>
      </w:r>
    </w:p>
    <w:p>
      <w:pPr>
        <w:spacing w:after="0" w:line="10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following table summarizes our results of operations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Change</w:t>
            </w: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License and collaboration revenue</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51,844</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51,820</w:t>
            </w: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387,087</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103,179</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283,908</w:t>
            </w: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57,222</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29,605</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27,617</w:t>
            </w:r>
          </w:p>
        </w:tc>
      </w:tr>
      <w:tr>
        <w:trPr>
          <w:trHeight w:val="196"/>
        </w:trPr>
        <w:tc>
          <w:tcPr>
            <w:tcW w:w="65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444,309</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132,784</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311,525</w:t>
            </w:r>
          </w:p>
        </w:tc>
      </w:tr>
      <w:tr>
        <w:trPr>
          <w:trHeight w:val="196"/>
        </w:trPr>
        <w:tc>
          <w:tcPr>
            <w:tcW w:w="656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(392,465 )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(132,760 )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(259,705 )</w:t>
            </w: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derivative liabilities</w:t>
            </w: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(1,000 )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(63,400 )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62,400</w:t>
            </w:r>
          </w:p>
        </w:tc>
      </w:tr>
      <w:tr>
        <w:trPr>
          <w:trHeight w:val="203"/>
        </w:trPr>
        <w:tc>
          <w:tcPr>
            <w:tcW w:w="6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non-controlling equity investments</w:t>
            </w: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17,690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17,173</w:t>
            </w:r>
          </w:p>
        </w:tc>
      </w:tr>
      <w:tr>
        <w:trPr>
          <w:trHeight w:val="203"/>
        </w:trPr>
        <w:tc>
          <w:tcPr>
            <w:tcW w:w="656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 liabilities</w:t>
            </w:r>
          </w:p>
        </w:tc>
        <w:tc>
          <w:tcPr>
            <w:tcW w:w="320" w:type="dxa"/>
            <w:vAlign w:val="bottom"/>
          </w:tcPr>
          <w:p>
            <w:pPr>
              <w:spacing w:after="0"/>
              <w:rPr>
                <w:sz w:val="17"/>
                <w:szCs w:val="17"/>
                <w:color w:val="auto"/>
              </w:rPr>
            </w:pP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5,146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5,146</w:t>
            </w:r>
          </w:p>
        </w:tc>
      </w:tr>
      <w:tr>
        <w:trPr>
          <w:trHeight w:val="203"/>
        </w:trPr>
        <w:tc>
          <w:tcPr>
            <w:tcW w:w="65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and other income (expense), net</w:t>
            </w: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1,051</w:t>
            </w: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(1,060 )</w:t>
            </w:r>
          </w:p>
        </w:tc>
      </w:tr>
      <w:tr>
        <w:trPr>
          <w:trHeight w:val="196"/>
        </w:trPr>
        <w:tc>
          <w:tcPr>
            <w:tcW w:w="6560" w:type="dxa"/>
            <w:vAlign w:val="bottom"/>
          </w:tcPr>
          <w:p>
            <w:pPr>
              <w:ind w:left="380"/>
              <w:spacing w:after="0" w:line="196" w:lineRule="exact"/>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21,827</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(61,832 )</w:t>
            </w: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83,659</w:t>
            </w:r>
          </w:p>
        </w:tc>
      </w:tr>
      <w:tr>
        <w:trPr>
          <w:trHeight w:val="23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(370,638 )</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(194,592 )</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(176,046 )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-1076325</wp:posOffset>
            </wp:positionV>
            <wp:extent cx="939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-1076325</wp:posOffset>
            </wp:positionV>
            <wp:extent cx="939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-296545</wp:posOffset>
            </wp:positionV>
            <wp:extent cx="939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-296545</wp:posOffset>
            </wp:positionV>
            <wp:extent cx="939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9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93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93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revenue</w:t>
      </w:r>
    </w:p>
    <w:p>
      <w:pPr>
        <w:spacing w:after="0" w:line="10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License and collaboration revenue was approximately $51.8 million for the year ended December 31, 2021 compared to approximately $24,000 for the year ended December 31, 2020. License and collaboration revenue recorded in 2021 represents revenue recorded under the Sana, Apellis and Verve Agreements. We recorded $50.0 million of license revenue related to the Sana Agreement for the twelve months ended December 31, 2021. License and collaboration revenue recorded in 2020 represents revenue recorded under the Verve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Research and development expenses were $387.1 million and $103.2 million for the years ended December 31, 2021 and 2020, respectively. The increase of $283.9 million was primarily due to the following:</w:t>
      </w:r>
    </w:p>
    <w:p>
      <w:pPr>
        <w:spacing w:after="0" w:line="63" w:lineRule="exact"/>
        <w:rPr>
          <w:sz w:val="20"/>
          <w:szCs w:val="20"/>
          <w:color w:val="auto"/>
        </w:rPr>
      </w:pPr>
    </w:p>
    <w:p>
      <w:pPr>
        <w:ind w:left="1020" w:right="560" w:hanging="503"/>
        <w:spacing w:after="0" w:line="261"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$155.0 million of expense related to in-process research and development asset acquired from Guide as there was determined to be no alternative future use.</w:t>
      </w:r>
    </w:p>
    <w:p>
      <w:pPr>
        <w:spacing w:after="0" w:line="62" w:lineRule="exact"/>
        <w:rPr>
          <w:rFonts w:ascii="Arial" w:cs="Arial" w:eastAsia="Arial" w:hAnsi="Arial"/>
          <w:sz w:val="18"/>
          <w:szCs w:val="18"/>
          <w:color w:val="auto"/>
        </w:rPr>
      </w:pPr>
    </w:p>
    <w:p>
      <w:pPr>
        <w:ind w:left="1020" w:right="180" w:hanging="503"/>
        <w:spacing w:after="0" w:line="241"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of $32.7 million in milestone and license expenses. During the year ended December 31, 2021, we recorded $39.9 million in non-royalty sublicense fees and $0.9 million of expense for milestones related to our technology license agreements. During the year ended December 31, 2020, we recognized $5.5 million in expense representing the fair value of the common stock we issued to Prime Medicine Inc., or Prime Medicine, in October 2020 and $2.3 million expense for a milestone payment made to Bio Palette, upon the issuance of a certain patent in the United States becoming probable.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7" w:name="page118"/>
    <w:bookmarkEnd w:id="117"/>
    <w:p>
      <w:pPr>
        <w:jc w:val="both"/>
        <w:ind w:left="1020" w:right="120" w:hanging="503"/>
        <w:spacing w:after="0" w:line="270" w:lineRule="auto"/>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Increases of $22.9 million in personnel-related costs and $15.4 million in facility-related costs, including depreciation. These increases were due to the growth in the number of research and development employees from 149 at December 31, 2020 to 279 at December 31, 2021, and their related activities, as well as the expense allocated to research and development related to our leased facilities.</w:t>
      </w:r>
    </w:p>
    <w:p>
      <w:pPr>
        <w:spacing w:after="0" w:line="55" w:lineRule="exact"/>
        <w:rPr>
          <w:rFonts w:ascii="Arial" w:cs="Arial" w:eastAsia="Arial" w:hAnsi="Arial"/>
          <w:sz w:val="17"/>
          <w:szCs w:val="17"/>
          <w:color w:val="auto"/>
        </w:rPr>
      </w:pPr>
    </w:p>
    <w:p>
      <w:pPr>
        <w:ind w:left="1020" w:right="60" w:hanging="503"/>
        <w:spacing w:after="0" w:line="248"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$21.2 million in outsourced services, driven by process development, IND-enabling materials and clinical readiness spend for BEAM-101, BEAM-201 and BEAM-102, assay development and qualification of gRNA and mRNA materials for BEAM-101 and BEAM-201, and toxicology studies and activities for BEAM-101, BEAM-102 and BEAM-201.</w:t>
      </w:r>
    </w:p>
    <w:p>
      <w:pPr>
        <w:spacing w:after="0" w:line="73"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$15.5 million in stock-based compensation from additional stock options and restricted stock units granted due to the increase in the number of research and development employees, additional grants given to existing employees, as well as an increase in the value of our common stock.</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increase of $15.1 million in lab supplies due to the movement of our lead programs into IND-enabling activities and continued investment in platform and discovery efforts.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increase of $6.1 million in other expenses, primarily related to an increase in research and development specific software costs.</w:t>
      </w:r>
    </w:p>
    <w:p>
      <w:pPr>
        <w:spacing w:after="0" w:line="11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Research and development expenses are expected to continue to increase as we initiate clinical trials for BEAM-101, continue IND-enabling studies for BEAM-102 and BEAM-201, begin IND-enabling studies for BEAM-301, continue our current research programs, initiate new research programs, continue the preclinical and clinical development of our product candidates and conduct any future preclinical studies and begin to enroll patients in and conduct clinical trials for any of our product candidates.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General and administrative expenses were $57.2 million and $29.6 million for the years ended December 31, 2021 and 2020, respectively. The increase of $27.6 million was primarily due to the following:</w:t>
      </w:r>
    </w:p>
    <w:p>
      <w:pPr>
        <w:spacing w:after="0" w:line="63" w:lineRule="exact"/>
        <w:rPr>
          <w:sz w:val="20"/>
          <w:szCs w:val="20"/>
          <w:color w:val="auto"/>
        </w:rPr>
      </w:pPr>
    </w:p>
    <w:p>
      <w:pPr>
        <w:ind w:left="1020" w:right="60" w:hanging="503"/>
        <w:spacing w:after="0" w:line="270" w:lineRule="auto"/>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increase of $12.8 million in stock-based compensation from additional stock options and restricted stock units granted due to an increase in the number of general and administrative employees from 32 employees as of December 31, 2020 to 62 employees as of December 31, 2021, additional grants given to existing employees, as well as an increase in the value of our common stock.</w:t>
      </w:r>
    </w:p>
    <w:p>
      <w:pPr>
        <w:spacing w:after="0" w:line="55" w:lineRule="exact"/>
        <w:rPr>
          <w:rFonts w:ascii="Arial" w:cs="Arial" w:eastAsia="Arial" w:hAnsi="Arial"/>
          <w:sz w:val="17"/>
          <w:szCs w:val="17"/>
          <w:color w:val="auto"/>
        </w:rPr>
      </w:pPr>
    </w:p>
    <w:p>
      <w:pPr>
        <w:ind w:left="1020" w:right="40" w:hanging="503"/>
        <w:spacing w:after="0" w:line="248"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Increases of $9.3 million in personnel related costs and $1.3 million in facility related costs, including depreciation costs, due to the increase in the number of general and administrative employees, as well as the expense allocated to general and administrative expenses related to our leased facilities.</w:t>
      </w:r>
    </w:p>
    <w:p>
      <w:pPr>
        <w:spacing w:after="0" w:line="7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of $3.2 million in legal costs primarily due to legal fees incurred in connection with our acquisition of Guide, as well as the completion of the Apellis, Sana and Pfizer Agreements.</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of $1.6 million in insurance costs due to increased directors and officers insurance costs as a result of our IPO in February 2020 and insurance costs related to our acquisition of Guide in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liabilities</w:t>
      </w:r>
    </w:p>
    <w:p>
      <w:pPr>
        <w:spacing w:after="0" w:line="10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During the year ended December 31, 2021, we recorded a $1.0 million expense related to the change in fair value expense related to the success payment liabilities as compared to a $63.4 million expense for the year ended December 31, 2020. We did not experience a significant change in our closing stock price at the end of 2021, as compared to the closing stock price at the end of 2020. A portion of the success payments was paid in June 2021; the remaining success payment obligations are still outstanding as of December 31, 2021 and will continue to be revalued at each reporting period.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non-controlling equity investments</w:t>
      </w:r>
    </w:p>
    <w:p>
      <w:pPr>
        <w:spacing w:after="0" w:line="10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years ended December 31, 2021 and December 31, 2020, we recorded other income of $17.7 million and $0.5 million, respectively, as a result of increases in the value of our investment in Verve's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contingent consideration liabilities</w:t>
      </w:r>
    </w:p>
    <w:p>
      <w:pPr>
        <w:spacing w:after="0" w:line="104" w:lineRule="exact"/>
        <w:rPr>
          <w:sz w:val="20"/>
          <w:szCs w:val="20"/>
          <w:color w:val="auto"/>
        </w:rPr>
      </w:pPr>
    </w:p>
    <w:p>
      <w:pPr>
        <w:ind w:right="460"/>
        <w:spacing w:after="0" w:line="324" w:lineRule="auto"/>
        <w:rPr>
          <w:sz w:val="20"/>
          <w:szCs w:val="20"/>
          <w:color w:val="auto"/>
        </w:rPr>
      </w:pPr>
      <w:r>
        <w:rPr>
          <w:rFonts w:ascii="Arial" w:cs="Arial" w:eastAsia="Arial" w:hAnsi="Arial"/>
          <w:sz w:val="16"/>
          <w:szCs w:val="16"/>
          <w:color w:val="auto"/>
        </w:rPr>
        <w:t>During the year ended December 31, 2021, we recorded $5.1 million of other income related to the change in fair value of the Guide technology and product contingent consideration liabilities as a result of an update in project timelines and the expected probability of achievement of the milestones.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04"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Interest and other income (expense), net was $9,000 for the year ended December 31, 2021 as compared to $1.1 million of income for the year ended December 31, 2020. The decrease was primarily due to interest expense on our equipment financing, which was greater than interest income driven by a decrease in interest rates earned on our investments.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Change</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License revenue</w:t>
            </w: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103,179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54,619</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48,560</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29,605</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20,553</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9,052</w:t>
            </w:r>
          </w:p>
        </w:tc>
        <w:tc>
          <w:tcPr>
            <w:tcW w:w="80" w:type="dxa"/>
            <w:vAlign w:val="bottom"/>
          </w:tcPr>
          <w:p>
            <w:pPr>
              <w:spacing w:after="0"/>
              <w:rPr>
                <w:sz w:val="17"/>
                <w:szCs w:val="17"/>
                <w:color w:val="auto"/>
              </w:rPr>
            </w:pPr>
          </w:p>
        </w:tc>
      </w:tr>
      <w:tr>
        <w:trPr>
          <w:trHeight w:val="196"/>
        </w:trPr>
        <w:tc>
          <w:tcPr>
            <w:tcW w:w="65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132,784</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75,172</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57,612</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7"/>
                <w:szCs w:val="17"/>
                <w:color w:val="auto"/>
              </w:rPr>
            </w:pPr>
          </w:p>
        </w:tc>
        <w:tc>
          <w:tcPr>
            <w:tcW w:w="130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(132,760 )</w:t>
            </w: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(75,154 )</w:t>
            </w:r>
          </w:p>
        </w:tc>
        <w:tc>
          <w:tcPr>
            <w:tcW w:w="28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(57,606 )</w:t>
            </w:r>
          </w:p>
        </w:tc>
      </w:tr>
      <w:tr>
        <w:trPr>
          <w:trHeight w:val="203"/>
        </w:trPr>
        <w:tc>
          <w:tcPr>
            <w:tcW w:w="6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derivative liabilities</w:t>
            </w:r>
          </w:p>
        </w:tc>
        <w:tc>
          <w:tcPr>
            <w:tcW w:w="320" w:type="dxa"/>
            <w:vAlign w:val="bottom"/>
          </w:tcPr>
          <w:p>
            <w:pPr>
              <w:spacing w:after="0"/>
              <w:rPr>
                <w:sz w:val="17"/>
                <w:szCs w:val="17"/>
                <w:color w:val="auto"/>
              </w:rPr>
            </w:pPr>
          </w:p>
        </w:tc>
        <w:tc>
          <w:tcPr>
            <w:tcW w:w="130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(63,400 )</w:t>
            </w:r>
          </w:p>
        </w:tc>
        <w:tc>
          <w:tcPr>
            <w:tcW w:w="32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(5,400 )</w:t>
            </w:r>
          </w:p>
        </w:tc>
        <w:tc>
          <w:tcPr>
            <w:tcW w:w="2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(58,000 )</w:t>
            </w:r>
          </w:p>
        </w:tc>
      </w:tr>
      <w:tr>
        <w:trPr>
          <w:trHeight w:val="203"/>
        </w:trPr>
        <w:tc>
          <w:tcPr>
            <w:tcW w:w="6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non-controlling equity investments</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517</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income (expense), net</w:t>
            </w:r>
          </w:p>
        </w:tc>
        <w:tc>
          <w:tcPr>
            <w:tcW w:w="3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1,051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2,228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(1,177 )</w:t>
            </w:r>
          </w:p>
        </w:tc>
      </w:tr>
      <w:tr>
        <w:trPr>
          <w:trHeight w:val="196"/>
        </w:trPr>
        <w:tc>
          <w:tcPr>
            <w:tcW w:w="65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other income (expense)</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(61,832</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(3,172</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(58,660</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(194,592 )</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(78,326 )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(116,266 )</w:t>
            </w: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-948055</wp:posOffset>
            </wp:positionV>
            <wp:extent cx="5143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-948055</wp:posOffset>
            </wp:positionV>
            <wp:extent cx="514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-948055</wp:posOffset>
            </wp:positionV>
            <wp:extent cx="514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-159385</wp:posOffset>
            </wp:positionV>
            <wp:extent cx="514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04"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License revenue was approximately $24,000 for the year ended December 31, 2020 compared to approximately $18,000 for the year ended December 31, 2019. License revenue represents Verve license revenue recorded under the Collaboration and License Agreement executed in April 2019.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Research and development expenses were $103.2 million and $54.6 million for the years ended December 31, 2020 and 2019, respectively. The increase of $48.6 million was primarily due to the following:</w:t>
      </w:r>
    </w:p>
    <w:p>
      <w:pPr>
        <w:spacing w:after="0" w:line="63" w:lineRule="exact"/>
        <w:rPr>
          <w:sz w:val="20"/>
          <w:szCs w:val="20"/>
          <w:color w:val="auto"/>
        </w:rPr>
      </w:pPr>
    </w:p>
    <w:p>
      <w:pPr>
        <w:ind w:left="1020" w:right="360" w:hanging="503"/>
        <w:spacing w:after="0" w:line="261"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$20.8 million in outsourced services and lab supplies, driven primarily by external research services such as CMOs, IND-enabling studies and sponsored research agreements.</w:t>
      </w:r>
    </w:p>
    <w:p>
      <w:pPr>
        <w:spacing w:after="0" w:line="62"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increase of $5.9 million in milestone and license expenses, primarily related to our agreement with Prime Medicine. During the year ended December 31, 2020, we recognized $5.5 million of expense, representing the fair value of our common stock issued to Prime Medicine in October 2020.</w:t>
      </w:r>
    </w:p>
    <w:p>
      <w:pPr>
        <w:spacing w:after="0" w:line="73" w:lineRule="exact"/>
        <w:rPr>
          <w:rFonts w:ascii="Arial" w:cs="Arial" w:eastAsia="Arial" w:hAnsi="Arial"/>
          <w:sz w:val="18"/>
          <w:szCs w:val="18"/>
          <w:color w:val="auto"/>
        </w:rPr>
      </w:pPr>
    </w:p>
    <w:p>
      <w:pPr>
        <w:jc w:val="both"/>
        <w:ind w:left="1020" w:right="240" w:hanging="503"/>
        <w:spacing w:after="0" w:line="270" w:lineRule="auto"/>
        <w:tabs>
          <w:tab w:leader="none" w:pos="10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Increases of $8.6 million in personnel-related costs and $5.6 million in facility-related costs, including depreciation. These increases were due to the growth in the number of research and development employees from 97 at December 31, 2019 to 149 at December 31, 2020, and their related activities, as well as the expense allocated to research and development related to our leased facilities.</w:t>
      </w:r>
    </w:p>
    <w:p>
      <w:pPr>
        <w:spacing w:after="0" w:line="55" w:lineRule="exact"/>
        <w:rPr>
          <w:rFonts w:ascii="Arial" w:cs="Arial" w:eastAsia="Arial" w:hAnsi="Arial"/>
          <w:sz w:val="17"/>
          <w:szCs w:val="17"/>
          <w:color w:val="auto"/>
        </w:rPr>
      </w:pPr>
    </w:p>
    <w:p>
      <w:pPr>
        <w:ind w:left="1020" w:right="620" w:hanging="503"/>
        <w:spacing w:after="0" w:line="324" w:lineRule="auto"/>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increase of $7.0 million in stock-based compensation from additional stock options and restricted stock awards granted due to the increase in the number of research and development employees, as well as an increase in the value of our common stock.</w:t>
      </w:r>
    </w:p>
    <w:p>
      <w:pPr>
        <w:spacing w:after="0" w:line="1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Research and development expenses will continue to increase as we continue our current research programs, initiate new research programs, continue our preclinical development of product candidates and conduct future clinical trials for any of our product candidates.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General and administrative expenses were $29.6 million and $20.6 million for the years ended December 31, 2020 and 2019, respectively. The increase of $9.1 million was primarily due to the following:</w:t>
      </w:r>
    </w:p>
    <w:p>
      <w:pPr>
        <w:spacing w:after="0" w:line="63" w:lineRule="exact"/>
        <w:rPr>
          <w:sz w:val="20"/>
          <w:szCs w:val="20"/>
          <w:color w:val="auto"/>
        </w:rPr>
      </w:pPr>
    </w:p>
    <w:p>
      <w:pPr>
        <w:ind w:left="1020" w:right="680" w:hanging="503"/>
        <w:spacing w:after="0" w:line="261"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increase of $2.9 million in insurance costs due to increased directors and officers insurance costs as a result of our being a public company.</w:t>
      </w:r>
    </w:p>
    <w:p>
      <w:pPr>
        <w:spacing w:after="0" w:line="62" w:lineRule="exact"/>
        <w:rPr>
          <w:rFonts w:ascii="Arial" w:cs="Arial" w:eastAsia="Arial" w:hAnsi="Arial"/>
          <w:sz w:val="18"/>
          <w:szCs w:val="18"/>
          <w:color w:val="auto"/>
        </w:rPr>
      </w:pPr>
    </w:p>
    <w:p>
      <w:pPr>
        <w:ind w:left="1020" w:right="280" w:hanging="503"/>
        <w:spacing w:after="0" w:line="324" w:lineRule="auto"/>
        <w:tabs>
          <w:tab w:leader="none" w:pos="10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Increases of $2.7 million in personnel related costs and $1.1 million in other (primarily information technology related) costs due to an increase in general and administrative employees from 21 employees as of December 31, 2019 to 32 employees as of December 31, 2020.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19" w:name="page120"/>
    <w:bookmarkEnd w:id="119"/>
    <w:p>
      <w:pPr>
        <w:ind w:left="1020" w:hanging="503"/>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$1.5 million in intellectual property costs, offset by a $0.6 million decrease in corporate legal expenses.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$1.4 million in stock-based compensation from additional stock options granted due to an increase in the number of general and administrative employees, as well as an increase in the value of our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liabilities</w:t>
      </w:r>
    </w:p>
    <w:p>
      <w:pPr>
        <w:spacing w:after="0" w:line="104"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During the year ended December 31, 2020, we recorded a $63.4 million change in fair value expense related to the success payment liabilities as compared to a $5.4 million expense for the year ended December 31, 2019, due to a significant increase in the value of our common stock.</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non-controlling equity investments</w:t>
      </w:r>
    </w:p>
    <w:p>
      <w:pPr>
        <w:spacing w:after="0" w:line="10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During the year ended December 31, 2020, we recorded other income of $0.5 million as a result of an increase in the value of our investment in Verve's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04"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Interest and other income (expense), net was $1.1 million for the year ended December 31, 2020 as compared to $2.2 million for the year ended December 31, 2019. The decrease of $1.2 million was primarily due to a decrease in interest income of $1.1 million as a result of decreases in interest rates related to our investment portfolio and an increase in interest expense of $0.4 million due to the occurrence of additional drawdowns on our equipment line in 2020.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Since our inception in January 2017, we have not generated any revenue from product sales, have generated only limited license and collaboration revenue from the Verve Agreement, the Apellis Agreement and the Sana Agreement, and have incurred significant operating losses and negative cash flows from our operations. We expect to incur significant expenses and operating losses for the foreseeable future as we advance the preclinical and the clinical development of our product candidates.</w:t>
      </w:r>
    </w:p>
    <w:p>
      <w:pPr>
        <w:spacing w:after="0" w:line="80" w:lineRule="exact"/>
        <w:rPr>
          <w:sz w:val="20"/>
          <w:szCs w:val="20"/>
          <w:color w:val="auto"/>
        </w:rPr>
      </w:pPr>
    </w:p>
    <w:p>
      <w:pPr>
        <w:ind w:right="360"/>
        <w:spacing w:after="0" w:line="269" w:lineRule="auto"/>
        <w:rPr>
          <w:sz w:val="20"/>
          <w:szCs w:val="20"/>
          <w:color w:val="auto"/>
        </w:rPr>
      </w:pPr>
      <w:r>
        <w:rPr>
          <w:rFonts w:ascii="Arial" w:cs="Arial" w:eastAsia="Arial" w:hAnsi="Arial"/>
          <w:sz w:val="16"/>
          <w:szCs w:val="16"/>
          <w:color w:val="auto"/>
        </w:rPr>
        <w:t>To date, we have funded our operations primarily through equity offerings. In February 2020, we completed our IPO in which we issued and sold 12,176,471 shares of our common stock, including 1,588,235 shares of common stock sold pursuant to the underwriters’ full exercise of their option to purchase additional shares, at a public offering price of $17.00 per share. We received net proceeds from our IPO of $188.3 million, after deducting underwriting discounts and offering expenses payable by us. In October 2020, we issued and sold 5,750,000 shares of our common stock, including</w:t>
      </w:r>
    </w:p>
    <w:p>
      <w:pPr>
        <w:spacing w:after="0" w:line="1"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750,000 shares pursuant to the full exercise of the underwriters’ option to purchase additional shares, at a public offering price of $23.50 per share, for aggregate gross proceeds of $135.1 million. We received approximately $126.6 million in net proceeds after deducting applicable underwriting discounts and offering expenses. In January 2021, we issued and sold 2,795,700 shares of our common stock in a private placement at an offering price of $93.00 per share for aggregate gross proceeds of $260.0 million. We received $252.0 million in net proceeds after deducting offering expenses payable by us.</w:t>
      </w:r>
    </w:p>
    <w:p>
      <w:pPr>
        <w:spacing w:after="0" w:line="53"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In April 2021, we filed a universal automatic shelf registration statement on Form S-3 with the SEC, or the 2021 Shelf, to register for sale an indeterminate amount of our common stock, preferred stock, debt securities, warrants and/or units in one or more offerings, which became effective upon filing with the SEC (File No. 333-254946).</w:t>
      </w:r>
    </w:p>
    <w:p>
      <w:pPr>
        <w:spacing w:after="0" w:line="74"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In April 2021, we entered into an at the market, or ATM, sales agreement, or the Sales Agreement, with Jefferies LLC, or Jefferies, pursuant to which we were entitled to offer and sell, from time to time at prevailing market prices, shares of our common stock having aggregate gross proceeds of up to $300.0 million. We agreed to pay Jefferies a commission of up to 3.0% of the aggregate gross sale proceeds of any shares sold by Jefferies under the Sales Agreement. As of December 31, 2021, we have sold 2,908,009 shares of our common stock under the Sales Agreement at an average price of $103.16 per share for aggregate gross proceeds of $300.0 million, before deducting commissions and offering expenses payable by us.</w:t>
      </w:r>
    </w:p>
    <w:p>
      <w:pPr>
        <w:spacing w:after="0" w:line="5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 July 2021, we and Jefferies entered into an amendment to the Sales Agreement to provide for an increase in the aggregate offering amount under the Sales Agreement, such that as of July 7, 2021, we may offer and sell shares of common stock having an aggregate offering price of an additional $500.0 million. As of December 31, 2021, we have sold 1,999,186 additional shares of our common stock under the amended Sales Agreement at an average price of $105.65 per share for aggregate gross proceeds of $211.2 million, before deducting commissions and offering expenses payable by us, resulting in an aggregate of $511.2 million in gross proceeds received under the Sales Agreement as of December 31, 2021.</w:t>
      </w:r>
    </w:p>
    <w:p>
      <w:pPr>
        <w:spacing w:after="0" w:line="6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June 2021, we entered into the Apellis Agreement, which is focused on the use of certain of our base editing technology to discover new treatments for complement system-driven diseases. Pursuant to the Apellis Agreement, we received an upfront payment of $50.0 million in July 2021. We are also eligible to receive an additional payment of $25.0 million on June 30, 2022, the one-year anniversary of the effective date of the Apellis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0" w:name="page121"/>
    <w:bookmarkEnd w:id="120"/>
    <w:p>
      <w:pPr>
        <w:ind w:right="220"/>
        <w:spacing w:after="0" w:line="248" w:lineRule="auto"/>
        <w:rPr>
          <w:sz w:val="20"/>
          <w:szCs w:val="20"/>
          <w:color w:val="auto"/>
        </w:rPr>
      </w:pPr>
      <w:r>
        <w:rPr>
          <w:rFonts w:ascii="Arial" w:cs="Arial" w:eastAsia="Arial" w:hAnsi="Arial"/>
          <w:sz w:val="18"/>
          <w:szCs w:val="18"/>
          <w:color w:val="auto"/>
        </w:rPr>
        <w:t xml:space="preserve">In October 2021, we entered into the Sana Agreement, pursuant to which we granted Sana non-exclusive research and development commercial rights to our CRISPR Cas12b technology to perform nuclease editing for certain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engineered cell therapy programs. Pursuant to the Sana Agreement, we received an upfront payment of $50.0 million in October 2021.</w:t>
      </w:r>
    </w:p>
    <w:p>
      <w:pPr>
        <w:spacing w:after="0" w:line="7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In December 2021, we entered into the Pfizer Agreement, which is focused 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base editing programs for three targets for rare genetic diseases of the liver, muscle and central nervous system. Under the terms of the Pfizer Agreement, we will conduct all research activities through development candidate selection for three undisclosed targets, which are not included in our existing programs. Pursuant to the Pfizer Agreement, we received an upfront payment of $300.0 million in January 2022. As we did not receive the $300.0 million upfront fee before December 31, 2021, we recorded a collaboration receivable for $300.0 million with a corresponding deferred revenue liability in our consolidated financial statements for the year ended December 31,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$965.6 million in cash, cash equivalents, and marketable securities.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are required to make success payments to Harvard and Broad Institute based on increases in the per share fair market value of our Series A-1 Preferred Stock and Series A-2 Preferred Stock or, subsequent to our IPO, our common stock. The amounts due may be settled in cash or shares of our common stock, at our discretion. In May 2021, the first success payment measurements occurred and success payments to Harvard and Broad Institute were calculated to be $15.0 million and $15.0 million, respectively. We elected to make each payment in shares of our common stock and issued 174,825 shares to each of Harvard and Broad Institute to settle these liabilities in June 2021. We may additionally owe Harvard and Broad Institute success payments of up to an additional $90.0 million each.</w:t>
      </w:r>
    </w:p>
    <w:p>
      <w:pPr>
        <w:spacing w:after="0" w:line="81"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We have not yet commercialized any of our product candidates, and we do not expect to generate revenue from the sale of our product candidates for the foreseeable future. We anticipate that we may need to raise additional capital in order to continue to fund our research and development, including our planned preclinical studies and clinical trials, building, maintaining and operating a commercial-scale cGMP manufacturing facility, and new product development, as well as to fund our general operations. As necessary, we will seek to raise additional capital through various potential sources, such as equity and debt financings or through corporate collaboration and license agreements. We can give no assurances that we will be able to secure such additional sources of capital to support our operations, or, if such funds are available to us, that such additional financing will be sufficient to meet our needs.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w w:val="96"/>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(66,268 )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(95,741 )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(72,003 )</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(294,144 )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(100,123 )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(66,659 )</w:t>
            </w: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rPr>
              <w:t>756,141</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322,322</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41,279</w:t>
            </w:r>
          </w:p>
        </w:tc>
      </w:tr>
      <w:tr>
        <w:trPr>
          <w:trHeight w:val="196"/>
        </w:trPr>
        <w:tc>
          <w:tcPr>
            <w:tcW w:w="6580" w:type="dxa"/>
            <w:vAlign w:val="bottom"/>
          </w:tcPr>
          <w:p>
            <w:pPr>
              <w:ind w:left="20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6"/>
              <w:spacing w:after="0" w:line="196" w:lineRule="exact"/>
              <w:rPr>
                <w:sz w:val="20"/>
                <w:szCs w:val="20"/>
                <w:color w:val="auto"/>
              </w:rPr>
            </w:pPr>
            <w:r>
              <w:rPr>
                <w:rFonts w:ascii="Arial" w:cs="Arial" w:eastAsia="Arial" w:hAnsi="Arial"/>
                <w:sz w:val="18"/>
                <w:szCs w:val="18"/>
                <w:color w:val="auto"/>
              </w:rPr>
              <w:t>395,729</w:t>
            </w:r>
          </w:p>
        </w:tc>
        <w:tc>
          <w:tcPr>
            <w:tcW w:w="4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126,458</w:t>
            </w:r>
          </w:p>
        </w:tc>
        <w:tc>
          <w:tcPr>
            <w:tcW w:w="16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(97,383 )</w:t>
            </w:r>
          </w:p>
        </w:tc>
      </w:tr>
      <w:tr>
        <w:trPr>
          <w:trHeight w:val="20"/>
        </w:trPr>
        <w:tc>
          <w:tcPr>
            <w:tcW w:w="6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-159385</wp:posOffset>
            </wp:positionV>
            <wp:extent cx="939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-159385</wp:posOffset>
            </wp:positionV>
            <wp:extent cx="939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Net cash used in operating activities for the year ended December 31, 2021 was $66.3 million, consisting primarily of our net loss of $370.6 million and an increase in collaboration receivable of $300.0 million, primarily related to the Pfizer Agreement, as well as noncash items including an increase in the fair value of a non-controlling equity investment of $17.7 million and a change in the fair value of contingent consideration liabilities of $5.1 million. These uses of cash were offset in part by cash provided by increases in deferred revenue of $348.2 million, primarily related to the Pfizer and Apellis Agreements, other accrued expenses and other liabilities of $43.9 million, operating lease liabilities of $16.0 million and accounts payable and other long-term liabilities of $2.6 million as well as noncash items consisting primarily of in-process research and development of $155.0 million, stock-based compensation expense of $43.6 million, change in operating lease ROU assets of $9.0 million, depreciation and amortization expense of $7.5 million and change in fair value of derivative liabilities of $1.0 million.</w:t>
      </w:r>
    </w:p>
    <w:p>
      <w:pPr>
        <w:spacing w:after="0" w:line="8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Net cash used in operating activities for the year ended December 31, 2020 was $95.7 million, consisting primarily of our net loss of $194.6 million and an increase in prepaid expenses and other current assets of $5.7 million, offset by cash provided by increases in accrued expenses of $7.0 million, operating lease liabilities of $3.2 million and long-term liabilities of $1.0 million. Net cash used in operating activities was also offset by non-cash charges consisting primarily of a change in the fair value of derivative liabilities of $63.4 million, stock-based compensation expense of $15.4 million, non-cash license expenses of $5.7 million, depreciation of $4.7 million, and non-cash lease expense of $4.7 million, offset by a $0.5 million non-cash change in the fair value of equity investments.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1" w:name="page122"/>
    <w:bookmarkEnd w:id="121"/>
    <w:p>
      <w:pPr>
        <w:ind w:right="20"/>
        <w:spacing w:after="0" w:line="279" w:lineRule="auto"/>
        <w:rPr>
          <w:sz w:val="20"/>
          <w:szCs w:val="20"/>
          <w:color w:val="auto"/>
        </w:rPr>
      </w:pPr>
      <w:r>
        <w:rPr>
          <w:rFonts w:ascii="Arial" w:cs="Arial" w:eastAsia="Arial" w:hAnsi="Arial"/>
          <w:sz w:val="16"/>
          <w:szCs w:val="16"/>
          <w:color w:val="auto"/>
        </w:rPr>
        <w:t>Net cash used in operating activities for the year ended December 31, 2019 was $72.0 million, consisting primarily of our net loss of $78.3 million, a decrease in financing milestone liabilities of $13.8 million resulting from payment of these liabilities, a decrease in operating lease liabilities of $2.5 million, and an increase in prepaids and other assets of $1.9 million offset by cash provided by increases in accounts payable and accrued expenses of $7.7 million and non-cash charges consisting primarily of stock based compensation expense of $7.0 million, change in fair value of derivative liabilities of $5.4 million, depreciation of $3.5 million, and non-cash lease expense of $1.9 million, offset by amortization of investment premiums of $0.9 million.</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year ended December 31, 2021, cash used in investing activities was primarily the net result of purchases of marketable securities partially offset by maturities of marketable securities of $248.0 million, in addition to purchases of property and equipment of $46.8 million. We also received $0.6 million in net cash from our acquisition of Guide, after the payment of acquisition costs.</w:t>
      </w:r>
    </w:p>
    <w:p>
      <w:pPr>
        <w:spacing w:after="0" w:line="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year ended December 31, 2020, cash used in investing activities was primarily the net result of purchases of marketable securities partially offset by maturities of marketable securities of $83.0 million, in addition to purchases of property and equipment of $16.4 million.</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year ended December 31, 2019, cash used in investing activities was primarily the net result of purchases of marketable securities partially offset by maturities of marketable securities of $53.7 million, in addition to purchases of property and equipment of $12.5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Net cash provided by financing activities for the year ended December 31, 2021 consisted primarily of proceeds from equity offerings of $757.4 million and proceeds from the exercise of stock options of $9.6 million, offset in part by the payment of equity offering costs of $8.8 million and repayments of equipment financing liabilities of $2.1 million.</w:t>
      </w:r>
    </w:p>
    <w:p>
      <w:pPr>
        <w:spacing w:after="0" w:line="74"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Net cash provided by financing activities for the year ended December 31, 2020 consisted primarily of proceeds from our IPO and follow-on public offering of $319.5 million, net of underwriting discounts, net proceeds of $3.3 million from equipment financing, and proceeds from the exercise of stock options of $3.2 million, offset in part by the payment of equity offering costs of $2.1 million and repayments of equipment financing liabilities of $1.6 million.</w:t>
      </w:r>
    </w:p>
    <w:p>
      <w:pPr>
        <w:spacing w:after="0" w:line="80"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Net cash provided by financing activities for the year ended December 31, 2019 consisted primarily of the net proceeds from the issuance of Series B Preferred Stock of $37.9 million, and net proceeds of $5.7 million from equipment financing, offset by the payment of equity issuance costs of $2.5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are expected to increase substantially as we continue to advance our portfolio of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Specifically, our expenses will increase if and as we:</w:t>
      </w:r>
    </w:p>
    <w:p>
      <w:pPr>
        <w:spacing w:after="0" w:line="104" w:lineRule="exact"/>
        <w:rPr>
          <w:sz w:val="20"/>
          <w:szCs w:val="20"/>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initiate clinical trials of our product candidates, including our BEACON-101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continue our research programs and our preclinical development of product candidates from our research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additional product candidates we identify and develop;</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 and provide reimbursement of third-party expenses related to our patent portfolio;</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medicines for which we may obtain marketing approval;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further develop our base editing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further develop delivery technology for our base editors, including the LNP technology we acquired through our acquisition of Guide;</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continue to hire additional personnel including research and development, clinical and commercial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2" w:name="page123"/>
    <w:bookmarkEnd w:id="122"/>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acquire or in-license products, intellectual property, medicines and technologies;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build, maintain, and operate a commercial-scale cGMP manufacturing facility.</w:t>
      </w:r>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expect that our cash, cash equivalents at December 31, 2021 will enable us to fund our current and planned operating expenses and capital expenditures for at least the twelve calendar months beginning January 1, 2022 and beyond such twelve-month period. We have based these estimates on assumptions that may prove to be imprecise, and we may exhaust our available capital resources sooner that we currently expect. 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104" w:lineRule="exact"/>
        <w:rPr>
          <w:sz w:val="20"/>
          <w:szCs w:val="20"/>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 of continuing to build our base editing platform;</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of acquiring licenses for the delivery modalities that will be used with our product candidates;</w:t>
      </w:r>
    </w:p>
    <w:p>
      <w:pPr>
        <w:spacing w:after="0" w:line="103"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preclinical development, laboratory testing, manufacturing and clinical trials for the product candidates we may develop;</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develop;</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success of our license agreements and our collaborations;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are a party to or may become a party to;</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payment of success liabilities to Harvard and Broad Institute pursuant to the respective terms of the Harvard License Agreement and the Broad Institute License Agreement, should we choose to pay in cash;</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extent to which we acquire or in-license products, intellectual property, and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costs of obtaining, building, operating and expanding our manufacturing capacity;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impacts of the COVID-19 pandemic and our response to it.</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w:t>
      </w:r>
    </w:p>
    <w:p>
      <w:pPr>
        <w:spacing w:after="0" w:line="56"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capital. We have historically relied on equity issuances to fund our capital needs and will likely rely on equity issuances in the future. Debt financing, if available, may involve agreements that include covenants limiting or restricting our ability to take specific actions, such as incurring additional debt, making capital expenditures, or declaring dividends.</w:t>
      </w:r>
    </w:p>
    <w:p>
      <w:pPr>
        <w:spacing w:after="0" w:line="81" w:lineRule="exact"/>
        <w:rPr>
          <w:sz w:val="20"/>
          <w:szCs w:val="20"/>
          <w:color w:val="auto"/>
        </w:rPr>
      </w:pPr>
    </w:p>
    <w:p>
      <w:pPr>
        <w:ind w:firstLine="4"/>
        <w:spacing w:after="0" w:line="276" w:lineRule="auto"/>
        <w:rPr>
          <w:sz w:val="20"/>
          <w:szCs w:val="20"/>
          <w:color w:val="auto"/>
        </w:rPr>
      </w:pPr>
      <w:r>
        <w:rPr>
          <w:rFonts w:ascii="Arial" w:cs="Arial" w:eastAsia="Arial" w:hAnsi="Arial"/>
          <w:sz w:val="16"/>
          <w:szCs w:val="16"/>
          <w:color w:val="auto"/>
        </w:rPr>
        <w:t>If we raise capital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capital through equity or debt financings when needed, we may be required to delay, limit, reduce, or terminate our product development or, if approved,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We lease certain assets under noncancelable operating and finance leases, which expire through 2034. The leases relate primarily to office space and laboratory space in addition to equipment. Aggregate future minimum commitments under these office and laboratory leases and equipment leases are $204.6 million and $5.2 million, respectively, as of December 31, 2021, excluding any related common area maintenance charges or real estate taxes.</w:t>
      </w:r>
    </w:p>
    <w:p>
      <w:pPr>
        <w:spacing w:after="0" w:line="3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August 2021, we executed a lease amendment to our April 2019 lease for office and laboratory space in Cambridge, Massachusetts to occupy additional space. The term of this lease will run concurrent with the term of the April 2019 lease. The initial estimate of the minimum amount of undiscounted lease payments due under this lease is $11.1 million which is not included in the aggregate future minimum lease commitments amounts discussed above.</w:t>
      </w:r>
    </w:p>
    <w:p>
      <w:pPr>
        <w:spacing w:after="0" w:line="3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 addition, the aggregate future minimum lease commitments amounts discussed above do not include our lease agreement with Alexandria Real Estate Equities, Inc. to build a 100,000 square foot manufacturing facility in Research Triangle Park, North Carolina. The initial estimate of minimum amount of undiscounted lease payments due under this lease is $69.0 million, which is expected to be paid over a lease term of 15 years.</w:t>
      </w:r>
    </w:p>
    <w:p>
      <w:pPr>
        <w:spacing w:after="0" w:line="5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May 2021, the first success payment measurements under the Harvard License Agreement and Broad License Agreement occurred and success payments to Harvard and Broad Institute were calculated to be $15.0 million and $15.0 million, respectively. We elected to make each payment in shares of our common stock and issued 174,825 shares of our common stock to each of Harvard and Broad Institute to settle these liabilities in June 2021. The remaining success payment obligations are still outstanding as of December 31, 2021. We may additionally owe Harvard and Broad Institute success payments of up to an additional $90.0 million each.</w:t>
      </w:r>
    </w:p>
    <w:p>
      <w:pPr>
        <w:spacing w:after="0" w:line="8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aggregate future minimum commitments amounts discussed above also do not include potential milestone and success fees, non-royalty sublicense income fees, royalty fees, licensing maintenance fees, and reimbursement of patent maintenance costs that we may be required to pay under agreements we have entered into with certain institutions to license intellectual property. Our agreements to license intellectual property include potential milestone payments that are dependent upon the development of products using the intellectual property licensed under the agreements and contingent upon the achievement of development or regulatory approval milestones, as well as commercial and success payment milestones. We have not included such amounts in the aggregate future minimum commitments amounts discussed above because they are contingent upon the occurrence of future events and the timing and likelihood of such potential obligations are not known with certainty.</w:t>
      </w:r>
    </w:p>
    <w:p>
      <w:pPr>
        <w:spacing w:after="0" w:line="7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In addition, we agreed to pay Guide’s former stockholders and optionholders up to an additional $100.0 million in technology milestone payments and $220.0 million in product milestone payments, payable in our common stock valued using the volume-weighted average price of our common stock over the ten-day trading period ending two trading days prior to the date on which the applicable milestone is received. The amounts discussed above do not include such payments because they are contingent upon the occurrence of future events and the timing and likelihood of such potential obligations are not known with certainty.</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Additionally, we enter into contracts in the normal course of business with CROs, CMOs and other vendors to assist in the performance of our research and development activities and other services and products for operating purposes. These contracts generally provide for termination on notice, and therefore are cancelable contracts and not included in the aggregate future minimum commitments amounts discussed above.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0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we have prepared in accordance with U.S. generally accepted accounting principles. The preparation of these financial statements requires us to make estimates, judgments and assumptions that affect the reported amounts of assets, liabilities,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7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 xml:space="preserve">While our significant accounting policies are described in more detail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in this Annual Report on Form 10-K, we believe that the following accounting policies are those most critical to the judgments and estimates used in the preparation of our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 xml:space="preserve">We recognize revenue in accordance with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its related amendments, or, collectively, ASC 606.</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24" w:name="page125"/>
    <w:bookmarkEnd w:id="124"/>
    <w:p>
      <w:pPr>
        <w:spacing w:after="0" w:line="255" w:lineRule="auto"/>
        <w:rPr>
          <w:sz w:val="20"/>
          <w:szCs w:val="20"/>
          <w:color w:val="auto"/>
        </w:rPr>
      </w:pPr>
      <w:r>
        <w:rPr>
          <w:rFonts w:ascii="Arial" w:cs="Arial" w:eastAsia="Arial" w:hAnsi="Arial"/>
          <w:sz w:val="17"/>
          <w:szCs w:val="17"/>
          <w:color w:val="auto"/>
        </w:rPr>
        <w:t>At inception, we determine whether contracts are within the scope of ASC 606 or other topics. For contracts that are determined to be within the scope of ASC 606, revenue is recognized when a customer obtains control of promised goods or services. The amount of revenue recognized reflects the consideration to which we expect to be entitled to receive in exchange for these goods and services. To achieve this core principle, we apply the following five steps (i) identify the contract with the customer; (ii) identify the performance obligations in the contract; (iii) determine the transaction price; (iv) allocate the transaction price to the performance obligations in the contract; and (v) recognize revenue when the performance obligation is satisfied. We only apply the five-step model to contracts when we determine that collection of substantially all consideration for goods and services that are transferred is probable based on the customer’s intent and ability to pay the promised consideration.</w:t>
      </w:r>
    </w:p>
    <w:p>
      <w:pPr>
        <w:spacing w:after="0" w:line="72" w:lineRule="exact"/>
        <w:rPr>
          <w:sz w:val="20"/>
          <w:szCs w:val="20"/>
          <w:color w:val="auto"/>
        </w:rPr>
      </w:pPr>
    </w:p>
    <w:p>
      <w:pPr>
        <w:jc w:val="both"/>
        <w:ind w:right="80"/>
        <w:spacing w:after="0" w:line="262" w:lineRule="auto"/>
        <w:rPr>
          <w:sz w:val="20"/>
          <w:szCs w:val="20"/>
          <w:color w:val="auto"/>
        </w:rPr>
      </w:pPr>
      <w:r>
        <w:rPr>
          <w:rFonts w:ascii="Arial" w:cs="Arial" w:eastAsia="Arial" w:hAnsi="Arial"/>
          <w:sz w:val="17"/>
          <w:szCs w:val="17"/>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we apply judgment to determine whether promised goods and services are both capable of being distinct and are distinct in the context of the contract. If these criteria are not met, the promised goods and services are accounted for as a combined performance obligation.</w:t>
      </w:r>
    </w:p>
    <w:p>
      <w:pPr>
        <w:spacing w:after="0" w:line="6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 and is discussed in further detail for each of our license and collaboration agreements in Note 10, </w:t>
      </w:r>
      <w:r>
        <w:rPr>
          <w:rFonts w:ascii="Arial" w:cs="Arial" w:eastAsia="Arial" w:hAnsi="Arial"/>
          <w:sz w:val="18"/>
          <w:szCs w:val="18"/>
          <w:i w:val="1"/>
          <w:iCs w:val="1"/>
          <w:color w:val="auto"/>
        </w:rPr>
        <w:t>Collaboration and license agreements,</w:t>
      </w:r>
      <w:r>
        <w:rPr>
          <w:rFonts w:ascii="Arial" w:cs="Arial" w:eastAsia="Arial" w:hAnsi="Arial"/>
          <w:sz w:val="18"/>
          <w:szCs w:val="18"/>
          <w:color w:val="auto"/>
        </w:rPr>
        <w:t xml:space="preserve"> to our consolidated financial statements in this Annual Report on Form 10-K, or Note 10.</w:t>
      </w:r>
    </w:p>
    <w:p>
      <w:pPr>
        <w:spacing w:after="0" w:line="8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Determining the standalone selling price requires significant judgment and is discussed in further detail for each of our license and collaboration agreements in Note 10.</w:t>
      </w:r>
    </w:p>
    <w:p>
      <w:pPr>
        <w:spacing w:after="0" w:line="8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satisfy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6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timing of when services are performed and the occurrence of external costs associated with the programs under the collaboration agreements could impact how revenue is recognized in a certain period.</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Licenses of intellectual property, or IP: If the license to our IP is determined to be distinct from the other performance obligations identified in the arrangement, we recognize revenues from consideration allocated to the license when the license is transferred to the customer and the customer can use and benefit from the licenses.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 the measure of performance and related revenue recognition. Determining the revenue recognition of IP licenses requires significant judgment and is discussed in further detail for each of our license and collaboration agreements in Note 10</w:t>
      </w:r>
      <w:r>
        <w:rPr>
          <w:rFonts w:ascii="Arial" w:cs="Arial" w:eastAsia="Arial" w:hAnsi="Arial"/>
          <w:sz w:val="17"/>
          <w:szCs w:val="17"/>
          <w:i w:val="1"/>
          <w:iCs w:val="1"/>
          <w:color w:val="auto"/>
        </w:rPr>
        <w:t>.</w:t>
      </w:r>
    </w:p>
    <w:p>
      <w:pPr>
        <w:spacing w:after="0" w:line="7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Milestone payments: At the inception of each arrangement that includes development or regulatory milestone payments, we evaluate the probability of reaching the milestones and estimate the amount to be included in the transaction price using the most likely amount method. If it is probable that a significant revenue reversal would not occur in the future, the associated milestone value is included in the transaction price. Milestone payments that are not within our control or the licensee’s, such as regulatory approvals, are not considered probable of being achieved until those approvals are received and therefore revenue recognized is constrained as management is unable to assert that a reversal of revenue would not be possible. The transaction price is then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 To date, we have not recognized any milestone revenue resulting from any of our agreements.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25" w:name="page126"/>
    <w:bookmarkEnd w:id="125"/>
    <w:p>
      <w:pPr>
        <w:ind w:right="100"/>
        <w:spacing w:after="0" w:line="243" w:lineRule="auto"/>
        <w:rPr>
          <w:sz w:val="20"/>
          <w:szCs w:val="20"/>
          <w:color w:val="auto"/>
        </w:rPr>
      </w:pPr>
      <w:r>
        <w:rPr>
          <w:rFonts w:ascii="Arial" w:cs="Arial" w:eastAsia="Arial" w:hAnsi="Arial"/>
          <w:sz w:val="18"/>
          <w:szCs w:val="18"/>
          <w:color w:val="auto"/>
        </w:rPr>
        <w:t>Commercial Milestone Payments and Royalties: For arrangements that include sales-based royalties, including milestone payments based on levels of sales, if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agreements.</w:t>
      </w:r>
    </w:p>
    <w:p>
      <w:pPr>
        <w:spacing w:after="0" w:line="80"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When no performance obligations are required of us,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and collaboration revenue.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expected to be recognized within the next twelve months is classified as a current liability.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Acquisitions</w:t>
      </w:r>
    </w:p>
    <w:p>
      <w:pPr>
        <w:spacing w:after="0" w:line="10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In 2018, we adopted ASU 2017-01, </w:t>
      </w:r>
      <w:r>
        <w:rPr>
          <w:rFonts w:ascii="Arial" w:cs="Arial" w:eastAsia="Arial" w:hAnsi="Arial"/>
          <w:sz w:val="18"/>
          <w:szCs w:val="18"/>
          <w:i w:val="1"/>
          <w:iCs w:val="1"/>
          <w:color w:val="auto"/>
        </w:rPr>
        <w:t>Business Combinations</w:t>
      </w:r>
      <w:r>
        <w:rPr>
          <w:rFonts w:ascii="Arial" w:cs="Arial" w:eastAsia="Arial" w:hAnsi="Arial"/>
          <w:sz w:val="18"/>
          <w:szCs w:val="18"/>
          <w:color w:val="auto"/>
        </w:rPr>
        <w:t>, or ASU 2017-01, which clarified the definition of a business. We measure and recognize asset acquisitions that are not deemed to be business combinations based on the cost to acquire the assets, which includes transaction costs, and the consideration is allocated to the items acquired based on a relative fair value methodology. Goodwill is not recognized in asset acquisitions. In an asset acquisition, the cost allocated to acquire in-process research and development with no alternative future use is charged to research and development expense at the acquisition date.</w:t>
      </w:r>
    </w:p>
    <w:p>
      <w:pPr>
        <w:spacing w:after="0" w:line="81" w:lineRule="exact"/>
        <w:rPr>
          <w:sz w:val="20"/>
          <w:szCs w:val="20"/>
          <w:color w:val="auto"/>
        </w:rPr>
      </w:pPr>
    </w:p>
    <w:p>
      <w:pPr>
        <w:ind w:right="1800"/>
        <w:spacing w:after="0" w:line="360" w:lineRule="auto"/>
        <w:rPr>
          <w:sz w:val="20"/>
          <w:szCs w:val="20"/>
          <w:color w:val="auto"/>
        </w:rPr>
      </w:pPr>
      <w:r>
        <w:rPr>
          <w:rFonts w:ascii="Arial" w:cs="Arial" w:eastAsia="Arial" w:hAnsi="Arial"/>
          <w:sz w:val="18"/>
          <w:szCs w:val="18"/>
          <w:color w:val="auto"/>
        </w:rPr>
        <w:t xml:space="preserve">At the time of acquisition, we determine if a transaction should be accounted for as a business combination or acquisition of assets. </w:t>
      </w:r>
      <w:r>
        <w:rPr>
          <w:rFonts w:ascii="Arial" w:cs="Arial" w:eastAsia="Arial" w:hAnsi="Arial"/>
          <w:sz w:val="18"/>
          <w:szCs w:val="18"/>
          <w:b w:val="1"/>
          <w:bCs w:val="1"/>
          <w:i w:val="1"/>
          <w:iCs w:val="1"/>
          <w:color w:val="auto"/>
        </w:rPr>
        <w:t>Contingent Consideration Liabilities</w:t>
      </w:r>
    </w:p>
    <w:p>
      <w:pPr>
        <w:ind w:right="20"/>
        <w:spacing w:after="0" w:line="238" w:lineRule="auto"/>
        <w:rPr>
          <w:sz w:val="20"/>
          <w:szCs w:val="20"/>
          <w:color w:val="auto"/>
        </w:rPr>
      </w:pPr>
      <w:r>
        <w:rPr>
          <w:rFonts w:ascii="Arial" w:cs="Arial" w:eastAsia="Arial" w:hAnsi="Arial"/>
          <w:sz w:val="18"/>
          <w:szCs w:val="18"/>
          <w:color w:val="auto"/>
        </w:rPr>
        <w:t xml:space="preserve">We may be required to make milestone payments to the former stockholders and optionholders of Guide in the form of our common stock based on the achievement of certain product and technology milestones. The payments are accounted for under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These contingent consideration liabilities are carried at fair value which was estimated by applying a probability-based model, which utilized inputs primarily based upon the achievement and related timing of certain product and technology milestones that were unobservable in the market. The estimated fair value of contingent consideration liabilities, initially measured and recorded on the acquisition date, are considered to be a Level 3 measurement and are reviewed quarterly, or whenever events or circumstances occur that indicate a change in fair value. The contingent consideration liabilities are recorded at fair value at the end of each reporting period with changes in estimated fair values recorded in other income (expense) in the consolidated statements of operations and other comprehensive loss.</w:t>
      </w:r>
    </w:p>
    <w:p>
      <w:pPr>
        <w:spacing w:after="0" w:line="8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estimated fair value is determined based on probability adjusted discounted cash flow models that include significant estimates and assumptions pertaining to technology and product development. Significant changes in any of the probabilities of success would result in a significantly higher or lower fair value measurement. Significant changes in the probabilities as to the periods in which milestones will be achieved would result in a significantly lower or higher fair value measurement.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Success payments</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We are required to make success payments to Harvard and Broad Institute based on increases in the per share fair market value of our Series A-1 Preferred Stock and Series A-2 Preferred Stock or, subsequent to our IPO, our common stock. Any amounts due may be settled in cash or shares of our common stock, at our discretion. The success payments are accounted for under Accounting Standards Codification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were initially recorded at fair value with a corresponding charge to research and development expense. The liabilities are marked to market at each balance sheet date with all changes in value recognized in interest and other income (expense) in the consolidated statement of operations and other comprehensive loss. We will continue to adjust the liability for changes in fair value until the earlier of the achievement or expiration of the success payment obligation. To determine the estimated fair value of the success payments, we used a Monte Carlo simulation model, which models the value of the liability based on several key variables, including probability of event occurrence, timing of event occurrence, as well as the price per share at the time of success payment. A significant change in our stock price or volatility could have a significant impact on the value of the liability.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0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 vendors in connection with preclinical development activities and vendors related to development, manufacturing and distribution of product candidate materials.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6" w:name="page127"/>
    <w:bookmarkEnd w:id="126"/>
    <w:p>
      <w:pPr>
        <w:ind w:right="40"/>
        <w:spacing w:after="0" w:line="241" w:lineRule="auto"/>
        <w:rPr>
          <w:sz w:val="20"/>
          <w:szCs w:val="20"/>
          <w:color w:val="auto"/>
        </w:rPr>
      </w:pPr>
      <w:r>
        <w:rPr>
          <w:rFonts w:ascii="Arial" w:cs="Arial" w:eastAsia="Arial" w:hAnsi="Arial"/>
          <w:sz w:val="18"/>
          <w:szCs w:val="18"/>
          <w:color w:val="auto"/>
        </w:rPr>
        <w:t>We base our expenses related to preclinical studies on our estimates of the services received and efforts expended pursuant to contracts with multiple vendors that conduct and manage preclinical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and adjust accordingly.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measure stock options and other stock-based awards granted to our employees, directors, consultants or founders based upon their fair value on the date of the grant and recognize stock-based compensation expense over the requisite service period, which is generally the vesting period of the respective award. We recognize forfeitures as they occur.</w:t>
      </w:r>
    </w:p>
    <w:p>
      <w:pPr>
        <w:spacing w:after="0" w:line="7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majority of our stock-based compensation awards are subject to service-based vesting conditions. We apply the straight-line method of expense recognition to all awards with service-based vesting. We also have performance-based awards, where stock-based compensation expense is recognized over the service period using the accelerated attribution method to the extent achievement of the of performance condition is probable.</w:t>
      </w:r>
    </w:p>
    <w:p>
      <w:pPr>
        <w:spacing w:after="0" w:line="5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estimate the fair value of each stock option grant on the date of grant using the Black-Scholes option-pricing model, which uses inputs such as the fair value of our common stock, assumptions we make for the volatility of our common stock, the expected term of our stock options, the risk-free interest rate for a period that approximates the expected term of our stock options and our expected dividend yield. The fair value of our common stock is used to determine the fair value of restricted stock awards.</w:t>
      </w:r>
    </w:p>
    <w:p>
      <w:pPr>
        <w:spacing w:after="0" w:line="80"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Prior to our IPO in February 2020, there was no public market for our common stock. As a result, prior to our IPO,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Following our IPO, the fair value of our common stock is determined based on the quoted market price of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On January 1, 2019, we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or ASC 842, which requires the recognition of the right-of-use assets and related operating and finance lease liabilities on the balance sheet.</w:t>
      </w:r>
    </w:p>
    <w:p>
      <w:pPr>
        <w:spacing w:after="0" w:line="6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For contracts entered into on or after the effective date, at the inception of a contract, we assess whether the contract is, or contains, a lease. The assessment is based on: (1) whether the contract involves the use of a distinct identified asset, (2) whether we obtain the right to substantially all the economic benefit from the use of the asset throughout the period, and (3) whether we have the right to direct the use of the asset. At inception of a lease, we allocate the consideration in the contract to each lease component based on its relative stand-alone price to determine the lease payments.</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6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6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 For real estate leases and other operating leases, we use our secured incremental borrowing rate. For finance leases, we use the rate implicit in the lease or our secured incremental borrowing rate if the implicit lease rate cannot be determined.</w:t>
      </w:r>
    </w:p>
    <w:p>
      <w:pPr>
        <w:spacing w:after="0" w:line="5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7" w:name="page128"/>
    <w:bookmarkEnd w:id="127"/>
    <w:p>
      <w:pPr>
        <w:ind w:right="140"/>
        <w:spacing w:after="0" w:line="259" w:lineRule="auto"/>
        <w:rPr>
          <w:sz w:val="20"/>
          <w:szCs w:val="20"/>
          <w:color w:val="auto"/>
        </w:rPr>
      </w:pPr>
      <w:r>
        <w:rPr>
          <w:rFonts w:ascii="Arial" w:cs="Arial" w:eastAsia="Arial" w:hAnsi="Arial"/>
          <w:sz w:val="17"/>
          <w:szCs w:val="17"/>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66"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Leasehold improvements are not unique and are retained by the lessor at the end of the lease. However, in the case of a space designed to be suitable for our specific real estate needs and if we are responsible for cost overruns, we are the accounting owner of the leasehold improvements.</w:t>
      </w:r>
    </w:p>
    <w:p>
      <w:pPr>
        <w:spacing w:after="0" w:line="39"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We made an accounting policy election to not recognize leases with an initial term of 12 months or less within our consolidated balance sheets and to recognize those lease payments on a straight-line basis in our consolidated statements of income over the lease term.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We are exposed to market risk related to changes in interest rates. As of December 31, 2021, we had cash, cash equivalents and marketable securities of</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$965.6 million, which consisted of cash, money market funds, commercial paper, corporate notes and a corporate equity security.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71" w:lineRule="exact"/>
        <w:rPr>
          <w:sz w:val="20"/>
          <w:szCs w:val="20"/>
          <w:color w:val="auto"/>
        </w:rPr>
      </w:pPr>
    </w:p>
    <w:p>
      <w:pPr>
        <w:jc w:val="both"/>
        <w:ind w:right="240"/>
        <w:spacing w:after="0" w:line="270"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spacing w:after="0" w:line="5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Inflation generally affects us by increasing our cost of labor and research, manufacturing and development costs. We believe that inflation has not had a material effect on our financial statements included elsewhere in this Annual Report on Form 10-K. However, our operations may be adversely affected by inflation in the future.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8"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 xml:space="preserve">The financial statements required to be filed pursuant to this Item 8 are appended to this Annual Report on Form 10-K. An index of those financial statements is found in Item 15, </w:t>
      </w:r>
      <w:r>
        <w:rPr>
          <w:rFonts w:ascii="Arial" w:cs="Arial" w:eastAsia="Arial" w:hAnsi="Arial"/>
          <w:sz w:val="18"/>
          <w:szCs w:val="18"/>
          <w:i w:val="1"/>
          <w:iCs w:val="1"/>
          <w:color w:val="auto"/>
        </w:rPr>
        <w:t>Exhibits and Financial Statement Schedules</w:t>
      </w:r>
      <w:r>
        <w:rPr>
          <w:rFonts w:ascii="Arial" w:cs="Arial" w:eastAsia="Arial" w:hAnsi="Arial"/>
          <w:sz w:val="18"/>
          <w:szCs w:val="18"/>
          <w:color w:val="auto"/>
        </w:rPr>
        <w:t>, of this Annual Report on Form 10-K.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0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December 31, 2021,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Based on that evaluation of our disclosure controls and procedures as of December 31, 2021, our principal executive officer and principal financial officer concluded that our disclosure controls and procedures as of such date were effective at the reasonable assurance level.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i w:val="1"/>
          <w:iCs w:val="1"/>
          <w:color w:val="auto"/>
        </w:rPr>
        <w:t>Management’s Report on Internal Controls over Financial Reporting</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policies and procedures that:</w:t>
      </w:r>
    </w:p>
    <w:p>
      <w:pPr>
        <w:spacing w:after="0" w:line="66" w:lineRule="exact"/>
        <w:rPr>
          <w:sz w:val="20"/>
          <w:szCs w:val="20"/>
          <w:color w:val="auto"/>
        </w:rPr>
      </w:pPr>
    </w:p>
    <w:p>
      <w:pPr>
        <w:ind w:left="760" w:hanging="378"/>
        <w:spacing w:after="0"/>
        <w:tabs>
          <w:tab w:leader="none" w:pos="7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15" w:lineRule="exact"/>
        <w:rPr>
          <w:rFonts w:ascii="Arial" w:cs="Arial" w:eastAsia="Arial" w:hAnsi="Arial"/>
          <w:sz w:val="17"/>
          <w:szCs w:val="17"/>
          <w:color w:val="auto"/>
        </w:rPr>
      </w:pPr>
    </w:p>
    <w:p>
      <w:pPr>
        <w:ind w:left="760" w:right="260" w:hanging="378"/>
        <w:spacing w:after="0" w:line="248"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3" w:lineRule="exact"/>
        <w:rPr>
          <w:rFonts w:ascii="Arial" w:cs="Arial" w:eastAsia="Arial" w:hAnsi="Arial"/>
          <w:sz w:val="18"/>
          <w:szCs w:val="18"/>
          <w:color w:val="auto"/>
        </w:rPr>
      </w:pPr>
    </w:p>
    <w:p>
      <w:pPr>
        <w:ind w:left="760" w:right="320" w:hanging="378"/>
        <w:spacing w:after="0" w:line="261" w:lineRule="auto"/>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We continue to review our internal control over financial reporting and may from time to time make changes aimed at enhancing their effectiveness and to ensure that our systems evolve with our business.</w:t>
      </w:r>
    </w:p>
    <w:p>
      <w:pPr>
        <w:spacing w:after="0" w:line="6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 — Integrated Framework (2013)” issued by the Committee of Sponsoring Organizations of the Treadway Commission. Based on this assessment, our senior management has concluded that the internal control over financial reporting was effective as of December 31, 2021.</w:t>
      </w:r>
    </w:p>
    <w:p>
      <w:pPr>
        <w:spacing w:after="0" w:line="6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independent registered public accounting firm, Deloitte &amp; Touche LLP, issued an attestation report on our internal control over financial reporting. See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0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We continuously seek to improve the efficiency and effectiveness of our internal controls. This results in refinements to processes throughout our company. There were no changes in our internal control over financial reporting (as defined in Rules 13a-15(f) and 15d-15(f) under the Exchange Act) during the year ended December 31, 2021 that have materially affected, or are reasonably likely to materially affect, our internal control over financial reporting. During the year ended December 31, 2021, we have not experienced any material impact in our internal controls over financial reporting despite our employees working remotely due to the COVID-19 pandemic. We are continually monitoring and assessing the COVID-19 pandemic to determine any potential impacts on our internal controls over financial reporting including changes to their design and operating effectiveness.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29" w:name="page130"/>
    <w:bookmarkEnd w:id="129"/>
    <w:p>
      <w:pPr>
        <w:ind w:right="2500" w:firstLine="2535"/>
        <w:spacing w:after="0" w:line="3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Beam Therapeutics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 xml:space="preserve">We have audited the internal control over financial reporting of Beam Therapeutics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64"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28, 2022, expressed an unqualified opinion on those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information required by this Item 10 will be included in our definitive proxy statement to be filed with the Securities and Exchange Commission, or SEC, with respect to our 2022 Annual Meeting of Stockholders and is incorporated herein by reference.</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adopted a written code of business conduct and ethics, or Code, that applies to all of our directors, officers and employees, including our principal executive officer, principal financial officer, principal accounting officer or controller, or persons performing similar functions. A current copy of the Code is available on the investor section of our website at investors.beamtx.com. We intend to disclose on our website any amendments to, or waivers from, our Code that are required to be disclosed pursuant to SEC rules.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right="660"/>
        <w:spacing w:after="0" w:line="291" w:lineRule="auto"/>
        <w:rPr>
          <w:sz w:val="20"/>
          <w:szCs w:val="20"/>
          <w:color w:val="auto"/>
        </w:rPr>
      </w:pPr>
      <w:r>
        <w:rPr>
          <w:rFonts w:ascii="Arial" w:cs="Arial" w:eastAsia="Arial" w:hAnsi="Arial"/>
          <w:sz w:val="17"/>
          <w:szCs w:val="17"/>
          <w:color w:val="auto"/>
        </w:rPr>
        <w:t>The information required by this Item 11 will be included in the section captioned “Executive and Director Compensation” in our definitive proxy statement to be filed with the SEC with respect to our 2022 Annual Meeting of Stockholders and is incorporated herein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color w:val="auto"/>
        </w:rPr>
        <w:t>The information required by this Item 12 will be included in the sections captioned “Security Ownership of Certain Beneficial Owners and Management” and “Securities Authorized for Issuance under Equity Compensation Plans” in our definitive proxy statement to be filed with the SEC with respect to our 2022 Annual Meeting of Stockholders and is incorporated herein by reference.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information required by this Item 13 will be included in the sections captioned “Certain Relationship and Related Person Transactions” and “Director Independence” in our definitive proxy statement to be filed with the SEC with respect to our 2022 Annual Meeting of Stockholders and is incorporated herein by reference.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information required by this Item 14 will be included in the sections captioned “Principal Accountant Fees and Services” and “Pre-Approval by Audit Committee of Principal Accountant Services” in our definitive proxy statement to be filed with the SEC with respect to our 2022 Annual Meeting of Stockholders and is incorporated herein by reference.</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131" w:name="page132"/>
    <w:bookmarkEnd w:id="131"/>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Financial Statements</w:t>
      </w:r>
    </w:p>
    <w:p>
      <w:pPr>
        <w:spacing w:after="0" w:line="10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For a list of the financial statements included herein, see </w:t>
      </w:r>
      <w:r>
        <w:rPr>
          <w:rFonts w:ascii="Arial" w:cs="Arial" w:eastAsia="Arial" w:hAnsi="Arial"/>
          <w:sz w:val="18"/>
          <w:szCs w:val="18"/>
          <w:i w:val="1"/>
          <w:iCs w:val="1"/>
          <w:color w:val="auto"/>
        </w:rPr>
        <w:t>Index to the Consolidated Financial Statements</w:t>
      </w:r>
      <w:r>
        <w:rPr>
          <w:rFonts w:ascii="Arial" w:cs="Arial" w:eastAsia="Arial" w:hAnsi="Arial"/>
          <w:sz w:val="18"/>
          <w:szCs w:val="18"/>
          <w:color w:val="auto"/>
        </w:rPr>
        <w:t xml:space="preserve"> on page F-1 of this Annual Report on Form 10-K, incorporated into this Item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Financial Statement Schedules</w:t>
      </w:r>
    </w:p>
    <w:p>
      <w:pPr>
        <w:spacing w:after="0" w:line="10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Financial statement schedules have been omitted because they are either not required or not applicable or the information is included in the consolidated financial statements or the notes thereto.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Exhibits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gridSpan w:val="25"/>
            <w:vMerge w:val="restart"/>
          </w:tcPr>
          <w:p>
            <w:pPr>
              <w:ind w:left="26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File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85"/>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25"/>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04"/>
        </w:trPr>
        <w:tc>
          <w:tcPr>
            <w:tcW w:w="820" w:type="dxa"/>
            <w:vAlign w:val="bottom"/>
          </w:tcPr>
          <w:p>
            <w:pPr>
              <w:ind w:left="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5160" w:type="dxa"/>
            <w:vAlign w:val="bottom"/>
            <w:tcBorders>
              <w:bottom w:val="single" w:sz="8" w:color="0000FF"/>
            </w:tcBorders>
            <w:gridSpan w:val="25"/>
          </w:tcPr>
          <w:p>
            <w:pPr>
              <w:spacing w:after="0"/>
              <w:rPr>
                <w:rFonts w:ascii="Arial" w:cs="Arial" w:eastAsia="Arial" w:hAnsi="Arial"/>
                <w:sz w:val="18"/>
                <w:szCs w:val="18"/>
                <w:color w:val="0000FF"/>
                <w:w w:val="90"/>
              </w:rPr>
            </w:pPr>
            <w:hyperlink r:id="rId166">
              <w:r>
                <w:rPr>
                  <w:rFonts w:ascii="Arial" w:cs="Arial" w:eastAsia="Arial" w:hAnsi="Arial"/>
                  <w:sz w:val="18"/>
                  <w:szCs w:val="18"/>
                  <w:color w:val="0000FF"/>
                  <w:w w:val="90"/>
                </w:rPr>
                <w:t>Agreement and Plan of Merger, dated February 22, 2021, among Beam</w:t>
              </w:r>
            </w:hyperlink>
          </w:p>
        </w:tc>
        <w:tc>
          <w:tcPr>
            <w:tcW w:w="2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03/15/2021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20" w:type="dxa"/>
            <w:vAlign w:val="bottom"/>
            <w:tcBorders>
              <w:bottom w:val="single" w:sz="8" w:color="0000FF"/>
            </w:tcBorders>
            <w:gridSpan w:val="33"/>
          </w:tcPr>
          <w:p>
            <w:pPr>
              <w:spacing w:after="0" w:line="156" w:lineRule="exact"/>
              <w:rPr>
                <w:rFonts w:ascii="Arial" w:cs="Arial" w:eastAsia="Arial" w:hAnsi="Arial"/>
                <w:sz w:val="18"/>
                <w:szCs w:val="18"/>
                <w:color w:val="0000FF"/>
                <w:w w:val="93"/>
              </w:rPr>
            </w:pPr>
            <w:hyperlink r:id="rId166">
              <w:r>
                <w:rPr>
                  <w:rFonts w:ascii="Arial" w:cs="Arial" w:eastAsia="Arial" w:hAnsi="Arial"/>
                  <w:sz w:val="18"/>
                  <w:szCs w:val="18"/>
                  <w:color w:val="0000FF"/>
                  <w:w w:val="93"/>
                </w:rPr>
                <w:t>Therapeutics Inc., Galileo Merger Sub I, Inc., Galileo Merger Sub II, LLC,</w:t>
              </w:r>
            </w:hyperlink>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20" w:type="dxa"/>
            <w:vAlign w:val="bottom"/>
            <w:gridSpan w:val="33"/>
          </w:tcPr>
          <w:p>
            <w:pPr>
              <w:spacing w:after="0" w:line="156" w:lineRule="exact"/>
              <w:rPr>
                <w:rFonts w:ascii="Arial" w:cs="Arial" w:eastAsia="Arial" w:hAnsi="Arial"/>
                <w:sz w:val="18"/>
                <w:szCs w:val="18"/>
                <w:color w:val="0000FF"/>
                <w:w w:val="92"/>
              </w:rPr>
            </w:pPr>
            <w:hyperlink r:id="rId166">
              <w:r>
                <w:rPr>
                  <w:rFonts w:ascii="Arial" w:cs="Arial" w:eastAsia="Arial" w:hAnsi="Arial"/>
                  <w:sz w:val="18"/>
                  <w:szCs w:val="18"/>
                  <w:color w:val="0000FF"/>
                  <w:w w:val="92"/>
                </w:rPr>
                <w:t>Guide Therapeutics, Inc. (“Guide”), Shareholder Representative Services</w:t>
              </w:r>
            </w:hyperlink>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LLC, and the Guide Holders Signatory thereto</w:t>
              </w:r>
            </w:hyperlink>
          </w:p>
        </w:tc>
        <w:tc>
          <w:tcPr>
            <w:tcW w:w="20" w:type="dxa"/>
            <w:vAlign w:val="bottom"/>
            <w:tcBorders>
              <w:top w:val="single" w:sz="8" w:color="0000FF"/>
              <w:bottom w:val="single" w:sz="8" w:color="0000EE"/>
            </w:tcBorders>
          </w:tcPr>
          <w:p>
            <w:pPr>
              <w:spacing w:after="0"/>
              <w:rPr>
                <w:sz w:val="13"/>
                <w:szCs w:val="13"/>
                <w:color w:val="auto"/>
              </w:rPr>
            </w:pPr>
          </w:p>
        </w:tc>
        <w:tc>
          <w:tcPr>
            <w:tcW w:w="194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5200" w:type="dxa"/>
            <w:vAlign w:val="bottom"/>
            <w:tcBorders>
              <w:bottom w:val="single" w:sz="8" w:color="0000FF"/>
            </w:tcBorders>
            <w:gridSpan w:val="27"/>
          </w:tcPr>
          <w:p>
            <w:pPr>
              <w:spacing w:after="0"/>
              <w:rPr>
                <w:rFonts w:ascii="Arial" w:cs="Arial" w:eastAsia="Arial" w:hAnsi="Arial"/>
                <w:sz w:val="18"/>
                <w:szCs w:val="18"/>
                <w:color w:val="0000FF"/>
                <w:w w:val="91"/>
              </w:rPr>
            </w:pPr>
            <w:hyperlink r:id="rId167">
              <w:r>
                <w:rPr>
                  <w:rFonts w:ascii="Arial" w:cs="Arial" w:eastAsia="Arial" w:hAnsi="Arial"/>
                  <w:sz w:val="18"/>
                  <w:szCs w:val="18"/>
                  <w:color w:val="0000FF"/>
                  <w:w w:val="91"/>
                </w:rPr>
                <w:t>Fourth Amended Certificate of Incorporation of Beam Therapeutics Inc.</w:t>
              </w:r>
            </w:hyperlink>
          </w:p>
        </w:tc>
        <w:tc>
          <w:tcPr>
            <w:tcW w:w="2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02/11/2020</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5420" w:type="dxa"/>
            <w:vAlign w:val="bottom"/>
            <w:gridSpan w:val="33"/>
          </w:tcPr>
          <w:p>
            <w:pPr>
              <w:spacing w:after="0"/>
              <w:rPr>
                <w:rFonts w:ascii="Arial" w:cs="Arial" w:eastAsia="Arial" w:hAnsi="Arial"/>
                <w:sz w:val="18"/>
                <w:szCs w:val="18"/>
                <w:color w:val="0000FF"/>
              </w:rPr>
            </w:pPr>
            <w:hyperlink r:id="rId168">
              <w:r>
                <w:rPr>
                  <w:rFonts w:ascii="Arial" w:cs="Arial" w:eastAsia="Arial" w:hAnsi="Arial"/>
                  <w:sz w:val="18"/>
                  <w:szCs w:val="18"/>
                  <w:color w:val="0000FF"/>
                </w:rPr>
                <w:t>Amended and Restated By-laws of Beam Therapeutics Inc.</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02/11/2020</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4520" w:type="dxa"/>
            <w:vAlign w:val="bottom"/>
            <w:tcBorders>
              <w:bottom w:val="single" w:sz="8" w:color="0000FF"/>
            </w:tcBorders>
            <w:gridSpan w:val="19"/>
          </w:tcPr>
          <w:p>
            <w:pPr>
              <w:spacing w:after="0"/>
              <w:rPr>
                <w:rFonts w:ascii="Arial" w:cs="Arial" w:eastAsia="Arial" w:hAnsi="Arial"/>
                <w:sz w:val="18"/>
                <w:szCs w:val="18"/>
                <w:color w:val="0000FF"/>
                <w:w w:val="89"/>
              </w:rPr>
            </w:pPr>
            <w:hyperlink r:id="rId169">
              <w:r>
                <w:rPr>
                  <w:rFonts w:ascii="Arial" w:cs="Arial" w:eastAsia="Arial" w:hAnsi="Arial"/>
                  <w:sz w:val="18"/>
                  <w:szCs w:val="18"/>
                  <w:color w:val="0000FF"/>
                  <w:w w:val="89"/>
                </w:rPr>
                <w:t>Specimen stock certificate evidencing shares of common stock</w:t>
              </w:r>
            </w:hyperlink>
          </w:p>
        </w:tc>
        <w:tc>
          <w:tcPr>
            <w:tcW w:w="20" w:type="dxa"/>
            <w:vAlign w:val="bottom"/>
            <w:tcBorders>
              <w:bottom w:val="single" w:sz="8" w:color="0000EE"/>
            </w:tcBorders>
          </w:tcPr>
          <w:p>
            <w:pPr>
              <w:spacing w:after="0"/>
              <w:rPr>
                <w:sz w:val="24"/>
                <w:szCs w:val="24"/>
                <w:color w:val="auto"/>
              </w:rPr>
            </w:pPr>
          </w:p>
        </w:tc>
        <w:tc>
          <w:tcPr>
            <w:tcW w:w="8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4880" w:type="dxa"/>
            <w:vAlign w:val="bottom"/>
            <w:tcBorders>
              <w:bottom w:val="single" w:sz="8" w:color="0000FF"/>
            </w:tcBorders>
            <w:gridSpan w:val="22"/>
          </w:tcPr>
          <w:p>
            <w:pPr>
              <w:spacing w:after="0"/>
              <w:rPr>
                <w:rFonts w:ascii="Arial" w:cs="Arial" w:eastAsia="Arial" w:hAnsi="Arial"/>
                <w:sz w:val="18"/>
                <w:szCs w:val="18"/>
                <w:color w:val="0000FF"/>
                <w:w w:val="90"/>
              </w:rPr>
            </w:pPr>
            <w:hyperlink r:id="rId170">
              <w:r>
                <w:rPr>
                  <w:rFonts w:ascii="Arial" w:cs="Arial" w:eastAsia="Arial" w:hAnsi="Arial"/>
                  <w:sz w:val="18"/>
                  <w:szCs w:val="18"/>
                  <w:color w:val="0000FF"/>
                  <w:w w:val="90"/>
                </w:rPr>
                <w:t>Amended and Restated Investors’ Rights Agreement, among Beam</w:t>
              </w:r>
            </w:hyperlink>
          </w:p>
        </w:tc>
        <w:tc>
          <w:tcPr>
            <w:tcW w:w="5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40" w:type="dxa"/>
            <w:vAlign w:val="bottom"/>
            <w:tcBorders>
              <w:bottom w:val="single" w:sz="8" w:color="0000FF"/>
            </w:tcBorders>
            <w:gridSpan w:val="29"/>
          </w:tcPr>
          <w:p>
            <w:pPr>
              <w:spacing w:after="0" w:line="156" w:lineRule="exact"/>
              <w:rPr>
                <w:rFonts w:ascii="Arial" w:cs="Arial" w:eastAsia="Arial" w:hAnsi="Arial"/>
                <w:sz w:val="18"/>
                <w:szCs w:val="18"/>
                <w:color w:val="0000FF"/>
                <w:w w:val="89"/>
              </w:rPr>
            </w:pPr>
            <w:hyperlink r:id="rId170">
              <w:r>
                <w:rPr>
                  <w:rFonts w:ascii="Arial" w:cs="Arial" w:eastAsia="Arial" w:hAnsi="Arial"/>
                  <w:sz w:val="18"/>
                  <w:szCs w:val="18"/>
                  <w:color w:val="0000FF"/>
                  <w:w w:val="89"/>
                </w:rPr>
                <w:t>Therapeutics Inc. and the investors party thereto, dated November 8, 2018</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5420" w:type="dxa"/>
            <w:vAlign w:val="bottom"/>
            <w:gridSpan w:val="33"/>
          </w:tcPr>
          <w:p>
            <w:pPr>
              <w:spacing w:after="0"/>
              <w:rPr>
                <w:rFonts w:ascii="Arial" w:cs="Arial" w:eastAsia="Arial" w:hAnsi="Arial"/>
                <w:sz w:val="18"/>
                <w:szCs w:val="18"/>
                <w:color w:val="0000FF"/>
                <w:w w:val="90"/>
              </w:rPr>
            </w:pPr>
            <w:hyperlink r:id="rId171">
              <w:r>
                <w:rPr>
                  <w:rFonts w:ascii="Arial" w:cs="Arial" w:eastAsia="Arial" w:hAnsi="Arial"/>
                  <w:sz w:val="18"/>
                  <w:szCs w:val="18"/>
                  <w:color w:val="0000FF"/>
                  <w:w w:val="90"/>
                </w:rPr>
                <w:t>Form of Purchase Agreement, dated as of January 16, 2021, among Beam</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01/19/2021</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36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Therapeutics Inc. and each purchaser party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820" w:type="dxa"/>
            <w:vAlign w:val="bottom"/>
          </w:tcPr>
          <w:p>
            <w:pPr>
              <w:ind w:left="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26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0"/>
              </w:rPr>
            </w:pPr>
            <w:hyperlink r:id="rId172">
              <w:r>
                <w:rPr>
                  <w:rFonts w:ascii="Arial" w:cs="Arial" w:eastAsia="Arial" w:hAnsi="Arial"/>
                  <w:sz w:val="18"/>
                  <w:szCs w:val="18"/>
                  <w:color w:val="0000FF"/>
                  <w:w w:val="90"/>
                </w:rPr>
                <w:t>Description of Registered Securities</w:t>
              </w:r>
            </w:hyperlink>
          </w:p>
        </w:tc>
        <w:tc>
          <w:tcPr>
            <w:tcW w:w="20" w:type="dxa"/>
            <w:vAlign w:val="bottom"/>
            <w:tcBorders>
              <w:top w:val="single" w:sz="8" w:color="0000FF"/>
              <w:bottom w:val="single" w:sz="8" w:color="0000EE"/>
            </w:tcBorders>
          </w:tcPr>
          <w:p>
            <w:pPr>
              <w:spacing w:after="0"/>
              <w:rPr>
                <w:sz w:val="24"/>
                <w:szCs w:val="24"/>
                <w:color w:val="auto"/>
              </w:rPr>
            </w:pPr>
          </w:p>
        </w:tc>
        <w:tc>
          <w:tcPr>
            <w:tcW w:w="1000" w:type="dxa"/>
            <w:vAlign w:val="bottom"/>
            <w:tcBorders>
              <w:top w:val="single" w:sz="8" w:color="0000FF"/>
            </w:tcBorders>
            <w:gridSpan w:val="6"/>
          </w:tcPr>
          <w:p>
            <w:pPr>
              <w:spacing w:after="0"/>
              <w:rPr>
                <w:sz w:val="24"/>
                <w:szCs w:val="24"/>
                <w:color w:val="auto"/>
              </w:rPr>
            </w:pPr>
          </w:p>
        </w:tc>
        <w:tc>
          <w:tcPr>
            <w:tcW w:w="180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333-254946</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4/01/2021</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4.11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5420" w:type="dxa"/>
            <w:vAlign w:val="bottom"/>
            <w:gridSpan w:val="33"/>
          </w:tcPr>
          <w:p>
            <w:pPr>
              <w:spacing w:after="0"/>
              <w:rPr>
                <w:rFonts w:ascii="Arial" w:cs="Arial" w:eastAsia="Arial" w:hAnsi="Arial"/>
                <w:sz w:val="18"/>
                <w:szCs w:val="18"/>
                <w:color w:val="0000FF"/>
                <w:w w:val="95"/>
              </w:rPr>
            </w:pPr>
            <w:hyperlink r:id="rId173">
              <w:r>
                <w:rPr>
                  <w:rFonts w:ascii="Arial" w:cs="Arial" w:eastAsia="Arial" w:hAnsi="Arial"/>
                  <w:sz w:val="18"/>
                  <w:szCs w:val="18"/>
                  <w:color w:val="0000FF"/>
                  <w:w w:val="95"/>
                </w:rPr>
                <w:t>Lease, between UP 26 Landsdowne, LLC and Beam Therapeutics Inc.,</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r:id="rId173">
              <w:r>
                <w:rPr>
                  <w:rFonts w:ascii="Arial" w:cs="Arial" w:eastAsia="Arial" w:hAnsi="Arial"/>
                  <w:sz w:val="18"/>
                  <w:szCs w:val="18"/>
                  <w:color w:val="0000FF"/>
                  <w:w w:val="88"/>
                </w:rPr>
                <w:t>dated February 21, 2018</w:t>
              </w:r>
            </w:hyperlink>
          </w:p>
        </w:tc>
        <w:tc>
          <w:tcPr>
            <w:tcW w:w="20" w:type="dxa"/>
            <w:vAlign w:val="bottom"/>
            <w:tcBorders>
              <w:top w:val="single" w:sz="8" w:color="0000FF"/>
              <w:bottom w:val="single" w:sz="8" w:color="0000EE"/>
            </w:tcBorders>
          </w:tcPr>
          <w:p>
            <w:pPr>
              <w:spacing w:after="0"/>
              <w:rPr>
                <w:sz w:val="13"/>
                <w:szCs w:val="13"/>
                <w:color w:val="auto"/>
              </w:rPr>
            </w:pPr>
          </w:p>
        </w:tc>
        <w:tc>
          <w:tcPr>
            <w:tcW w:w="336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5420" w:type="dxa"/>
            <w:vAlign w:val="bottom"/>
            <w:gridSpan w:val="33"/>
          </w:tcPr>
          <w:p>
            <w:pPr>
              <w:spacing w:after="0"/>
              <w:rPr>
                <w:rFonts w:ascii="Arial" w:cs="Arial" w:eastAsia="Arial" w:hAnsi="Arial"/>
                <w:sz w:val="18"/>
                <w:szCs w:val="18"/>
                <w:color w:val="0000FF"/>
                <w:w w:val="94"/>
              </w:rPr>
            </w:pPr>
            <w:hyperlink r:id="rId174">
              <w:r>
                <w:rPr>
                  <w:rFonts w:ascii="Arial" w:cs="Arial" w:eastAsia="Arial" w:hAnsi="Arial"/>
                  <w:sz w:val="18"/>
                  <w:szCs w:val="18"/>
                  <w:color w:val="0000FF"/>
                  <w:w w:val="94"/>
                </w:rPr>
                <w:t>Indenture of Lease, between Massachusetts Institute of Technology and</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Beam Therapeutics Inc., dated April 24, 2019</w:t>
              </w:r>
            </w:hyperlink>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5"/>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5420" w:type="dxa"/>
            <w:vAlign w:val="bottom"/>
            <w:gridSpan w:val="33"/>
          </w:tcPr>
          <w:p>
            <w:pPr>
              <w:spacing w:after="0"/>
              <w:rPr>
                <w:rFonts w:ascii="Arial" w:cs="Arial" w:eastAsia="Arial" w:hAnsi="Arial"/>
                <w:sz w:val="18"/>
                <w:szCs w:val="18"/>
                <w:color w:val="0000FF"/>
                <w:w w:val="90"/>
              </w:rPr>
            </w:pPr>
            <w:hyperlink r:id="rId175">
              <w:r>
                <w:rPr>
                  <w:rFonts w:ascii="Arial" w:cs="Arial" w:eastAsia="Arial" w:hAnsi="Arial"/>
                  <w:sz w:val="18"/>
                  <w:szCs w:val="18"/>
                  <w:color w:val="0000FF"/>
                  <w:w w:val="90"/>
                </w:rPr>
                <w:t>Sales Agreement, dated April 1, 2021, by and between Beam Therapeutics</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04/01/2021</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75">
              <w:r>
                <w:rPr>
                  <w:rFonts w:ascii="Arial" w:cs="Arial" w:eastAsia="Arial" w:hAnsi="Arial"/>
                  <w:sz w:val="18"/>
                  <w:szCs w:val="18"/>
                  <w:color w:val="0000FF"/>
                  <w:w w:val="91"/>
                </w:rPr>
                <w:t>Inc. and Jefferies LLC.</w:t>
              </w:r>
            </w:hyperlink>
          </w:p>
        </w:tc>
        <w:tc>
          <w:tcPr>
            <w:tcW w:w="20" w:type="dxa"/>
            <w:vAlign w:val="bottom"/>
            <w:tcBorders>
              <w:top w:val="single" w:sz="8" w:color="0000FF"/>
              <w:bottom w:val="single" w:sz="8" w:color="0000EE"/>
            </w:tcBorders>
          </w:tcPr>
          <w:p>
            <w:pPr>
              <w:spacing w:after="0"/>
              <w:rPr>
                <w:sz w:val="13"/>
                <w:szCs w:val="13"/>
                <w:color w:val="auto"/>
              </w:rPr>
            </w:pPr>
          </w:p>
        </w:tc>
        <w:tc>
          <w:tcPr>
            <w:tcW w:w="37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5420" w:type="dxa"/>
            <w:vAlign w:val="bottom"/>
            <w:tcBorders>
              <w:bottom w:val="single" w:sz="8" w:color="0000FF"/>
            </w:tcBorders>
            <w:gridSpan w:val="33"/>
          </w:tcPr>
          <w:p>
            <w:pPr>
              <w:spacing w:after="0"/>
              <w:rPr>
                <w:rFonts w:ascii="Arial" w:cs="Arial" w:eastAsia="Arial" w:hAnsi="Arial"/>
                <w:sz w:val="18"/>
                <w:szCs w:val="18"/>
                <w:color w:val="0000FF"/>
                <w:w w:val="89"/>
              </w:rPr>
            </w:pPr>
            <w:hyperlink r:id="rId176">
              <w:r>
                <w:rPr>
                  <w:rFonts w:ascii="Arial" w:cs="Arial" w:eastAsia="Arial" w:hAnsi="Arial"/>
                  <w:sz w:val="18"/>
                  <w:szCs w:val="18"/>
                  <w:color w:val="0000FF"/>
                  <w:w w:val="89"/>
                </w:rPr>
                <w:t>License Agreement, between the President and Fellows of Harvard College</w:t>
              </w:r>
            </w:hyperlink>
          </w:p>
        </w:tc>
        <w:tc>
          <w:tcPr>
            <w:tcW w:w="20" w:type="dxa"/>
            <w:vAlign w:val="bottom"/>
            <w:tcBorders>
              <w:bottom w:val="single" w:sz="8" w:color="0000FF"/>
            </w:tcBorders>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20" w:type="dxa"/>
            <w:vAlign w:val="bottom"/>
            <w:gridSpan w:val="33"/>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and Beam Therapeutics Inc., dated June 27, 2017</w:t>
              </w:r>
            </w:hyperlink>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860" w:type="dxa"/>
            <w:vAlign w:val="bottom"/>
            <w:tcBorders>
              <w:right w:val="single" w:sz="8" w:color="0000EE"/>
            </w:tcBorders>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4980" w:type="dxa"/>
            <w:vAlign w:val="bottom"/>
            <w:tcBorders>
              <w:bottom w:val="single" w:sz="8" w:color="0000FF"/>
            </w:tcBorders>
            <w:gridSpan w:val="23"/>
          </w:tcPr>
          <w:p>
            <w:pPr>
              <w:spacing w:after="0"/>
              <w:rPr>
                <w:rFonts w:ascii="Arial" w:cs="Arial" w:eastAsia="Arial" w:hAnsi="Arial"/>
                <w:sz w:val="18"/>
                <w:szCs w:val="18"/>
                <w:color w:val="0000FF"/>
                <w:w w:val="90"/>
              </w:rPr>
            </w:pPr>
            <w:hyperlink r:id="rId177">
              <w:r>
                <w:rPr>
                  <w:rFonts w:ascii="Arial" w:cs="Arial" w:eastAsia="Arial" w:hAnsi="Arial"/>
                  <w:sz w:val="18"/>
                  <w:szCs w:val="18"/>
                  <w:color w:val="0000FF"/>
                  <w:w w:val="90"/>
                </w:rPr>
                <w:t>Amendment No. 1 to License Agreement, between the President and</w:t>
              </w:r>
            </w:hyperlink>
          </w:p>
        </w:tc>
        <w:tc>
          <w:tcPr>
            <w:tcW w:w="44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03/15/2021</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20" w:type="dxa"/>
            <w:vAlign w:val="bottom"/>
            <w:gridSpan w:val="33"/>
          </w:tcPr>
          <w:p>
            <w:pPr>
              <w:spacing w:after="0" w:line="156" w:lineRule="exact"/>
              <w:rPr>
                <w:rFonts w:ascii="Arial" w:cs="Arial" w:eastAsia="Arial" w:hAnsi="Arial"/>
                <w:sz w:val="18"/>
                <w:szCs w:val="18"/>
                <w:color w:val="0000FF"/>
                <w:w w:val="91"/>
              </w:rPr>
            </w:pPr>
            <w:hyperlink r:id="rId177">
              <w:r>
                <w:rPr>
                  <w:rFonts w:ascii="Arial" w:cs="Arial" w:eastAsia="Arial" w:hAnsi="Arial"/>
                  <w:sz w:val="18"/>
                  <w:szCs w:val="18"/>
                  <w:color w:val="0000FF"/>
                  <w:w w:val="91"/>
                </w:rPr>
                <w:t>Fellows of Harvard College and Beam Therapeutics Inc., dated December</w:t>
              </w:r>
            </w:hyperlink>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5"/>
              </w:rPr>
            </w:pPr>
            <w:hyperlink r:id="rId177">
              <w:r>
                <w:rPr>
                  <w:rFonts w:ascii="Arial" w:cs="Arial" w:eastAsia="Arial" w:hAnsi="Arial"/>
                  <w:sz w:val="18"/>
                  <w:szCs w:val="18"/>
                  <w:color w:val="0000FF"/>
                  <w:w w:val="85"/>
                </w:rPr>
                <w:t>12, 2017</w:t>
              </w:r>
            </w:hyperlink>
          </w:p>
        </w:tc>
        <w:tc>
          <w:tcPr>
            <w:tcW w:w="20" w:type="dxa"/>
            <w:vAlign w:val="bottom"/>
            <w:tcBorders>
              <w:top w:val="single" w:sz="8" w:color="0000FF"/>
              <w:bottom w:val="single" w:sz="8" w:color="0000EE"/>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4"/>
                <w:szCs w:val="24"/>
                <w:color w:val="auto"/>
              </w:rPr>
            </w:pPr>
          </w:p>
        </w:tc>
        <w:tc>
          <w:tcPr>
            <w:tcW w:w="5420" w:type="dxa"/>
            <w:vAlign w:val="bottom"/>
            <w:gridSpan w:val="33"/>
          </w:tcPr>
          <w:p>
            <w:pPr>
              <w:spacing w:after="0"/>
              <w:rPr>
                <w:rFonts w:ascii="Arial" w:cs="Arial" w:eastAsia="Arial" w:hAnsi="Arial"/>
                <w:sz w:val="18"/>
                <w:szCs w:val="18"/>
                <w:color w:val="0000FF"/>
                <w:w w:val="98"/>
              </w:rPr>
            </w:pPr>
            <w:hyperlink r:id="rId178">
              <w:r>
                <w:rPr>
                  <w:rFonts w:ascii="Arial" w:cs="Arial" w:eastAsia="Arial" w:hAnsi="Arial"/>
                  <w:sz w:val="18"/>
                  <w:szCs w:val="18"/>
                  <w:color w:val="0000FF"/>
                  <w:w w:val="98"/>
                </w:rPr>
                <w:t>Amendment No. 2 to License Agreement, between the President and</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03/15/21</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89"/>
              </w:rPr>
            </w:pPr>
            <w:hyperlink r:id="rId178">
              <w:r>
                <w:rPr>
                  <w:rFonts w:ascii="Arial" w:cs="Arial" w:eastAsia="Arial" w:hAnsi="Arial"/>
                  <w:sz w:val="18"/>
                  <w:szCs w:val="18"/>
                  <w:color w:val="0000FF"/>
                  <w:w w:val="89"/>
                </w:rPr>
                <w:t>Fellows of Harvard College and Beam Therapeutics Inc., dated March</w:t>
              </w:r>
            </w:hyperlink>
          </w:p>
        </w:tc>
        <w:tc>
          <w:tcPr>
            <w:tcW w:w="400" w:type="dxa"/>
            <w:vAlign w:val="bottom"/>
            <w:tcBorders>
              <w:bottom w:val="single" w:sz="8" w:color="0000FF"/>
            </w:tcBorders>
            <w:gridSpan w:val="8"/>
          </w:tcPr>
          <w:p>
            <w:pPr>
              <w:jc w:val="right"/>
              <w:ind w:right="60"/>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27,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r:id="rId178">
              <w:r>
                <w:rPr>
                  <w:rFonts w:ascii="Arial" w:cs="Arial" w:eastAsia="Arial" w:hAnsi="Arial"/>
                  <w:sz w:val="18"/>
                  <w:szCs w:val="18"/>
                  <w:color w:val="0000FF"/>
                  <w:w w:val="84"/>
                </w:rPr>
                <w:t>2020</w:t>
              </w:r>
            </w:hyperlink>
          </w:p>
        </w:tc>
        <w:tc>
          <w:tcPr>
            <w:tcW w:w="20" w:type="dxa"/>
            <w:vAlign w:val="bottom"/>
            <w:tcBorders>
              <w:bottom w:val="single" w:sz="8" w:color="0000EE"/>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4"/>
                <w:szCs w:val="24"/>
                <w:color w:val="auto"/>
              </w:rPr>
            </w:pPr>
          </w:p>
        </w:tc>
        <w:tc>
          <w:tcPr>
            <w:tcW w:w="5420" w:type="dxa"/>
            <w:vAlign w:val="bottom"/>
            <w:gridSpan w:val="33"/>
          </w:tcPr>
          <w:p>
            <w:pPr>
              <w:spacing w:after="0"/>
              <w:rPr>
                <w:rFonts w:ascii="Arial" w:cs="Arial" w:eastAsia="Arial" w:hAnsi="Arial"/>
                <w:sz w:val="18"/>
                <w:szCs w:val="18"/>
                <w:color w:val="0000FF"/>
              </w:rPr>
            </w:pPr>
            <w:hyperlink r:id="rId179">
              <w:r>
                <w:rPr>
                  <w:rFonts w:ascii="Arial" w:cs="Arial" w:eastAsia="Arial" w:hAnsi="Arial"/>
                  <w:sz w:val="18"/>
                  <w:szCs w:val="18"/>
                  <w:color w:val="0000FF"/>
                </w:rPr>
                <w:t>License Agreement, between The Broad Institute, Inc. and Blink</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7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Therapeutics Inc., dated May 9, 2018</w:t>
              </w:r>
            </w:hyperlink>
          </w:p>
        </w:tc>
        <w:tc>
          <w:tcPr>
            <w:tcW w:w="72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gridSpan w:val="11"/>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54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ind w:left="2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4"/>
                <w:szCs w:val="24"/>
                <w:color w:val="auto"/>
              </w:rPr>
            </w:pPr>
          </w:p>
        </w:tc>
        <w:tc>
          <w:tcPr>
            <w:tcW w:w="5420" w:type="dxa"/>
            <w:vAlign w:val="bottom"/>
            <w:tcBorders>
              <w:bottom w:val="single" w:sz="8" w:color="0000FF"/>
            </w:tcBorders>
            <w:gridSpan w:val="33"/>
          </w:tcPr>
          <w:p>
            <w:pPr>
              <w:spacing w:after="0"/>
              <w:rPr>
                <w:rFonts w:ascii="Arial" w:cs="Arial" w:eastAsia="Arial" w:hAnsi="Arial"/>
                <w:sz w:val="18"/>
                <w:szCs w:val="18"/>
                <w:color w:val="0000FF"/>
                <w:w w:val="91"/>
              </w:rPr>
            </w:pPr>
            <w:hyperlink r:id="rId180">
              <w:r>
                <w:rPr>
                  <w:rFonts w:ascii="Arial" w:cs="Arial" w:eastAsia="Arial" w:hAnsi="Arial"/>
                  <w:sz w:val="18"/>
                  <w:szCs w:val="18"/>
                  <w:color w:val="0000FF"/>
                  <w:w w:val="91"/>
                </w:rPr>
                <w:t>First Amendment to License Agreement, between The Broad Institute, Inc.</w:t>
              </w:r>
            </w:hyperlink>
          </w:p>
        </w:tc>
        <w:tc>
          <w:tcPr>
            <w:tcW w:w="20" w:type="dxa"/>
            <w:vAlign w:val="bottom"/>
            <w:tcBorders>
              <w:bottom w:val="single" w:sz="8" w:color="0000FF"/>
            </w:tcBorders>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03/15/2021</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80" w:type="dxa"/>
            <w:vAlign w:val="bottom"/>
            <w:tcBorders>
              <w:bottom w:val="single" w:sz="8" w:color="0000FF"/>
            </w:tcBorders>
            <w:gridSpan w:val="17"/>
          </w:tcPr>
          <w:p>
            <w:pPr>
              <w:spacing w:after="0" w:line="156" w:lineRule="exact"/>
              <w:rPr>
                <w:rFonts w:ascii="Arial" w:cs="Arial" w:eastAsia="Arial" w:hAnsi="Arial"/>
                <w:sz w:val="18"/>
                <w:szCs w:val="18"/>
                <w:color w:val="0000FF"/>
                <w:w w:val="89"/>
              </w:rPr>
            </w:pPr>
            <w:hyperlink r:id="rId180">
              <w:r>
                <w:rPr>
                  <w:rFonts w:ascii="Arial" w:cs="Arial" w:eastAsia="Arial" w:hAnsi="Arial"/>
                  <w:sz w:val="18"/>
                  <w:szCs w:val="18"/>
                  <w:color w:val="0000FF"/>
                  <w:w w:val="89"/>
                </w:rPr>
                <w:t>and Blink Therapeutics Inc., dated September 4, 2018</w:t>
              </w:r>
            </w:hyperlink>
          </w:p>
        </w:tc>
        <w:tc>
          <w:tcPr>
            <w:tcW w:w="154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6"/>
        </w:trPr>
        <w:tc>
          <w:tcPr>
            <w:tcW w:w="820" w:type="dxa"/>
            <w:vAlign w:val="bottom"/>
          </w:tcPr>
          <w:p>
            <w:pPr>
              <w:spacing w:after="0"/>
              <w:rPr>
                <w:sz w:val="24"/>
                <w:szCs w:val="24"/>
                <w:color w:val="auto"/>
              </w:rPr>
            </w:pPr>
          </w:p>
        </w:tc>
        <w:tc>
          <w:tcPr>
            <w:tcW w:w="5060" w:type="dxa"/>
            <w:vAlign w:val="bottom"/>
            <w:gridSpan w:val="23"/>
          </w:tcPr>
          <w:p>
            <w:pPr>
              <w:jc w:val="right"/>
              <w:ind w:right="1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5460" w:type="dxa"/>
            <w:vAlign w:val="bottom"/>
            <w:gridSpan w:val="46"/>
          </w:tcPr>
          <w:p>
            <w:pPr>
              <w:spacing w:after="0"/>
              <w:rPr>
                <w:rFonts w:ascii="Arial" w:cs="Arial" w:eastAsia="Arial" w:hAnsi="Arial"/>
                <w:sz w:val="18"/>
                <w:szCs w:val="18"/>
                <w:color w:val="0000FF"/>
                <w:w w:val="90"/>
              </w:rPr>
            </w:pPr>
            <w:hyperlink r:id="rId183">
              <w:r>
                <w:rPr>
                  <w:rFonts w:ascii="Arial" w:cs="Arial" w:eastAsia="Arial" w:hAnsi="Arial"/>
                  <w:sz w:val="18"/>
                  <w:szCs w:val="18"/>
                  <w:color w:val="0000FF"/>
                  <w:w w:val="90"/>
                </w:rPr>
                <w:t>License Agreement, between Editas Medicine, Inc. and Beam Therapeutics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91"/>
              </w:rPr>
              <w:t>10.6</w:t>
            </w:r>
          </w:p>
        </w:tc>
      </w:tr>
      <w:tr>
        <w:trPr>
          <w:trHeight w:val="156"/>
        </w:trPr>
        <w:tc>
          <w:tcPr>
            <w:tcW w:w="1020" w:type="dxa"/>
            <w:vAlign w:val="bottom"/>
          </w:tcPr>
          <w:p>
            <w:pPr>
              <w:spacing w:after="0"/>
              <w:rPr>
                <w:sz w:val="13"/>
                <w:szCs w:val="13"/>
                <w:color w:val="auto"/>
              </w:rPr>
            </w:pPr>
          </w:p>
        </w:tc>
        <w:tc>
          <w:tcPr>
            <w:tcW w:w="5460" w:type="dxa"/>
            <w:vAlign w:val="bottom"/>
            <w:tcBorders>
              <w:top w:val="single" w:sz="8" w:color="0000FF"/>
            </w:tcBorders>
            <w:gridSpan w:val="46"/>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Inc., dated May 9, 2018</w:t>
              </w:r>
            </w:hyperlink>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5460" w:type="dxa"/>
            <w:vAlign w:val="bottom"/>
            <w:gridSpan w:val="46"/>
          </w:tcPr>
          <w:p>
            <w:pPr>
              <w:spacing w:after="0"/>
              <w:rPr>
                <w:rFonts w:ascii="Arial" w:cs="Arial" w:eastAsia="Arial" w:hAnsi="Arial"/>
                <w:sz w:val="18"/>
                <w:szCs w:val="18"/>
                <w:color w:val="0000FF"/>
                <w:w w:val="93"/>
              </w:rPr>
            </w:pPr>
            <w:hyperlink r:id="rId184">
              <w:r>
                <w:rPr>
                  <w:rFonts w:ascii="Arial" w:cs="Arial" w:eastAsia="Arial" w:hAnsi="Arial"/>
                  <w:sz w:val="18"/>
                  <w:szCs w:val="18"/>
                  <w:color w:val="0000FF"/>
                  <w:w w:val="93"/>
                </w:rPr>
                <w:t>Letter Agreement, between Beam Therapeutics Inc., The Broad Institute,</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03/15/2021</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10.10</w:t>
            </w:r>
          </w:p>
        </w:tc>
      </w:tr>
      <w:tr>
        <w:trPr>
          <w:trHeight w:val="156"/>
        </w:trPr>
        <w:tc>
          <w:tcPr>
            <w:tcW w:w="1020" w:type="dxa"/>
            <w:vAlign w:val="bottom"/>
          </w:tcPr>
          <w:p>
            <w:pPr>
              <w:spacing w:after="0"/>
              <w:rPr>
                <w:sz w:val="13"/>
                <w:szCs w:val="13"/>
                <w:color w:val="auto"/>
              </w:rPr>
            </w:pPr>
          </w:p>
        </w:tc>
        <w:tc>
          <w:tcPr>
            <w:tcW w:w="5280" w:type="dxa"/>
            <w:vAlign w:val="bottom"/>
            <w:tcBorders>
              <w:top w:val="single" w:sz="8" w:color="0000FF"/>
              <w:bottom w:val="single" w:sz="8" w:color="0000FF"/>
            </w:tcBorders>
            <w:gridSpan w:val="37"/>
          </w:tcPr>
          <w:p>
            <w:pPr>
              <w:spacing w:after="0" w:line="156" w:lineRule="exact"/>
              <w:rPr>
                <w:rFonts w:ascii="Arial" w:cs="Arial" w:eastAsia="Arial" w:hAnsi="Arial"/>
                <w:sz w:val="18"/>
                <w:szCs w:val="18"/>
                <w:color w:val="0000FF"/>
                <w:w w:val="90"/>
              </w:rPr>
            </w:pPr>
            <w:hyperlink r:id="rId184">
              <w:r>
                <w:rPr>
                  <w:rFonts w:ascii="Arial" w:cs="Arial" w:eastAsia="Arial" w:hAnsi="Arial"/>
                  <w:sz w:val="18"/>
                  <w:szCs w:val="18"/>
                  <w:color w:val="0000FF"/>
                  <w:w w:val="90"/>
                </w:rPr>
                <w:t>Inc., the President and Fellows of Harvard College, and Editas Medicine,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2220" w:type="dxa"/>
            <w:vAlign w:val="bottom"/>
            <w:tcBorders>
              <w:bottom w:val="single" w:sz="8" w:color="0000FF"/>
            </w:tcBorders>
            <w:gridSpan w:val="10"/>
          </w:tcPr>
          <w:p>
            <w:pPr>
              <w:spacing w:after="0" w:line="156" w:lineRule="exact"/>
              <w:rPr>
                <w:rFonts w:ascii="Arial" w:cs="Arial" w:eastAsia="Arial" w:hAnsi="Arial"/>
                <w:sz w:val="18"/>
                <w:szCs w:val="18"/>
                <w:color w:val="0000FF"/>
                <w:w w:val="87"/>
              </w:rPr>
            </w:pPr>
            <w:hyperlink r:id="rId184">
              <w:r>
                <w:rPr>
                  <w:rFonts w:ascii="Arial" w:cs="Arial" w:eastAsia="Arial" w:hAnsi="Arial"/>
                  <w:sz w:val="18"/>
                  <w:szCs w:val="18"/>
                  <w:color w:val="0000FF"/>
                  <w:w w:val="87"/>
                </w:rPr>
                <w:t>Inc., dated September 26, 2018</w:t>
              </w:r>
            </w:hyperlink>
          </w:p>
        </w:tc>
        <w:tc>
          <w:tcPr>
            <w:tcW w:w="3080" w:type="dxa"/>
            <w:vAlign w:val="bottom"/>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10.11</w:t>
            </w:r>
          </w:p>
        </w:tc>
        <w:tc>
          <w:tcPr>
            <w:tcW w:w="5460" w:type="dxa"/>
            <w:vAlign w:val="bottom"/>
            <w:gridSpan w:val="46"/>
          </w:tcPr>
          <w:p>
            <w:pPr>
              <w:spacing w:after="0"/>
              <w:rPr>
                <w:rFonts w:ascii="Arial" w:cs="Arial" w:eastAsia="Arial" w:hAnsi="Arial"/>
                <w:sz w:val="18"/>
                <w:szCs w:val="18"/>
                <w:color w:val="0000FF"/>
                <w:w w:val="92"/>
              </w:rPr>
            </w:pPr>
            <w:hyperlink r:id="rId185">
              <w:r>
                <w:rPr>
                  <w:rFonts w:ascii="Arial" w:cs="Arial" w:eastAsia="Arial" w:hAnsi="Arial"/>
                  <w:sz w:val="18"/>
                  <w:szCs w:val="18"/>
                  <w:color w:val="0000FF"/>
                  <w:w w:val="92"/>
                </w:rPr>
                <w:t>Letter Agreement, between the President and Fellows of Harvard College,</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03/15/22021</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10.11</w:t>
            </w:r>
          </w:p>
        </w:tc>
      </w:tr>
      <w:tr>
        <w:trPr>
          <w:trHeight w:val="156"/>
        </w:trPr>
        <w:tc>
          <w:tcPr>
            <w:tcW w:w="1020" w:type="dxa"/>
            <w:vAlign w:val="bottom"/>
          </w:tcPr>
          <w:p>
            <w:pPr>
              <w:spacing w:after="0"/>
              <w:rPr>
                <w:sz w:val="13"/>
                <w:szCs w:val="13"/>
                <w:color w:val="auto"/>
              </w:rPr>
            </w:pPr>
          </w:p>
        </w:tc>
        <w:tc>
          <w:tcPr>
            <w:tcW w:w="5380" w:type="dxa"/>
            <w:vAlign w:val="bottom"/>
            <w:tcBorders>
              <w:top w:val="single" w:sz="8" w:color="0000FF"/>
            </w:tcBorders>
            <w:gridSpan w:val="42"/>
          </w:tcPr>
          <w:p>
            <w:pPr>
              <w:spacing w:after="0" w:line="156" w:lineRule="exact"/>
              <w:rPr>
                <w:rFonts w:ascii="Arial" w:cs="Arial" w:eastAsia="Arial" w:hAnsi="Arial"/>
                <w:sz w:val="18"/>
                <w:szCs w:val="18"/>
                <w:color w:val="0000FF"/>
                <w:w w:val="93"/>
              </w:rPr>
            </w:pPr>
            <w:hyperlink r:id="rId185">
              <w:r>
                <w:rPr>
                  <w:rFonts w:ascii="Arial" w:cs="Arial" w:eastAsia="Arial" w:hAnsi="Arial"/>
                  <w:sz w:val="18"/>
                  <w:szCs w:val="18"/>
                  <w:color w:val="0000FF"/>
                  <w:w w:val="93"/>
                </w:rPr>
                <w:t>The Broad Institute, Inc., and Beam Therapeutics Inc., dated January 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55"/>
        </w:trPr>
        <w:tc>
          <w:tcPr>
            <w:tcW w:w="102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r:id="rId185">
              <w:r>
                <w:rPr>
                  <w:rFonts w:ascii="Arial" w:cs="Arial" w:eastAsia="Arial" w:hAnsi="Arial"/>
                  <w:sz w:val="18"/>
                  <w:szCs w:val="18"/>
                  <w:color w:val="0000FF"/>
                  <w:w w:val="79"/>
                </w:rPr>
                <w:t>2021.</w:t>
              </w:r>
            </w:hyperlink>
          </w:p>
        </w:tc>
        <w:tc>
          <w:tcPr>
            <w:tcW w:w="20" w:type="dxa"/>
            <w:vAlign w:val="bottom"/>
            <w:tcBorders>
              <w:top w:val="single" w:sz="8" w:color="0000FF"/>
              <w:bottom w:val="single" w:sz="8" w:color="0000EE"/>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10.12#</w:t>
            </w:r>
          </w:p>
        </w:tc>
        <w:tc>
          <w:tcPr>
            <w:tcW w:w="5460" w:type="dxa"/>
            <w:vAlign w:val="bottom"/>
            <w:gridSpan w:val="46"/>
          </w:tcPr>
          <w:p>
            <w:pPr>
              <w:spacing w:after="0"/>
              <w:rPr>
                <w:rFonts w:ascii="Arial" w:cs="Arial" w:eastAsia="Arial" w:hAnsi="Arial"/>
                <w:sz w:val="18"/>
                <w:szCs w:val="18"/>
                <w:color w:val="0000FF"/>
                <w:w w:val="91"/>
              </w:rPr>
            </w:pPr>
            <w:hyperlink r:id="rId186">
              <w:r>
                <w:rPr>
                  <w:rFonts w:ascii="Arial" w:cs="Arial" w:eastAsia="Arial" w:hAnsi="Arial"/>
                  <w:sz w:val="18"/>
                  <w:szCs w:val="18"/>
                  <w:color w:val="0000FF"/>
                  <w:w w:val="91"/>
                </w:rPr>
                <w:t>License Agreement, between Bio Palette Co., Ltd. and Beam Therapeutics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91"/>
              </w:rPr>
              <w:t>10.7</w:t>
            </w:r>
          </w:p>
        </w:tc>
      </w:tr>
      <w:tr>
        <w:trPr>
          <w:trHeight w:val="156"/>
        </w:trPr>
        <w:tc>
          <w:tcPr>
            <w:tcW w:w="102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8"/>
              </w:rPr>
            </w:pPr>
            <w:hyperlink r:id="rId186">
              <w:r>
                <w:rPr>
                  <w:rFonts w:ascii="Arial" w:cs="Arial" w:eastAsia="Arial" w:hAnsi="Arial"/>
                  <w:sz w:val="18"/>
                  <w:szCs w:val="18"/>
                  <w:color w:val="0000FF"/>
                  <w:w w:val="88"/>
                </w:rPr>
                <w:t>Inc., dated March 27, 2019</w:t>
              </w:r>
            </w:hyperlink>
          </w:p>
        </w:tc>
        <w:tc>
          <w:tcPr>
            <w:tcW w:w="20" w:type="dxa"/>
            <w:vAlign w:val="bottom"/>
            <w:tcBorders>
              <w:top w:val="single" w:sz="8" w:color="0000FF"/>
              <w:bottom w:val="single" w:sz="8" w:color="0000EE"/>
            </w:tcBorders>
          </w:tcPr>
          <w:p>
            <w:pPr>
              <w:spacing w:after="0"/>
              <w:rPr>
                <w:sz w:val="13"/>
                <w:szCs w:val="13"/>
                <w:color w:val="auto"/>
              </w:rPr>
            </w:pPr>
          </w:p>
        </w:tc>
        <w:tc>
          <w:tcPr>
            <w:tcW w:w="346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10.13+</w:t>
            </w:r>
          </w:p>
        </w:tc>
        <w:tc>
          <w:tcPr>
            <w:tcW w:w="5460" w:type="dxa"/>
            <w:vAlign w:val="bottom"/>
            <w:gridSpan w:val="46"/>
          </w:tcPr>
          <w:p>
            <w:pPr>
              <w:spacing w:after="0"/>
              <w:rPr>
                <w:rFonts w:ascii="Arial" w:cs="Arial" w:eastAsia="Arial" w:hAnsi="Arial"/>
                <w:sz w:val="18"/>
                <w:szCs w:val="18"/>
                <w:color w:val="0000FF"/>
              </w:rPr>
            </w:pPr>
            <w:hyperlink r:id="rId187">
              <w:r>
                <w:rPr>
                  <w:rFonts w:ascii="Arial" w:cs="Arial" w:eastAsia="Arial" w:hAnsi="Arial"/>
                  <w:sz w:val="18"/>
                  <w:szCs w:val="18"/>
                  <w:color w:val="0000FF"/>
                </w:rPr>
                <w:t>Beam Therapeutics Inc. 2017 Stock Option and Grant Plan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91"/>
              </w:rPr>
              <w:t>10.8</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10.14+</w:t>
            </w:r>
          </w:p>
        </w:tc>
        <w:tc>
          <w:tcPr>
            <w:tcW w:w="5460" w:type="dxa"/>
            <w:vAlign w:val="bottom"/>
            <w:gridSpan w:val="46"/>
          </w:tcPr>
          <w:p>
            <w:pPr>
              <w:spacing w:after="0"/>
              <w:rPr>
                <w:rFonts w:ascii="Arial" w:cs="Arial" w:eastAsia="Arial" w:hAnsi="Arial"/>
                <w:sz w:val="18"/>
                <w:szCs w:val="18"/>
                <w:color w:val="0000FF"/>
                <w:w w:val="95"/>
              </w:rPr>
            </w:pPr>
            <w:hyperlink r:id="rId188">
              <w:r>
                <w:rPr>
                  <w:rFonts w:ascii="Arial" w:cs="Arial" w:eastAsia="Arial" w:hAnsi="Arial"/>
                  <w:sz w:val="18"/>
                  <w:szCs w:val="18"/>
                  <w:color w:val="0000FF"/>
                  <w:w w:val="95"/>
                </w:rPr>
                <w:t>Form of Restricted Stock Agreement under the Beam Therapeutics Inc.</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91"/>
              </w:rPr>
              <w:t>10.9</w:t>
            </w:r>
          </w:p>
        </w:tc>
      </w:tr>
      <w:tr>
        <w:trPr>
          <w:trHeight w:val="155"/>
        </w:trPr>
        <w:tc>
          <w:tcPr>
            <w:tcW w:w="102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88"/>
              </w:rPr>
            </w:pPr>
            <w:hyperlink r:id="rId188">
              <w:r>
                <w:rPr>
                  <w:rFonts w:ascii="Arial" w:cs="Arial" w:eastAsia="Arial" w:hAnsi="Arial"/>
                  <w:sz w:val="18"/>
                  <w:szCs w:val="18"/>
                  <w:color w:val="0000FF"/>
                  <w:w w:val="88"/>
                </w:rPr>
                <w:t>2017 Stock Option and Grant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268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10.15+</w:t>
            </w:r>
          </w:p>
        </w:tc>
        <w:tc>
          <w:tcPr>
            <w:tcW w:w="5460" w:type="dxa"/>
            <w:vAlign w:val="bottom"/>
            <w:gridSpan w:val="46"/>
          </w:tcPr>
          <w:p>
            <w:pPr>
              <w:spacing w:after="0"/>
              <w:rPr>
                <w:rFonts w:ascii="Arial" w:cs="Arial" w:eastAsia="Arial" w:hAnsi="Arial"/>
                <w:sz w:val="18"/>
                <w:szCs w:val="18"/>
                <w:color w:val="0000FF"/>
                <w:w w:val="91"/>
              </w:rPr>
            </w:pPr>
            <w:hyperlink r:id="rId189">
              <w:r>
                <w:rPr>
                  <w:rFonts w:ascii="Arial" w:cs="Arial" w:eastAsia="Arial" w:hAnsi="Arial"/>
                  <w:sz w:val="18"/>
                  <w:szCs w:val="18"/>
                  <w:color w:val="0000FF"/>
                  <w:w w:val="91"/>
                </w:rPr>
                <w:t>Form of Incentive Stock Option Grant Notice under the Beam Therapeutics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10.10</w:t>
            </w:r>
          </w:p>
        </w:tc>
      </w:tr>
      <w:tr>
        <w:trPr>
          <w:trHeight w:val="156"/>
        </w:trPr>
        <w:tc>
          <w:tcPr>
            <w:tcW w:w="1020" w:type="dxa"/>
            <w:vAlign w:val="bottom"/>
          </w:tcPr>
          <w:p>
            <w:pPr>
              <w:spacing w:after="0"/>
              <w:rPr>
                <w:sz w:val="13"/>
                <w:szCs w:val="13"/>
                <w:color w:val="auto"/>
              </w:rPr>
            </w:pPr>
          </w:p>
        </w:tc>
        <w:tc>
          <w:tcPr>
            <w:tcW w:w="27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89"/>
              </w:rPr>
            </w:pPr>
            <w:hyperlink r:id="rId189">
              <w:r>
                <w:rPr>
                  <w:rFonts w:ascii="Arial" w:cs="Arial" w:eastAsia="Arial" w:hAnsi="Arial"/>
                  <w:sz w:val="18"/>
                  <w:szCs w:val="18"/>
                  <w:color w:val="0000FF"/>
                  <w:w w:val="89"/>
                </w:rPr>
                <w:t>Inc. 2017 Stock Option and Grant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2660" w:type="dxa"/>
            <w:vAlign w:val="bottom"/>
            <w:tcBorders>
              <w:top w:val="single" w:sz="8" w:color="0000FF"/>
            </w:tcBorders>
            <w:gridSpan w:val="29"/>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10.16+</w:t>
            </w:r>
          </w:p>
        </w:tc>
        <w:tc>
          <w:tcPr>
            <w:tcW w:w="5460" w:type="dxa"/>
            <w:vAlign w:val="bottom"/>
            <w:gridSpan w:val="46"/>
          </w:tcPr>
          <w:p>
            <w:pPr>
              <w:spacing w:after="0"/>
              <w:rPr>
                <w:rFonts w:ascii="Arial" w:cs="Arial" w:eastAsia="Arial" w:hAnsi="Arial"/>
                <w:sz w:val="18"/>
                <w:szCs w:val="18"/>
                <w:color w:val="0000FF"/>
              </w:rPr>
            </w:pPr>
            <w:hyperlink r:id="rId190">
              <w:r>
                <w:rPr>
                  <w:rFonts w:ascii="Arial" w:cs="Arial" w:eastAsia="Arial" w:hAnsi="Arial"/>
                  <w:sz w:val="18"/>
                  <w:szCs w:val="18"/>
                  <w:color w:val="0000FF"/>
                </w:rPr>
                <w:t>Form of Non-Qualified Stock Option Grant Notice under the Beam</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10.11</w:t>
            </w:r>
          </w:p>
        </w:tc>
      </w:tr>
      <w:tr>
        <w:trPr>
          <w:trHeight w:val="156"/>
        </w:trPr>
        <w:tc>
          <w:tcPr>
            <w:tcW w:w="10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89"/>
              </w:rPr>
            </w:pPr>
            <w:hyperlink r:id="rId190">
              <w:r>
                <w:rPr>
                  <w:rFonts w:ascii="Arial" w:cs="Arial" w:eastAsia="Arial" w:hAnsi="Arial"/>
                  <w:sz w:val="18"/>
                  <w:szCs w:val="18"/>
                  <w:color w:val="0000FF"/>
                  <w:w w:val="89"/>
                </w:rPr>
                <w:t>Therapeutics Inc. 2017 Stock Option and Grant Plan</w:t>
              </w:r>
            </w:hyperlink>
          </w:p>
        </w:tc>
        <w:tc>
          <w:tcPr>
            <w:tcW w:w="1120" w:type="dxa"/>
            <w:vAlign w:val="bottom"/>
            <w:tcBorders>
              <w:top w:val="single" w:sz="8" w:color="0000FF"/>
            </w:tcBorders>
            <w:gridSpan w:val="7"/>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7"/>
        </w:trPr>
        <w:tc>
          <w:tcPr>
            <w:tcW w:w="1020" w:type="dxa"/>
            <w:vAlign w:val="bottom"/>
          </w:tcPr>
          <w:p>
            <w:pPr>
              <w:ind w:left="20"/>
              <w:spacing w:after="0"/>
              <w:rPr>
                <w:sz w:val="20"/>
                <w:szCs w:val="20"/>
                <w:color w:val="auto"/>
              </w:rPr>
            </w:pPr>
            <w:r>
              <w:rPr>
                <w:rFonts w:ascii="Arial" w:cs="Arial" w:eastAsia="Arial" w:hAnsi="Arial"/>
                <w:sz w:val="18"/>
                <w:szCs w:val="18"/>
                <w:color w:val="auto"/>
              </w:rPr>
              <w:t>10.17+</w:t>
            </w:r>
          </w:p>
        </w:tc>
        <w:tc>
          <w:tcPr>
            <w:tcW w:w="5460" w:type="dxa"/>
            <w:vAlign w:val="bottom"/>
            <w:gridSpan w:val="46"/>
          </w:tcPr>
          <w:p>
            <w:pPr>
              <w:spacing w:after="0"/>
              <w:rPr>
                <w:rFonts w:ascii="Arial" w:cs="Arial" w:eastAsia="Arial" w:hAnsi="Arial"/>
                <w:sz w:val="18"/>
                <w:szCs w:val="18"/>
                <w:color w:val="0000FF"/>
                <w:w w:val="93"/>
              </w:rPr>
            </w:pPr>
            <w:hyperlink r:id="rId191">
              <w:r>
                <w:rPr>
                  <w:rFonts w:ascii="Arial" w:cs="Arial" w:eastAsia="Arial" w:hAnsi="Arial"/>
                  <w:sz w:val="18"/>
                  <w:szCs w:val="18"/>
                  <w:color w:val="0000FF"/>
                  <w:w w:val="93"/>
                </w:rPr>
                <w:t>Form of Indemnification Agreement between Beam Therapeutics Inc. and</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09/27/2019</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10.12</w:t>
            </w:r>
          </w:p>
        </w:tc>
      </w:tr>
      <w:tr>
        <w:trPr>
          <w:trHeight w:val="156"/>
        </w:trPr>
        <w:tc>
          <w:tcPr>
            <w:tcW w:w="102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191">
              <w:r>
                <w:rPr>
                  <w:rFonts w:ascii="Arial" w:cs="Arial" w:eastAsia="Arial" w:hAnsi="Arial"/>
                  <w:sz w:val="18"/>
                  <w:szCs w:val="18"/>
                  <w:color w:val="0000FF"/>
                  <w:w w:val="89"/>
                </w:rPr>
                <w:t>its directors and officers</w:t>
              </w:r>
            </w:hyperlink>
          </w:p>
        </w:tc>
        <w:tc>
          <w:tcPr>
            <w:tcW w:w="20" w:type="dxa"/>
            <w:vAlign w:val="bottom"/>
            <w:tcBorders>
              <w:top w:val="single" w:sz="8" w:color="0000FF"/>
              <w:bottom w:val="single" w:sz="8" w:color="0000EE"/>
            </w:tcBorders>
          </w:tcPr>
          <w:p>
            <w:pPr>
              <w:spacing w:after="0"/>
              <w:rPr>
                <w:sz w:val="13"/>
                <w:szCs w:val="13"/>
                <w:color w:val="auto"/>
              </w:rPr>
            </w:pPr>
          </w:p>
        </w:tc>
        <w:tc>
          <w:tcPr>
            <w:tcW w:w="360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10.18+</w:t>
            </w:r>
          </w:p>
        </w:tc>
        <w:tc>
          <w:tcPr>
            <w:tcW w:w="5460" w:type="dxa"/>
            <w:vAlign w:val="bottom"/>
            <w:gridSpan w:val="46"/>
          </w:tcPr>
          <w:p>
            <w:pPr>
              <w:spacing w:after="0"/>
              <w:rPr>
                <w:rFonts w:ascii="Arial" w:cs="Arial" w:eastAsia="Arial" w:hAnsi="Arial"/>
                <w:sz w:val="18"/>
                <w:szCs w:val="18"/>
                <w:color w:val="0000FF"/>
                <w:w w:val="90"/>
              </w:rPr>
            </w:pPr>
            <w:hyperlink r:id="rId192">
              <w:r>
                <w:rPr>
                  <w:rFonts w:ascii="Arial" w:cs="Arial" w:eastAsia="Arial" w:hAnsi="Arial"/>
                  <w:sz w:val="18"/>
                  <w:szCs w:val="18"/>
                  <w:color w:val="0000FF"/>
                  <w:w w:val="90"/>
                </w:rPr>
                <w:t>Amended and Restated Letter Agreement between Beam Therapeutics Inc.</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08/10/2021</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91"/>
              </w:rPr>
              <w:t>10.1</w:t>
            </w:r>
          </w:p>
        </w:tc>
      </w:tr>
      <w:tr>
        <w:trPr>
          <w:trHeight w:val="156"/>
        </w:trPr>
        <w:tc>
          <w:tcPr>
            <w:tcW w:w="1020" w:type="dxa"/>
            <w:vAlign w:val="bottom"/>
          </w:tcPr>
          <w:p>
            <w:pPr>
              <w:spacing w:after="0"/>
              <w:rPr>
                <w:sz w:val="13"/>
                <w:szCs w:val="13"/>
                <w:color w:val="auto"/>
              </w:rPr>
            </w:pPr>
          </w:p>
        </w:tc>
        <w:tc>
          <w:tcPr>
            <w:tcW w:w="5440" w:type="dxa"/>
            <w:vAlign w:val="bottom"/>
            <w:tcBorders>
              <w:top w:val="single" w:sz="8" w:color="0000FF"/>
            </w:tcBorders>
            <w:gridSpan w:val="45"/>
          </w:tcPr>
          <w:p>
            <w:pPr>
              <w:spacing w:after="0" w:line="156" w:lineRule="exact"/>
              <w:rPr>
                <w:rFonts w:ascii="Arial" w:cs="Arial" w:eastAsia="Arial" w:hAnsi="Arial"/>
                <w:sz w:val="18"/>
                <w:szCs w:val="18"/>
                <w:color w:val="0000FF"/>
              </w:rPr>
            </w:pPr>
            <w:hyperlink r:id="rId192">
              <w:r>
                <w:rPr>
                  <w:rFonts w:ascii="Arial" w:cs="Arial" w:eastAsia="Arial" w:hAnsi="Arial"/>
                  <w:sz w:val="18"/>
                  <w:szCs w:val="18"/>
                  <w:color w:val="0000FF"/>
                </w:rPr>
                <w:t>and John Evans, dated June 9, 2021</w:t>
              </w:r>
            </w:hyperlink>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10.19+</w:t>
            </w:r>
          </w:p>
        </w:tc>
        <w:tc>
          <w:tcPr>
            <w:tcW w:w="5460" w:type="dxa"/>
            <w:vAlign w:val="bottom"/>
            <w:gridSpan w:val="46"/>
          </w:tcPr>
          <w:p>
            <w:pPr>
              <w:spacing w:after="0"/>
              <w:rPr>
                <w:rFonts w:ascii="Arial" w:cs="Arial" w:eastAsia="Arial" w:hAnsi="Arial"/>
                <w:sz w:val="18"/>
                <w:szCs w:val="18"/>
                <w:color w:val="0000FF"/>
              </w:rPr>
            </w:pPr>
            <w:hyperlink r:id="rId193">
              <w:r>
                <w:rPr>
                  <w:rFonts w:ascii="Arial" w:cs="Arial" w:eastAsia="Arial" w:hAnsi="Arial"/>
                  <w:sz w:val="18"/>
                  <w:szCs w:val="18"/>
                  <w:color w:val="0000FF"/>
                </w:rPr>
                <w:t>Amended and Restated Employment Agreement between Beam</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10.14</w:t>
            </w:r>
          </w:p>
        </w:tc>
      </w:tr>
      <w:tr>
        <w:trPr>
          <w:trHeight w:val="20"/>
        </w:trPr>
        <w:tc>
          <w:tcPr>
            <w:tcW w:w="10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55"/>
        </w:trPr>
        <w:tc>
          <w:tcPr>
            <w:tcW w:w="1020" w:type="dxa"/>
            <w:vAlign w:val="bottom"/>
          </w:tcPr>
          <w:p>
            <w:pPr>
              <w:spacing w:after="0"/>
              <w:rPr>
                <w:sz w:val="13"/>
                <w:szCs w:val="13"/>
                <w:color w:val="auto"/>
              </w:rPr>
            </w:pPr>
          </w:p>
        </w:tc>
        <w:tc>
          <w:tcPr>
            <w:tcW w:w="5460" w:type="dxa"/>
            <w:vAlign w:val="bottom"/>
            <w:gridSpan w:val="46"/>
          </w:tcPr>
          <w:p>
            <w:pPr>
              <w:spacing w:after="0" w:line="156" w:lineRule="exact"/>
              <w:rPr>
                <w:rFonts w:ascii="Arial" w:cs="Arial" w:eastAsia="Arial" w:hAnsi="Arial"/>
                <w:sz w:val="18"/>
                <w:szCs w:val="18"/>
                <w:color w:val="0000FF"/>
                <w:w w:val="99"/>
              </w:rPr>
            </w:pPr>
            <w:hyperlink r:id="rId193">
              <w:r>
                <w:rPr>
                  <w:rFonts w:ascii="Arial" w:cs="Arial" w:eastAsia="Arial" w:hAnsi="Arial"/>
                  <w:sz w:val="18"/>
                  <w:szCs w:val="18"/>
                  <w:color w:val="0000FF"/>
                  <w:w w:val="99"/>
                </w:rPr>
                <w:t>Therapeutics Inc. and Giuseppe Ciaramella, dated January 24, 2020</w:t>
              </w:r>
            </w:hyperlink>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10.20+</w:t>
            </w:r>
          </w:p>
        </w:tc>
        <w:tc>
          <w:tcPr>
            <w:tcW w:w="5460" w:type="dxa"/>
            <w:vAlign w:val="bottom"/>
            <w:gridSpan w:val="46"/>
          </w:tcPr>
          <w:p>
            <w:pPr>
              <w:spacing w:after="0"/>
              <w:rPr>
                <w:rFonts w:ascii="Arial" w:cs="Arial" w:eastAsia="Arial" w:hAnsi="Arial"/>
                <w:sz w:val="18"/>
                <w:szCs w:val="18"/>
                <w:color w:val="0000FF"/>
                <w:w w:val="92"/>
              </w:rPr>
            </w:pPr>
            <w:hyperlink r:id="rId194">
              <w:r>
                <w:rPr>
                  <w:rFonts w:ascii="Arial" w:cs="Arial" w:eastAsia="Arial" w:hAnsi="Arial"/>
                  <w:sz w:val="18"/>
                  <w:szCs w:val="18"/>
                  <w:color w:val="0000FF"/>
                  <w:w w:val="92"/>
                </w:rPr>
                <w:t>Letter Agreement between Beam Therapeutics Inc. and Terry-Ann Burrell,</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10.15</w:t>
            </w:r>
          </w:p>
        </w:tc>
      </w:tr>
      <w:tr>
        <w:trPr>
          <w:trHeight w:val="156"/>
        </w:trPr>
        <w:tc>
          <w:tcPr>
            <w:tcW w:w="1020" w:type="dxa"/>
            <w:vAlign w:val="bottom"/>
          </w:tcPr>
          <w:p>
            <w:pPr>
              <w:spacing w:after="0"/>
              <w:rPr>
                <w:sz w:val="13"/>
                <w:szCs w:val="13"/>
                <w:color w:val="auto"/>
              </w:rPr>
            </w:pPr>
          </w:p>
        </w:tc>
        <w:tc>
          <w:tcPr>
            <w:tcW w:w="5420" w:type="dxa"/>
            <w:vAlign w:val="bottom"/>
            <w:tcBorders>
              <w:top w:val="single" w:sz="8" w:color="0000FF"/>
            </w:tcBorders>
            <w:gridSpan w:val="44"/>
          </w:tcPr>
          <w:p>
            <w:pPr>
              <w:spacing w:after="0" w:line="156" w:lineRule="exact"/>
              <w:rPr>
                <w:rFonts w:ascii="Arial" w:cs="Arial" w:eastAsia="Arial" w:hAnsi="Arial"/>
                <w:sz w:val="18"/>
                <w:szCs w:val="18"/>
                <w:color w:val="0000FF"/>
              </w:rPr>
            </w:pPr>
            <w:hyperlink r:id="rId194">
              <w:r>
                <w:rPr>
                  <w:rFonts w:ascii="Arial" w:cs="Arial" w:eastAsia="Arial" w:hAnsi="Arial"/>
                  <w:sz w:val="18"/>
                  <w:szCs w:val="18"/>
                  <w:color w:val="0000FF"/>
                </w:rPr>
                <w:t>dated January 24, 2020</w:t>
              </w:r>
            </w:hyperlink>
          </w:p>
        </w:tc>
        <w:tc>
          <w:tcPr>
            <w:tcW w:w="4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7"/>
        </w:trPr>
        <w:tc>
          <w:tcPr>
            <w:tcW w:w="1020" w:type="dxa"/>
            <w:vAlign w:val="bottom"/>
          </w:tcPr>
          <w:p>
            <w:pPr>
              <w:ind w:left="20"/>
              <w:spacing w:after="0"/>
              <w:rPr>
                <w:sz w:val="20"/>
                <w:szCs w:val="20"/>
                <w:color w:val="auto"/>
              </w:rPr>
            </w:pPr>
            <w:r>
              <w:rPr>
                <w:rFonts w:ascii="Arial" w:cs="Arial" w:eastAsia="Arial" w:hAnsi="Arial"/>
                <w:sz w:val="18"/>
                <w:szCs w:val="18"/>
                <w:color w:val="auto"/>
              </w:rPr>
              <w:t>10.21+</w:t>
            </w:r>
          </w:p>
        </w:tc>
        <w:tc>
          <w:tcPr>
            <w:tcW w:w="5460" w:type="dxa"/>
            <w:vAlign w:val="bottom"/>
            <w:gridSpan w:val="46"/>
          </w:tcPr>
          <w:p>
            <w:pPr>
              <w:spacing w:after="0"/>
              <w:rPr>
                <w:rFonts w:ascii="Arial" w:cs="Arial" w:eastAsia="Arial" w:hAnsi="Arial"/>
                <w:sz w:val="18"/>
                <w:szCs w:val="18"/>
                <w:color w:val="0000FF"/>
              </w:rPr>
            </w:pPr>
            <w:hyperlink r:id="rId195">
              <w:r>
                <w:rPr>
                  <w:rFonts w:ascii="Arial" w:cs="Arial" w:eastAsia="Arial" w:hAnsi="Arial"/>
                  <w:sz w:val="18"/>
                  <w:szCs w:val="18"/>
                  <w:color w:val="0000FF"/>
                </w:rPr>
                <w:t>Beam Therapeutics Inc. 2019 Equity Incentive Plan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10.16</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10.22+</w:t>
            </w:r>
          </w:p>
        </w:tc>
        <w:tc>
          <w:tcPr>
            <w:tcW w:w="5460" w:type="dxa"/>
            <w:vAlign w:val="bottom"/>
            <w:gridSpan w:val="46"/>
          </w:tcPr>
          <w:p>
            <w:pPr>
              <w:spacing w:after="0"/>
              <w:rPr>
                <w:rFonts w:ascii="Arial" w:cs="Arial" w:eastAsia="Arial" w:hAnsi="Arial"/>
                <w:sz w:val="18"/>
                <w:szCs w:val="18"/>
                <w:color w:val="0000FF"/>
                <w:w w:val="93"/>
              </w:rPr>
            </w:pPr>
            <w:hyperlink r:id="rId196">
              <w:r>
                <w:rPr>
                  <w:rFonts w:ascii="Arial" w:cs="Arial" w:eastAsia="Arial" w:hAnsi="Arial"/>
                  <w:sz w:val="18"/>
                  <w:szCs w:val="18"/>
                  <w:color w:val="0000FF"/>
                  <w:w w:val="93"/>
                </w:rPr>
                <w:t>Form of Incentive Stock Option Agreement under the Beam Therapeutics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10.17</w:t>
            </w:r>
          </w:p>
        </w:tc>
      </w:tr>
      <w:tr>
        <w:trPr>
          <w:trHeight w:val="155"/>
        </w:trPr>
        <w:tc>
          <w:tcPr>
            <w:tcW w:w="10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196">
              <w:r>
                <w:rPr>
                  <w:rFonts w:ascii="Arial" w:cs="Arial" w:eastAsia="Arial" w:hAnsi="Arial"/>
                  <w:sz w:val="18"/>
                  <w:szCs w:val="18"/>
                  <w:color w:val="0000FF"/>
                  <w:w w:val="90"/>
                </w:rPr>
                <w:t>Inc. 2019 Equity Incentive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304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10.23+</w:t>
            </w:r>
          </w:p>
        </w:tc>
        <w:tc>
          <w:tcPr>
            <w:tcW w:w="5460" w:type="dxa"/>
            <w:vAlign w:val="bottom"/>
            <w:gridSpan w:val="46"/>
          </w:tcPr>
          <w:p>
            <w:pPr>
              <w:spacing w:after="0"/>
              <w:rPr>
                <w:rFonts w:ascii="Arial" w:cs="Arial" w:eastAsia="Arial" w:hAnsi="Arial"/>
                <w:sz w:val="18"/>
                <w:szCs w:val="18"/>
                <w:color w:val="0000FF"/>
              </w:rPr>
            </w:pPr>
            <w:hyperlink r:id="rId197">
              <w:r>
                <w:rPr>
                  <w:rFonts w:ascii="Arial" w:cs="Arial" w:eastAsia="Arial" w:hAnsi="Arial"/>
                  <w:sz w:val="18"/>
                  <w:szCs w:val="18"/>
                  <w:color w:val="0000FF"/>
                </w:rPr>
                <w:t>Form of Non-Statutory Stock Option Agreement under the Beam</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10.18</w:t>
            </w:r>
          </w:p>
        </w:tc>
      </w:tr>
      <w:tr>
        <w:trPr>
          <w:trHeight w:val="156"/>
        </w:trPr>
        <w:tc>
          <w:tcPr>
            <w:tcW w:w="10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r:id="rId197">
              <w:r>
                <w:rPr>
                  <w:rFonts w:ascii="Arial" w:cs="Arial" w:eastAsia="Arial" w:hAnsi="Arial"/>
                  <w:sz w:val="18"/>
                  <w:szCs w:val="18"/>
                  <w:color w:val="0000FF"/>
                  <w:w w:val="90"/>
                </w:rPr>
                <w:t>Therapeutics Inc. 2019 Equity Incentive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14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10.24+</w:t>
            </w:r>
          </w:p>
        </w:tc>
        <w:tc>
          <w:tcPr>
            <w:tcW w:w="5460" w:type="dxa"/>
            <w:vAlign w:val="bottom"/>
            <w:gridSpan w:val="46"/>
          </w:tcPr>
          <w:p>
            <w:pPr>
              <w:spacing w:after="0"/>
              <w:rPr>
                <w:rFonts w:ascii="Arial" w:cs="Arial" w:eastAsia="Arial" w:hAnsi="Arial"/>
                <w:sz w:val="18"/>
                <w:szCs w:val="18"/>
                <w:color w:val="0000FF"/>
              </w:rPr>
            </w:pPr>
            <w:hyperlink r:id="rId198">
              <w:r>
                <w:rPr>
                  <w:rFonts w:ascii="Arial" w:cs="Arial" w:eastAsia="Arial" w:hAnsi="Arial"/>
                  <w:sz w:val="18"/>
                  <w:szCs w:val="18"/>
                  <w:color w:val="0000FF"/>
                </w:rPr>
                <w:t>Form of Non-Statutory Stock Option Agreement (Non-Employee</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10.19</w:t>
            </w:r>
          </w:p>
        </w:tc>
      </w:tr>
      <w:tr>
        <w:trPr>
          <w:trHeight w:val="155"/>
        </w:trPr>
        <w:tc>
          <w:tcPr>
            <w:tcW w:w="1020" w:type="dxa"/>
            <w:vAlign w:val="bottom"/>
          </w:tcPr>
          <w:p>
            <w:pPr>
              <w:spacing w:after="0"/>
              <w:rPr>
                <w:sz w:val="13"/>
                <w:szCs w:val="13"/>
                <w:color w:val="auto"/>
              </w:rPr>
            </w:pPr>
          </w:p>
        </w:tc>
        <w:tc>
          <w:tcPr>
            <w:tcW w:w="4720" w:type="dxa"/>
            <w:vAlign w:val="bottom"/>
            <w:tcBorders>
              <w:top w:val="single" w:sz="8" w:color="0000FF"/>
            </w:tcBorders>
            <w:gridSpan w:val="28"/>
          </w:tcPr>
          <w:p>
            <w:pPr>
              <w:spacing w:after="0" w:line="156" w:lineRule="exact"/>
              <w:rPr>
                <w:rFonts w:ascii="Arial" w:cs="Arial" w:eastAsia="Arial" w:hAnsi="Arial"/>
                <w:sz w:val="18"/>
                <w:szCs w:val="18"/>
                <w:color w:val="0000FF"/>
                <w:w w:val="88"/>
              </w:rPr>
            </w:pPr>
            <w:hyperlink r:id="rId198">
              <w:r>
                <w:rPr>
                  <w:rFonts w:ascii="Arial" w:cs="Arial" w:eastAsia="Arial" w:hAnsi="Arial"/>
                  <w:sz w:val="18"/>
                  <w:szCs w:val="18"/>
                  <w:color w:val="0000FF"/>
                  <w:w w:val="88"/>
                </w:rPr>
                <w:t>Directors) under the Beam Therapeutics Inc. 2019 Equity Incentive</w:t>
              </w:r>
            </w:hyperlink>
          </w:p>
        </w:tc>
        <w:tc>
          <w:tcPr>
            <w:tcW w:w="20" w:type="dxa"/>
            <w:vAlign w:val="bottom"/>
          </w:tcPr>
          <w:p>
            <w:pPr>
              <w:spacing w:after="0"/>
              <w:rPr>
                <w:sz w:val="13"/>
                <w:szCs w:val="13"/>
                <w:color w:val="auto"/>
              </w:rPr>
            </w:pPr>
          </w:p>
        </w:tc>
        <w:tc>
          <w:tcPr>
            <w:tcW w:w="720" w:type="dxa"/>
            <w:vAlign w:val="bottom"/>
            <w:gridSpan w:val="17"/>
          </w:tcPr>
          <w:p>
            <w:pPr>
              <w:ind w:left="120"/>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Plan</w:t>
              </w:r>
            </w:hyperlink>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gridSpan w:val="1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140" w:type="dxa"/>
            <w:vAlign w:val="bottom"/>
            <w:gridSpan w:val="7"/>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10.25+</w:t>
            </w:r>
          </w:p>
        </w:tc>
        <w:tc>
          <w:tcPr>
            <w:tcW w:w="5460" w:type="dxa"/>
            <w:vAlign w:val="bottom"/>
            <w:gridSpan w:val="46"/>
          </w:tcPr>
          <w:p>
            <w:pPr>
              <w:spacing w:after="0"/>
              <w:rPr>
                <w:rFonts w:ascii="Arial" w:cs="Arial" w:eastAsia="Arial" w:hAnsi="Arial"/>
                <w:sz w:val="18"/>
                <w:szCs w:val="18"/>
                <w:color w:val="0000FF"/>
              </w:rPr>
            </w:pPr>
            <w:hyperlink r:id="rId199">
              <w:r>
                <w:rPr>
                  <w:rFonts w:ascii="Arial" w:cs="Arial" w:eastAsia="Arial" w:hAnsi="Arial"/>
                  <w:sz w:val="18"/>
                  <w:szCs w:val="18"/>
                  <w:color w:val="0000FF"/>
                </w:rPr>
                <w:t>Form of Restricted Stock Unit Award Agreement under the Beam</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3/15/2021</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10.25</w:t>
            </w:r>
          </w:p>
        </w:tc>
      </w:tr>
      <w:tr>
        <w:trPr>
          <w:trHeight w:val="155"/>
        </w:trPr>
        <w:tc>
          <w:tcPr>
            <w:tcW w:w="10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0"/>
              </w:rPr>
            </w:pPr>
            <w:hyperlink r:id="rId199">
              <w:r>
                <w:rPr>
                  <w:rFonts w:ascii="Arial" w:cs="Arial" w:eastAsia="Arial" w:hAnsi="Arial"/>
                  <w:sz w:val="18"/>
                  <w:szCs w:val="18"/>
                  <w:color w:val="0000FF"/>
                  <w:w w:val="90"/>
                </w:rPr>
                <w:t>Therapeutics Inc. 2019 Equity Incentive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1480" w:type="dxa"/>
            <w:vAlign w:val="bottom"/>
            <w:tcBorders>
              <w:top w:val="single" w:sz="8" w:color="0000FF"/>
            </w:tcBorders>
            <w:gridSpan w:val="8"/>
          </w:tcPr>
          <w:p>
            <w:pPr>
              <w:spacing w:after="0"/>
              <w:rPr>
                <w:sz w:val="13"/>
                <w:szCs w:val="13"/>
                <w:color w:val="auto"/>
              </w:rPr>
            </w:pPr>
          </w:p>
        </w:tc>
        <w:tc>
          <w:tcPr>
            <w:tcW w:w="340" w:type="dxa"/>
            <w:vAlign w:val="bottom"/>
            <w:gridSpan w:val="3"/>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10.26+</w:t>
            </w:r>
          </w:p>
        </w:tc>
        <w:tc>
          <w:tcPr>
            <w:tcW w:w="5460" w:type="dxa"/>
            <w:vAlign w:val="bottom"/>
            <w:gridSpan w:val="46"/>
          </w:tcPr>
          <w:p>
            <w:pPr>
              <w:spacing w:after="0"/>
              <w:rPr>
                <w:rFonts w:ascii="Arial" w:cs="Arial" w:eastAsia="Arial" w:hAnsi="Arial"/>
                <w:sz w:val="18"/>
                <w:szCs w:val="18"/>
                <w:color w:val="0000FF"/>
                <w:w w:val="92"/>
              </w:rPr>
            </w:pPr>
            <w:hyperlink r:id="rId200">
              <w:r>
                <w:rPr>
                  <w:rFonts w:ascii="Arial" w:cs="Arial" w:eastAsia="Arial" w:hAnsi="Arial"/>
                  <w:sz w:val="18"/>
                  <w:szCs w:val="18"/>
                  <w:color w:val="0000FF"/>
                  <w:w w:val="92"/>
                </w:rPr>
                <w:t>Form of Restricted Stock Award Agreement under the Beam Therapeutics</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03/15/2021</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10.26</w:t>
            </w:r>
          </w:p>
        </w:tc>
      </w:tr>
      <w:tr>
        <w:trPr>
          <w:trHeight w:val="155"/>
        </w:trPr>
        <w:tc>
          <w:tcPr>
            <w:tcW w:w="10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r:id="rId200">
              <w:r>
                <w:rPr>
                  <w:rFonts w:ascii="Arial" w:cs="Arial" w:eastAsia="Arial" w:hAnsi="Arial"/>
                  <w:sz w:val="18"/>
                  <w:szCs w:val="18"/>
                  <w:color w:val="0000FF"/>
                  <w:w w:val="90"/>
                </w:rPr>
                <w:t>Inc. 2019 Equity Incentive Plan</w:t>
              </w:r>
            </w:hyperlink>
          </w:p>
        </w:tc>
        <w:tc>
          <w:tcPr>
            <w:tcW w:w="20" w:type="dxa"/>
            <w:vAlign w:val="bottom"/>
            <w:tcBorders>
              <w:top w:val="single" w:sz="8" w:color="0000FF"/>
              <w:bottom w:val="single" w:sz="8" w:color="0000EE"/>
            </w:tcBorders>
          </w:tcPr>
          <w:p>
            <w:pPr>
              <w:spacing w:after="0"/>
              <w:rPr>
                <w:sz w:val="13"/>
                <w:szCs w:val="13"/>
                <w:color w:val="auto"/>
              </w:rPr>
            </w:pPr>
          </w:p>
        </w:tc>
        <w:tc>
          <w:tcPr>
            <w:tcW w:w="3080" w:type="dxa"/>
            <w:vAlign w:val="bottom"/>
            <w:tcBorders>
              <w:top w:val="single" w:sz="8" w:color="0000FF"/>
            </w:tcBorders>
            <w:gridSpan w:val="29"/>
          </w:tcPr>
          <w:p>
            <w:pPr>
              <w:spacing w:after="0"/>
              <w:rPr>
                <w:sz w:val="13"/>
                <w:szCs w:val="13"/>
                <w:color w:val="auto"/>
              </w:rPr>
            </w:pPr>
          </w:p>
        </w:tc>
        <w:tc>
          <w:tcPr>
            <w:tcW w:w="100" w:type="dxa"/>
            <w:vAlign w:val="bottom"/>
            <w:gridSpan w:val="5"/>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10.27+</w:t>
            </w:r>
          </w:p>
        </w:tc>
        <w:tc>
          <w:tcPr>
            <w:tcW w:w="5460" w:type="dxa"/>
            <w:vAlign w:val="bottom"/>
            <w:gridSpan w:val="46"/>
          </w:tcPr>
          <w:p>
            <w:pPr>
              <w:spacing w:after="0"/>
              <w:rPr>
                <w:rFonts w:ascii="Arial" w:cs="Arial" w:eastAsia="Arial" w:hAnsi="Arial"/>
                <w:sz w:val="18"/>
                <w:szCs w:val="18"/>
                <w:color w:val="0000FF"/>
                <w:w w:val="96"/>
              </w:rPr>
            </w:pPr>
            <w:hyperlink w:anchor="page174">
              <w:r>
                <w:rPr>
                  <w:rFonts w:ascii="Arial" w:cs="Arial" w:eastAsia="Arial" w:hAnsi="Arial"/>
                  <w:sz w:val="18"/>
                  <w:szCs w:val="18"/>
                  <w:color w:val="0000FF"/>
                  <w:w w:val="96"/>
                </w:rPr>
                <w:t>Amended and Restated Beam Therapeutics Inc. 2019 Employee Stock</w:t>
              </w:r>
            </w:hyperlink>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ind w:left="1140"/>
              <w:spacing w:after="0"/>
              <w:rPr>
                <w:sz w:val="20"/>
                <w:szCs w:val="20"/>
                <w:color w:val="auto"/>
              </w:rPr>
            </w:pPr>
            <w:r>
              <w:rPr>
                <w:rFonts w:ascii="Arial" w:cs="Arial" w:eastAsia="Arial" w:hAnsi="Arial"/>
                <w:sz w:val="18"/>
                <w:szCs w:val="18"/>
                <w:color w:val="auto"/>
              </w:rPr>
              <w:t>X</w:t>
            </w:r>
          </w:p>
        </w:tc>
      </w:tr>
      <w:tr>
        <w:trPr>
          <w:trHeight w:val="155"/>
        </w:trPr>
        <w:tc>
          <w:tcPr>
            <w:tcW w:w="1020" w:type="dxa"/>
            <w:vAlign w:val="bottom"/>
          </w:tcPr>
          <w:p>
            <w:pPr>
              <w:spacing w:after="0"/>
              <w:rPr>
                <w:sz w:val="13"/>
                <w:szCs w:val="13"/>
                <w:color w:val="auto"/>
              </w:rPr>
            </w:pPr>
          </w:p>
        </w:tc>
        <w:tc>
          <w:tcPr>
            <w:tcW w:w="508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w:anchor="page174">
              <w:r>
                <w:rPr>
                  <w:rFonts w:ascii="Arial" w:cs="Arial" w:eastAsia="Arial" w:hAnsi="Arial"/>
                  <w:sz w:val="18"/>
                  <w:szCs w:val="18"/>
                  <w:color w:val="0000FF"/>
                </w:rPr>
                <w:t>Purchase Plan</w:t>
              </w:r>
            </w:hyperlink>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10.28+</w:t>
            </w:r>
          </w:p>
        </w:tc>
        <w:tc>
          <w:tcPr>
            <w:tcW w:w="5460" w:type="dxa"/>
            <w:vAlign w:val="bottom"/>
            <w:gridSpan w:val="46"/>
          </w:tcPr>
          <w:p>
            <w:pPr>
              <w:spacing w:after="0"/>
              <w:rPr>
                <w:rFonts w:ascii="Arial" w:cs="Arial" w:eastAsia="Arial" w:hAnsi="Arial"/>
                <w:sz w:val="18"/>
                <w:szCs w:val="18"/>
                <w:color w:val="0000FF"/>
              </w:rPr>
            </w:pPr>
            <w:hyperlink r:id="rId201">
              <w:r>
                <w:rPr>
                  <w:rFonts w:ascii="Arial" w:cs="Arial" w:eastAsia="Arial" w:hAnsi="Arial"/>
                  <w:sz w:val="18"/>
                  <w:szCs w:val="18"/>
                  <w:color w:val="0000FF"/>
                </w:rPr>
                <w:t>Beam Therapeutics Inc. 2019 Cash Incentive Plan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333-233985</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01/27/2020</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88"/>
              </w:rPr>
              <w:t>10.21</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140" w:type="dxa"/>
            <w:vAlign w:val="bottom"/>
            <w:gridSpan w:val="1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164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10.29+</w:t>
            </w:r>
          </w:p>
        </w:tc>
        <w:tc>
          <w:tcPr>
            <w:tcW w:w="5460" w:type="dxa"/>
            <w:vAlign w:val="bottom"/>
            <w:gridSpan w:val="46"/>
          </w:tcPr>
          <w:p>
            <w:pPr>
              <w:spacing w:after="0"/>
              <w:rPr>
                <w:rFonts w:ascii="Arial" w:cs="Arial" w:eastAsia="Arial" w:hAnsi="Arial"/>
                <w:sz w:val="18"/>
                <w:szCs w:val="18"/>
                <w:color w:val="0000FF"/>
                <w:w w:val="94"/>
              </w:rPr>
            </w:pPr>
            <w:hyperlink r:id="rId202">
              <w:r>
                <w:rPr>
                  <w:rFonts w:ascii="Arial" w:cs="Arial" w:eastAsia="Arial" w:hAnsi="Arial"/>
                  <w:sz w:val="18"/>
                  <w:szCs w:val="18"/>
                  <w:color w:val="0000FF"/>
                  <w:w w:val="94"/>
                </w:rPr>
                <w:t>Amended and Restated Beam Therapeutics Inc. Non-Employee Director</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08/10/2021</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91"/>
              </w:rPr>
              <w:t>10.2</w:t>
            </w:r>
          </w:p>
        </w:tc>
      </w:tr>
      <w:tr>
        <w:trPr>
          <w:trHeight w:val="155"/>
        </w:trPr>
        <w:tc>
          <w:tcPr>
            <w:tcW w:w="1020" w:type="dxa"/>
            <w:vAlign w:val="bottom"/>
          </w:tcPr>
          <w:p>
            <w:pPr>
              <w:spacing w:after="0"/>
              <w:rPr>
                <w:sz w:val="13"/>
                <w:szCs w:val="13"/>
                <w:color w:val="auto"/>
              </w:rPr>
            </w:pPr>
          </w:p>
        </w:tc>
        <w:tc>
          <w:tcPr>
            <w:tcW w:w="304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87"/>
              </w:rPr>
            </w:pPr>
            <w:hyperlink r:id="rId202">
              <w:r>
                <w:rPr>
                  <w:rFonts w:ascii="Arial" w:cs="Arial" w:eastAsia="Arial" w:hAnsi="Arial"/>
                  <w:sz w:val="18"/>
                  <w:szCs w:val="18"/>
                  <w:color w:val="0000FF"/>
                  <w:w w:val="87"/>
                </w:rPr>
                <w:t>Compensation Policy, dated June 10,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21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10.30</w:t>
            </w:r>
          </w:p>
        </w:tc>
        <w:tc>
          <w:tcPr>
            <w:tcW w:w="5460" w:type="dxa"/>
            <w:vAlign w:val="bottom"/>
            <w:gridSpan w:val="46"/>
          </w:tcPr>
          <w:p>
            <w:pPr>
              <w:spacing w:after="0"/>
              <w:rPr>
                <w:rFonts w:ascii="Arial" w:cs="Arial" w:eastAsia="Arial" w:hAnsi="Arial"/>
                <w:sz w:val="18"/>
                <w:szCs w:val="18"/>
                <w:color w:val="0000FF"/>
                <w:w w:val="93"/>
              </w:rPr>
            </w:pPr>
            <w:hyperlink r:id="rId203">
              <w:r>
                <w:rPr>
                  <w:rFonts w:ascii="Arial" w:cs="Arial" w:eastAsia="Arial" w:hAnsi="Arial"/>
                  <w:sz w:val="18"/>
                  <w:szCs w:val="18"/>
                  <w:color w:val="0000FF"/>
                  <w:w w:val="93"/>
                </w:rPr>
                <w:t>Lease Agreement between Beam Therapeutics Inc. and ARE-NC Region</w:t>
              </w:r>
            </w:hyperlink>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08/12/2020</w:t>
            </w:r>
          </w:p>
        </w:tc>
        <w:tc>
          <w:tcPr>
            <w:tcW w:w="1600" w:type="dxa"/>
            <w:vAlign w:val="bottom"/>
          </w:tcPr>
          <w:p>
            <w:pPr>
              <w:jc w:val="center"/>
              <w:ind w:right="750"/>
              <w:spacing w:after="0"/>
              <w:rPr>
                <w:sz w:val="20"/>
                <w:szCs w:val="20"/>
                <w:color w:val="auto"/>
              </w:rPr>
            </w:pPr>
            <w:r>
              <w:rPr>
                <w:rFonts w:ascii="Arial" w:cs="Arial" w:eastAsia="Arial" w:hAnsi="Arial"/>
                <w:sz w:val="18"/>
                <w:szCs w:val="18"/>
                <w:color w:val="auto"/>
                <w:w w:val="91"/>
              </w:rPr>
              <w:t>10.1</w:t>
            </w:r>
          </w:p>
        </w:tc>
      </w:tr>
      <w:tr>
        <w:trPr>
          <w:trHeight w:val="155"/>
        </w:trPr>
        <w:tc>
          <w:tcPr>
            <w:tcW w:w="1020" w:type="dxa"/>
            <w:vAlign w:val="bottom"/>
          </w:tcPr>
          <w:p>
            <w:pPr>
              <w:spacing w:after="0"/>
              <w:rPr>
                <w:sz w:val="13"/>
                <w:szCs w:val="13"/>
                <w:color w:val="auto"/>
              </w:rPr>
            </w:pPr>
          </w:p>
        </w:tc>
        <w:tc>
          <w:tcPr>
            <w:tcW w:w="9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203">
              <w:r>
                <w:rPr>
                  <w:rFonts w:ascii="Arial" w:cs="Arial" w:eastAsia="Arial" w:hAnsi="Arial"/>
                  <w:sz w:val="18"/>
                  <w:szCs w:val="18"/>
                  <w:color w:val="0000FF"/>
                  <w:w w:val="91"/>
                </w:rPr>
                <w:t>No. 14, LLC</w:t>
              </w:r>
            </w:hyperlink>
          </w:p>
        </w:tc>
        <w:tc>
          <w:tcPr>
            <w:tcW w:w="4360" w:type="dxa"/>
            <w:vAlign w:val="bottom"/>
            <w:tcBorders>
              <w:top w:val="single" w:sz="8" w:color="0000FF"/>
            </w:tcBorders>
            <w:gridSpan w:val="33"/>
          </w:tcPr>
          <w:p>
            <w:pPr>
              <w:spacing w:after="0"/>
              <w:rPr>
                <w:sz w:val="13"/>
                <w:szCs w:val="13"/>
                <w:color w:val="auto"/>
              </w:rPr>
            </w:pPr>
          </w:p>
        </w:tc>
        <w:tc>
          <w:tcPr>
            <w:tcW w:w="200" w:type="dxa"/>
            <w:vAlign w:val="bottom"/>
            <w:gridSpan w:val="10"/>
          </w:tcPr>
          <w:p>
            <w:pPr>
              <w:spacing w:after="0"/>
              <w:rPr>
                <w:sz w:val="13"/>
                <w:szCs w:val="13"/>
                <w:color w:val="auto"/>
              </w:rPr>
            </w:pPr>
          </w:p>
        </w:tc>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776"/>
        </w:trPr>
        <w:tc>
          <w:tcPr>
            <w:tcW w:w="1020" w:type="dxa"/>
            <w:vAlign w:val="bottom"/>
          </w:tcPr>
          <w:p>
            <w:pPr>
              <w:spacing w:after="0"/>
              <w:rPr>
                <w:sz w:val="24"/>
                <w:szCs w:val="24"/>
                <w:color w:val="auto"/>
              </w:rPr>
            </w:pPr>
          </w:p>
        </w:tc>
        <w:tc>
          <w:tcPr>
            <w:tcW w:w="4740" w:type="dxa"/>
            <w:vAlign w:val="bottom"/>
            <w:gridSpan w:val="29"/>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01"/>
        </w:trPr>
        <w:tc>
          <w:tcPr>
            <w:tcW w:w="10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3" w:name="page134"/>
    <w:bookmarkEnd w:id="133"/>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10.31</w:t>
            </w:r>
          </w:p>
        </w:tc>
        <w:tc>
          <w:tcPr>
            <w:tcW w:w="6140" w:type="dxa"/>
            <w:vAlign w:val="bottom"/>
            <w:gridSpan w:val="22"/>
          </w:tcPr>
          <w:p>
            <w:pPr>
              <w:spacing w:after="0"/>
              <w:rPr>
                <w:rFonts w:ascii="Arial" w:cs="Arial" w:eastAsia="Arial" w:hAnsi="Arial"/>
                <w:sz w:val="18"/>
                <w:szCs w:val="18"/>
                <w:color w:val="0000FF"/>
              </w:rPr>
            </w:pPr>
            <w:hyperlink w:anchor="page187">
              <w:r>
                <w:rPr>
                  <w:rFonts w:ascii="Arial" w:cs="Arial" w:eastAsia="Arial" w:hAnsi="Arial"/>
                  <w:sz w:val="18"/>
                  <w:szCs w:val="18"/>
                  <w:color w:val="0000FF"/>
                </w:rPr>
                <w:t>Amendment No. 1 to Indenture of Lease, between Massachusetts Institute</w:t>
              </w:r>
            </w:hyperlink>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155"/>
        </w:trPr>
        <w:tc>
          <w:tcPr>
            <w:tcW w:w="100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w:anchor="page187">
              <w:r>
                <w:rPr>
                  <w:rFonts w:ascii="Arial" w:cs="Arial" w:eastAsia="Arial" w:hAnsi="Arial"/>
                  <w:sz w:val="18"/>
                  <w:szCs w:val="18"/>
                  <w:color w:val="0000FF"/>
                  <w:w w:val="90"/>
                </w:rPr>
                <w:t>of Technology and Beam Therapeutics Inc., dated April 14, 2020</w:t>
              </w:r>
            </w:hyperlink>
          </w:p>
        </w:tc>
        <w:tc>
          <w:tcPr>
            <w:tcW w:w="20" w:type="dxa"/>
            <w:vAlign w:val="bottom"/>
            <w:tcBorders>
              <w:top w:val="single" w:sz="8" w:color="0000FF"/>
              <w:bottom w:val="single" w:sz="8" w:color="0000EE"/>
            </w:tcBorders>
          </w:tcPr>
          <w:p>
            <w:pPr>
              <w:spacing w:after="0"/>
              <w:rPr>
                <w:sz w:val="13"/>
                <w:szCs w:val="13"/>
                <w:color w:val="auto"/>
              </w:rPr>
            </w:pPr>
          </w:p>
        </w:tc>
        <w:tc>
          <w:tcPr>
            <w:tcW w:w="6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10.32</w:t>
            </w:r>
          </w:p>
        </w:tc>
        <w:tc>
          <w:tcPr>
            <w:tcW w:w="6140" w:type="dxa"/>
            <w:vAlign w:val="bottom"/>
            <w:gridSpan w:val="22"/>
          </w:tcPr>
          <w:p>
            <w:pPr>
              <w:spacing w:after="0"/>
              <w:rPr>
                <w:rFonts w:ascii="Arial" w:cs="Arial" w:eastAsia="Arial" w:hAnsi="Arial"/>
                <w:sz w:val="18"/>
                <w:szCs w:val="18"/>
                <w:color w:val="0000FF"/>
              </w:rPr>
            </w:pPr>
            <w:hyperlink w:anchor="page191">
              <w:r>
                <w:rPr>
                  <w:rFonts w:ascii="Arial" w:cs="Arial" w:eastAsia="Arial" w:hAnsi="Arial"/>
                  <w:sz w:val="18"/>
                  <w:szCs w:val="18"/>
                  <w:color w:val="0000FF"/>
                </w:rPr>
                <w:t>Amendment No. 2 to Indenture of Lease, between Massachusetts Institute</w:t>
              </w:r>
            </w:hyperlink>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50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89"/>
              </w:rPr>
            </w:pPr>
            <w:hyperlink w:anchor="page191">
              <w:r>
                <w:rPr>
                  <w:rFonts w:ascii="Arial" w:cs="Arial" w:eastAsia="Arial" w:hAnsi="Arial"/>
                  <w:sz w:val="18"/>
                  <w:szCs w:val="18"/>
                  <w:color w:val="0000FF"/>
                  <w:w w:val="89"/>
                </w:rPr>
                <w:t>of Technology and Beam Therapeutics Inc., dated November 17, 2020</w:t>
              </w:r>
            </w:hyperlink>
          </w:p>
        </w:tc>
        <w:tc>
          <w:tcPr>
            <w:tcW w:w="3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10.33</w:t>
            </w:r>
          </w:p>
        </w:tc>
        <w:tc>
          <w:tcPr>
            <w:tcW w:w="6140" w:type="dxa"/>
            <w:vAlign w:val="bottom"/>
            <w:gridSpan w:val="22"/>
          </w:tcPr>
          <w:p>
            <w:pPr>
              <w:spacing w:after="0"/>
              <w:rPr>
                <w:rFonts w:ascii="Arial" w:cs="Arial" w:eastAsia="Arial" w:hAnsi="Arial"/>
                <w:sz w:val="18"/>
                <w:szCs w:val="18"/>
                <w:color w:val="0000FF"/>
              </w:rPr>
            </w:pPr>
            <w:hyperlink w:anchor="page194">
              <w:r>
                <w:rPr>
                  <w:rFonts w:ascii="Arial" w:cs="Arial" w:eastAsia="Arial" w:hAnsi="Arial"/>
                  <w:sz w:val="18"/>
                  <w:szCs w:val="18"/>
                  <w:color w:val="0000FF"/>
                </w:rPr>
                <w:t>Amendment No. 3 to Indenture of Lease, between Massachusetts Institute</w:t>
              </w:r>
            </w:hyperlink>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155"/>
        </w:trPr>
        <w:tc>
          <w:tcPr>
            <w:tcW w:w="100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w:anchor="page194">
              <w:r>
                <w:rPr>
                  <w:rFonts w:ascii="Arial" w:cs="Arial" w:eastAsia="Arial" w:hAnsi="Arial"/>
                  <w:sz w:val="18"/>
                  <w:szCs w:val="18"/>
                  <w:color w:val="0000FF"/>
                  <w:w w:val="89"/>
                </w:rPr>
                <w:t>of Technology and Beam Therapeutics Inc., dated August 24,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5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10.34</w:t>
            </w:r>
          </w:p>
        </w:tc>
        <w:tc>
          <w:tcPr>
            <w:tcW w:w="6140" w:type="dxa"/>
            <w:vAlign w:val="bottom"/>
            <w:gridSpan w:val="22"/>
          </w:tcPr>
          <w:p>
            <w:pPr>
              <w:spacing w:after="0"/>
              <w:rPr>
                <w:rFonts w:ascii="Arial" w:cs="Arial" w:eastAsia="Arial" w:hAnsi="Arial"/>
                <w:sz w:val="18"/>
                <w:szCs w:val="18"/>
                <w:color w:val="0000FF"/>
                <w:w w:val="94"/>
              </w:rPr>
            </w:pPr>
            <w:hyperlink r:id="rId206">
              <w:r>
                <w:rPr>
                  <w:rFonts w:ascii="Arial" w:cs="Arial" w:eastAsia="Arial" w:hAnsi="Arial"/>
                  <w:sz w:val="18"/>
                  <w:szCs w:val="18"/>
                  <w:color w:val="0000FF"/>
                  <w:w w:val="94"/>
                </w:rPr>
                <w:t xml:space="preserve">Amendment No. 1 to Sales Agreement, dated July 7, 2021, by and between   </w:t>
              </w:r>
            </w:hyperlink>
            <w:r>
              <w:rPr>
                <w:rFonts w:ascii="Arial" w:cs="Arial" w:eastAsia="Arial" w:hAnsi="Arial"/>
                <w:sz w:val="18"/>
                <w:szCs w:val="18"/>
                <w:color w:val="000000"/>
                <w:w w:val="94"/>
              </w:rPr>
              <w:t>8-K</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001-39208</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07/07/2021</w:t>
            </w:r>
          </w:p>
        </w:tc>
        <w:tc>
          <w:tcPr>
            <w:tcW w:w="1240" w:type="dxa"/>
            <w:vAlign w:val="bottom"/>
          </w:tcPr>
          <w:p>
            <w:pPr>
              <w:ind w:left="260"/>
              <w:spacing w:after="0"/>
              <w:rPr>
                <w:sz w:val="20"/>
                <w:szCs w:val="20"/>
                <w:color w:val="auto"/>
              </w:rPr>
            </w:pPr>
            <w:r>
              <w:rPr>
                <w:rFonts w:ascii="Arial" w:cs="Arial" w:eastAsia="Arial" w:hAnsi="Arial"/>
                <w:sz w:val="18"/>
                <w:szCs w:val="18"/>
                <w:color w:val="auto"/>
              </w:rPr>
              <w:t>1.1</w:t>
            </w:r>
          </w:p>
        </w:tc>
      </w:tr>
      <w:tr>
        <w:trPr>
          <w:trHeight w:val="156"/>
        </w:trPr>
        <w:tc>
          <w:tcPr>
            <w:tcW w:w="1000" w:type="dxa"/>
            <w:vAlign w:val="bottom"/>
          </w:tcPr>
          <w:p>
            <w:pPr>
              <w:spacing w:after="0"/>
              <w:rPr>
                <w:sz w:val="13"/>
                <w:szCs w:val="13"/>
                <w:color w:val="auto"/>
              </w:rPr>
            </w:pPr>
          </w:p>
        </w:tc>
        <w:tc>
          <w:tcPr>
            <w:tcW w:w="54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Beam Therapeutics Inc. and Jefferies LLC</w:t>
              </w:r>
            </w:hyperlink>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21.1</w:t>
            </w:r>
          </w:p>
        </w:tc>
        <w:tc>
          <w:tcPr>
            <w:tcW w:w="6140" w:type="dxa"/>
            <w:vAlign w:val="bottom"/>
            <w:gridSpan w:val="22"/>
          </w:tcPr>
          <w:p>
            <w:pPr>
              <w:spacing w:after="0"/>
              <w:rPr>
                <w:rFonts w:ascii="Arial" w:cs="Arial" w:eastAsia="Arial" w:hAnsi="Arial"/>
                <w:sz w:val="18"/>
                <w:szCs w:val="18"/>
                <w:color w:val="0000FF"/>
              </w:rPr>
            </w:pPr>
            <w:hyperlink w:anchor="page202">
              <w:r>
                <w:rPr>
                  <w:rFonts w:ascii="Arial" w:cs="Arial" w:eastAsia="Arial" w:hAnsi="Arial"/>
                  <w:sz w:val="18"/>
                  <w:szCs w:val="18"/>
                  <w:color w:val="0000FF"/>
                </w:rPr>
                <w:t>List of Subsidiaries of Beam Therapeutics Inc.</w:t>
              </w:r>
            </w:hyperlink>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23.1</w:t>
            </w:r>
          </w:p>
        </w:tc>
        <w:tc>
          <w:tcPr>
            <w:tcW w:w="6140" w:type="dxa"/>
            <w:vAlign w:val="bottom"/>
            <w:gridSpan w:val="22"/>
          </w:tcPr>
          <w:p>
            <w:pPr>
              <w:spacing w:after="0"/>
              <w:rPr>
                <w:rFonts w:ascii="Arial" w:cs="Arial" w:eastAsia="Arial" w:hAnsi="Arial"/>
                <w:sz w:val="18"/>
                <w:szCs w:val="18"/>
                <w:color w:val="0000FF"/>
              </w:rPr>
            </w:pPr>
            <w:hyperlink w:anchor="page203">
              <w:r>
                <w:rPr>
                  <w:rFonts w:ascii="Arial" w:cs="Arial" w:eastAsia="Arial" w:hAnsi="Arial"/>
                  <w:sz w:val="18"/>
                  <w:szCs w:val="18"/>
                  <w:color w:val="0000FF"/>
                </w:rPr>
                <w:t>Consent of Deloitte &amp; Touche LLP</w:t>
              </w:r>
            </w:hyperlink>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20"/>
        </w:trPr>
        <w:tc>
          <w:tcPr>
            <w:tcW w:w="10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6140" w:type="dxa"/>
            <w:vAlign w:val="bottom"/>
            <w:gridSpan w:val="22"/>
          </w:tcPr>
          <w:p>
            <w:pPr>
              <w:spacing w:after="0"/>
              <w:rPr>
                <w:rFonts w:ascii="Arial" w:cs="Arial" w:eastAsia="Arial" w:hAnsi="Arial"/>
                <w:sz w:val="18"/>
                <w:szCs w:val="18"/>
                <w:color w:val="0000FF"/>
              </w:rPr>
            </w:pPr>
            <w:hyperlink w:anchor="page204">
              <w:r>
                <w:rPr>
                  <w:rFonts w:ascii="Arial" w:cs="Arial" w:eastAsia="Arial" w:hAnsi="Arial"/>
                  <w:sz w:val="18"/>
                  <w:szCs w:val="18"/>
                  <w:color w:val="0000FF"/>
                </w:rPr>
                <w:t>Certification of Principal Executive Officer Pursuant to Rules 13a-14(a)</w:t>
              </w:r>
            </w:hyperlink>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155"/>
        </w:trPr>
        <w:tc>
          <w:tcPr>
            <w:tcW w:w="1000" w:type="dxa"/>
            <w:vAlign w:val="bottom"/>
          </w:tcPr>
          <w:p>
            <w:pPr>
              <w:spacing w:after="0"/>
              <w:rPr>
                <w:sz w:val="13"/>
                <w:szCs w:val="13"/>
                <w:color w:val="auto"/>
              </w:rPr>
            </w:pPr>
          </w:p>
        </w:tc>
        <w:tc>
          <w:tcPr>
            <w:tcW w:w="5200" w:type="dxa"/>
            <w:vAlign w:val="bottom"/>
            <w:tcBorders>
              <w:top w:val="single" w:sz="8" w:color="0000FF"/>
            </w:tcBorders>
            <w:gridSpan w:val="17"/>
          </w:tcPr>
          <w:p>
            <w:pPr>
              <w:spacing w:after="0" w:line="156" w:lineRule="exact"/>
              <w:rPr>
                <w:rFonts w:ascii="Arial" w:cs="Arial" w:eastAsia="Arial" w:hAnsi="Arial"/>
                <w:sz w:val="18"/>
                <w:szCs w:val="18"/>
                <w:color w:val="0000FF"/>
                <w:w w:val="92"/>
              </w:rPr>
            </w:pPr>
            <w:hyperlink w:anchor="page204">
              <w:r>
                <w:rPr>
                  <w:rFonts w:ascii="Arial" w:cs="Arial" w:eastAsia="Arial" w:hAnsi="Arial"/>
                  <w:sz w:val="18"/>
                  <w:szCs w:val="18"/>
                  <w:color w:val="0000FF"/>
                  <w:w w:val="92"/>
                </w:rPr>
                <w:t>and 15d-14(a) under the Securities Exchange Act of 1934, as Adopted</w:t>
              </w:r>
            </w:hyperlink>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43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w:anchor="page204">
              <w:r>
                <w:rPr>
                  <w:rFonts w:ascii="Arial" w:cs="Arial" w:eastAsia="Arial" w:hAnsi="Arial"/>
                  <w:sz w:val="18"/>
                  <w:szCs w:val="18"/>
                  <w:color w:val="0000FF"/>
                  <w:w w:val="89"/>
                </w:rPr>
                <w:t>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740" w:type="dxa"/>
            <w:vAlign w:val="bottom"/>
            <w:tcBorders>
              <w:top w:val="single" w:sz="8" w:color="0000FF"/>
            </w:tcBorders>
            <w:gridSpan w:val="6"/>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6140" w:type="dxa"/>
            <w:vAlign w:val="bottom"/>
            <w:gridSpan w:val="22"/>
          </w:tcPr>
          <w:p>
            <w:pPr>
              <w:spacing w:after="0"/>
              <w:rPr>
                <w:rFonts w:ascii="Arial" w:cs="Arial" w:eastAsia="Arial" w:hAnsi="Arial"/>
                <w:sz w:val="18"/>
                <w:szCs w:val="18"/>
                <w:color w:val="0000FF"/>
              </w:rPr>
            </w:pPr>
            <w:hyperlink w:anchor="page206">
              <w:r>
                <w:rPr>
                  <w:rFonts w:ascii="Arial" w:cs="Arial" w:eastAsia="Arial" w:hAnsi="Arial"/>
                  <w:sz w:val="18"/>
                  <w:szCs w:val="18"/>
                  <w:color w:val="0000FF"/>
                </w:rPr>
                <w:t>Certification of Principal Financial Officer Pursuant to Rules 13a-14(a) and</w:t>
              </w:r>
            </w:hyperlink>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155"/>
        </w:trPr>
        <w:tc>
          <w:tcPr>
            <w:tcW w:w="1000" w:type="dxa"/>
            <w:vAlign w:val="bottom"/>
          </w:tcPr>
          <w:p>
            <w:pPr>
              <w:spacing w:after="0"/>
              <w:rPr>
                <w:sz w:val="13"/>
                <w:szCs w:val="13"/>
                <w:color w:val="auto"/>
              </w:rPr>
            </w:pPr>
          </w:p>
        </w:tc>
        <w:tc>
          <w:tcPr>
            <w:tcW w:w="54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w:anchor="page206">
              <w:r>
                <w:rPr>
                  <w:rFonts w:ascii="Arial" w:cs="Arial" w:eastAsia="Arial" w:hAnsi="Arial"/>
                  <w:sz w:val="18"/>
                  <w:szCs w:val="18"/>
                  <w:color w:val="0000FF"/>
                  <w:w w:val="89"/>
                </w:rPr>
                <w:t>15d-14(a) under the Securities Exchange Act of 1934, as Adopted Pursuant</w:t>
              </w:r>
            </w:hyperlink>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3620" w:type="dxa"/>
            <w:vAlign w:val="bottom"/>
            <w:tcBorders>
              <w:bottom w:val="single" w:sz="8" w:color="0000FF"/>
            </w:tcBorders>
            <w:gridSpan w:val="6"/>
          </w:tcPr>
          <w:p>
            <w:pPr>
              <w:spacing w:after="0" w:line="156" w:lineRule="exact"/>
              <w:rPr>
                <w:rFonts w:ascii="Arial" w:cs="Arial" w:eastAsia="Arial" w:hAnsi="Arial"/>
                <w:sz w:val="18"/>
                <w:szCs w:val="18"/>
                <w:color w:val="0000FF"/>
                <w:w w:val="89"/>
              </w:rPr>
            </w:pPr>
            <w:hyperlink w:anchor="page206">
              <w:r>
                <w:rPr>
                  <w:rFonts w:ascii="Arial" w:cs="Arial" w:eastAsia="Arial" w:hAnsi="Arial"/>
                  <w:sz w:val="18"/>
                  <w:szCs w:val="18"/>
                  <w:color w:val="0000FF"/>
                  <w:w w:val="89"/>
                </w:rPr>
                <w:t>to Section 302 of the Sarbanes-Oxley Act of 2002.</w:t>
              </w:r>
            </w:hyperlink>
          </w:p>
        </w:tc>
        <w:tc>
          <w:tcPr>
            <w:tcW w:w="20" w:type="dxa"/>
            <w:vAlign w:val="bottom"/>
            <w:tcBorders>
              <w:bottom w:val="single" w:sz="8" w:color="0000EE"/>
            </w:tcBorders>
          </w:tcPr>
          <w:p>
            <w:pPr>
              <w:spacing w:after="0"/>
              <w:rPr>
                <w:sz w:val="13"/>
                <w:szCs w:val="13"/>
                <w:color w:val="auto"/>
              </w:rPr>
            </w:pPr>
          </w:p>
        </w:tc>
        <w:tc>
          <w:tcPr>
            <w:tcW w:w="1780" w:type="dxa"/>
            <w:vAlign w:val="bottom"/>
            <w:gridSpan w:val="14"/>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6140" w:type="dxa"/>
            <w:vAlign w:val="bottom"/>
            <w:gridSpan w:val="22"/>
          </w:tcPr>
          <w:p>
            <w:pPr>
              <w:spacing w:after="0"/>
              <w:rPr>
                <w:rFonts w:ascii="Arial" w:cs="Arial" w:eastAsia="Arial" w:hAnsi="Arial"/>
                <w:sz w:val="18"/>
                <w:szCs w:val="18"/>
                <w:color w:val="0000FF"/>
              </w:rPr>
            </w:pPr>
            <w:hyperlink w:anchor="page208">
              <w:r>
                <w:rPr>
                  <w:rFonts w:ascii="Arial" w:cs="Arial" w:eastAsia="Arial" w:hAnsi="Arial"/>
                  <w:sz w:val="18"/>
                  <w:szCs w:val="18"/>
                  <w:color w:val="0000FF"/>
                </w:rPr>
                <w:t>Certification of Principal Executive Officer Pursuant to 18 U.S.C. Section</w:t>
              </w:r>
            </w:hyperlink>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536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w:anchor="page208">
              <w:r>
                <w:rPr>
                  <w:rFonts w:ascii="Arial" w:cs="Arial" w:eastAsia="Arial" w:hAnsi="Arial"/>
                  <w:sz w:val="18"/>
                  <w:szCs w:val="18"/>
                  <w:color w:val="0000FF"/>
                  <w:w w:val="93"/>
                </w:rPr>
                <w:t>1350 as Adopted Pursuant to Section 906 of the Sarbanes-Oxley Act of</w:t>
              </w:r>
            </w:hyperlink>
          </w:p>
        </w:tc>
        <w:tc>
          <w:tcPr>
            <w:tcW w:w="78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208">
              <w:r>
                <w:rPr>
                  <w:rFonts w:ascii="Arial" w:cs="Arial" w:eastAsia="Arial" w:hAnsi="Arial"/>
                  <w:sz w:val="18"/>
                  <w:szCs w:val="18"/>
                  <w:color w:val="0000FF"/>
                  <w:w w:val="79"/>
                </w:rPr>
                <w:t>2002.</w:t>
              </w:r>
            </w:hyperlink>
          </w:p>
        </w:tc>
        <w:tc>
          <w:tcPr>
            <w:tcW w:w="20" w:type="dxa"/>
            <w:vAlign w:val="bottom"/>
            <w:tcBorders>
              <w:top w:val="single" w:sz="8" w:color="0000FF"/>
              <w:bottom w:val="single" w:sz="8" w:color="0000EE"/>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6140" w:type="dxa"/>
            <w:vAlign w:val="bottom"/>
            <w:gridSpan w:val="22"/>
          </w:tcPr>
          <w:p>
            <w:pPr>
              <w:spacing w:after="0"/>
              <w:rPr>
                <w:rFonts w:ascii="Arial" w:cs="Arial" w:eastAsia="Arial" w:hAnsi="Arial"/>
                <w:sz w:val="18"/>
                <w:szCs w:val="18"/>
                <w:color w:val="0000FF"/>
              </w:rPr>
            </w:pPr>
            <w:hyperlink w:anchor="page209">
              <w:r>
                <w:rPr>
                  <w:rFonts w:ascii="Arial" w:cs="Arial" w:eastAsia="Arial" w:hAnsi="Arial"/>
                  <w:sz w:val="18"/>
                  <w:szCs w:val="18"/>
                  <w:color w:val="0000FF"/>
                </w:rPr>
                <w:t>Certification of Principal Financial Officer Pursuant to 18 U.S.C. Section</w:t>
              </w:r>
            </w:hyperlink>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156"/>
        </w:trPr>
        <w:tc>
          <w:tcPr>
            <w:tcW w:w="1000" w:type="dxa"/>
            <w:vAlign w:val="bottom"/>
          </w:tcPr>
          <w:p>
            <w:pPr>
              <w:spacing w:after="0"/>
              <w:rPr>
                <w:sz w:val="13"/>
                <w:szCs w:val="13"/>
                <w:color w:val="auto"/>
              </w:rPr>
            </w:pPr>
          </w:p>
        </w:tc>
        <w:tc>
          <w:tcPr>
            <w:tcW w:w="5300" w:type="dxa"/>
            <w:vAlign w:val="bottom"/>
            <w:tcBorders>
              <w:top w:val="single" w:sz="8" w:color="0000FF"/>
            </w:tcBorders>
            <w:gridSpan w:val="18"/>
          </w:tcPr>
          <w:p>
            <w:pPr>
              <w:spacing w:after="0" w:line="156" w:lineRule="exact"/>
              <w:rPr>
                <w:rFonts w:ascii="Arial" w:cs="Arial" w:eastAsia="Arial" w:hAnsi="Arial"/>
                <w:sz w:val="18"/>
                <w:szCs w:val="18"/>
                <w:color w:val="0000FF"/>
                <w:w w:val="92"/>
              </w:rPr>
            </w:pPr>
            <w:hyperlink w:anchor="page209">
              <w:r>
                <w:rPr>
                  <w:rFonts w:ascii="Arial" w:cs="Arial" w:eastAsia="Arial" w:hAnsi="Arial"/>
                  <w:sz w:val="18"/>
                  <w:szCs w:val="18"/>
                  <w:color w:val="0000FF"/>
                  <w:w w:val="92"/>
                </w:rPr>
                <w:t>1350 as Adopted Pursuant to Section 906 of the Sarbanes-Oxley Act of</w:t>
              </w:r>
            </w:hyperlink>
          </w:p>
        </w:tc>
        <w:tc>
          <w:tcPr>
            <w:tcW w:w="840" w:type="dxa"/>
            <w:vAlign w:val="bottom"/>
            <w:gridSpan w:val="4"/>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5"/>
        </w:trPr>
        <w:tc>
          <w:tcPr>
            <w:tcW w:w="1000" w:type="dxa"/>
            <w:vAlign w:val="bottom"/>
          </w:tcPr>
          <w:p>
            <w:pPr>
              <w:spacing w:after="0"/>
              <w:rPr>
                <w:sz w:val="13"/>
                <w:szCs w:val="13"/>
                <w:color w:val="auto"/>
              </w:rPr>
            </w:pPr>
          </w:p>
        </w:tc>
        <w:tc>
          <w:tcPr>
            <w:tcW w:w="3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9"/>
              </w:rPr>
            </w:pPr>
            <w:hyperlink w:anchor="page209">
              <w:r>
                <w:rPr>
                  <w:rFonts w:ascii="Arial" w:cs="Arial" w:eastAsia="Arial" w:hAnsi="Arial"/>
                  <w:sz w:val="18"/>
                  <w:szCs w:val="18"/>
                  <w:color w:val="0000FF"/>
                  <w:w w:val="79"/>
                </w:rPr>
                <w:t>2002.</w:t>
              </w:r>
            </w:hyperlink>
          </w:p>
        </w:tc>
        <w:tc>
          <w:tcPr>
            <w:tcW w:w="20" w:type="dxa"/>
            <w:vAlign w:val="bottom"/>
            <w:tcBorders>
              <w:top w:val="single" w:sz="8" w:color="0000FF"/>
              <w:bottom w:val="single" w:sz="8" w:color="0000EE"/>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6140" w:type="dxa"/>
            <w:vAlign w:val="bottom"/>
            <w:gridSpan w:val="22"/>
          </w:tcPr>
          <w:p>
            <w:pPr>
              <w:spacing w:after="0"/>
              <w:rPr>
                <w:sz w:val="20"/>
                <w:szCs w:val="20"/>
                <w:color w:val="auto"/>
              </w:rPr>
            </w:pPr>
            <w:r>
              <w:rPr>
                <w:rFonts w:ascii="Arial" w:cs="Arial" w:eastAsia="Arial" w:hAnsi="Arial"/>
                <w:sz w:val="18"/>
                <w:szCs w:val="18"/>
                <w:color w:val="auto"/>
              </w:rPr>
              <w:t>Inline XBRL Instance Document - the instance document does not appear</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176"/>
        </w:trPr>
        <w:tc>
          <w:tcPr>
            <w:tcW w:w="1000" w:type="dxa"/>
            <w:vAlign w:val="bottom"/>
          </w:tcPr>
          <w:p>
            <w:pPr>
              <w:spacing w:after="0"/>
              <w:rPr>
                <w:sz w:val="15"/>
                <w:szCs w:val="15"/>
                <w:color w:val="auto"/>
              </w:rPr>
            </w:pPr>
          </w:p>
        </w:tc>
        <w:tc>
          <w:tcPr>
            <w:tcW w:w="6140" w:type="dxa"/>
            <w:vAlign w:val="bottom"/>
            <w:gridSpan w:val="22"/>
          </w:tcPr>
          <w:p>
            <w:pPr>
              <w:spacing w:after="0" w:line="176" w:lineRule="exact"/>
              <w:rPr>
                <w:sz w:val="20"/>
                <w:szCs w:val="20"/>
                <w:color w:val="auto"/>
              </w:rPr>
            </w:pPr>
            <w:r>
              <w:rPr>
                <w:rFonts w:ascii="Arial" w:cs="Arial" w:eastAsia="Arial" w:hAnsi="Arial"/>
                <w:sz w:val="18"/>
                <w:szCs w:val="18"/>
                <w:color w:val="auto"/>
              </w:rPr>
              <w:t>in the Interactive Data File because its XBRL tags are embedded within the</w:t>
            </w:r>
          </w:p>
        </w:tc>
        <w:tc>
          <w:tcPr>
            <w:tcW w:w="1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30"/>
        </w:trPr>
        <w:tc>
          <w:tcPr>
            <w:tcW w:w="1000" w:type="dxa"/>
            <w:vAlign w:val="bottom"/>
          </w:tcPr>
          <w:p>
            <w:pPr>
              <w:spacing w:after="0"/>
              <w:rPr>
                <w:sz w:val="20"/>
                <w:szCs w:val="20"/>
                <w:color w:val="auto"/>
              </w:rPr>
            </w:pPr>
          </w:p>
        </w:tc>
        <w:tc>
          <w:tcPr>
            <w:tcW w:w="6140" w:type="dxa"/>
            <w:vAlign w:val="bottom"/>
            <w:gridSpan w:val="22"/>
          </w:tcPr>
          <w:p>
            <w:pPr>
              <w:spacing w:after="0"/>
              <w:rPr>
                <w:sz w:val="20"/>
                <w:szCs w:val="20"/>
                <w:color w:val="auto"/>
              </w:rPr>
            </w:pPr>
            <w:r>
              <w:rPr>
                <w:rFonts w:ascii="Arial" w:cs="Arial" w:eastAsia="Arial" w:hAnsi="Arial"/>
                <w:sz w:val="18"/>
                <w:szCs w:val="18"/>
                <w:color w:val="auto"/>
              </w:rPr>
              <w:t>Inline XBRL document</w:t>
            </w: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7"/>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614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614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614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614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614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r>
        <w:trPr>
          <w:trHeight w:val="338"/>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6140" w:type="dxa"/>
            <w:vAlign w:val="bottom"/>
            <w:gridSpan w:val="22"/>
          </w:tcPr>
          <w:p>
            <w:pPr>
              <w:spacing w:after="0"/>
              <w:rPr>
                <w:sz w:val="20"/>
                <w:szCs w:val="20"/>
                <w:color w:val="auto"/>
              </w:rPr>
            </w:pPr>
            <w:r>
              <w:rPr>
                <w:rFonts w:ascii="Arial" w:cs="Arial" w:eastAsia="Arial" w:hAnsi="Arial"/>
                <w:sz w:val="18"/>
                <w:szCs w:val="18"/>
                <w:color w:val="auto"/>
                <w:w w:val="97"/>
              </w:rPr>
              <w:t>Cover Page Interactive Data File (embedded within the Inline XBRL document)</w:t>
            </w: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Arial" w:cs="Arial" w:eastAsia="Arial" w:hAnsi="Arial"/>
                <w:sz w:val="18"/>
                <w:szCs w:val="18"/>
                <w:color w:val="auto"/>
                <w:w w:val="82"/>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41" w:lineRule="exact"/>
        <w:rPr>
          <w:sz w:val="20"/>
          <w:szCs w:val="20"/>
          <w:color w:val="auto"/>
        </w:rPr>
      </w:pPr>
    </w:p>
    <w:p>
      <w:pPr>
        <w:ind w:right="240" w:firstLine="8"/>
        <w:spacing w:after="0" w:line="258" w:lineRule="auto"/>
        <w:tabs>
          <w:tab w:leader="none" w:pos="1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Portions of this exhibit have been omitted because the Registrant has determined they are not material and are they type that the Registrant treats as private or confidential.</w:t>
      </w: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23" w:lineRule="exact"/>
        <w:rPr>
          <w:rFonts w:ascii="Arial" w:cs="Arial" w:eastAsia="Arial" w:hAnsi="Arial"/>
          <w:sz w:val="18"/>
          <w:szCs w:val="18"/>
          <w:color w:val="auto"/>
        </w:rPr>
      </w:pPr>
    </w:p>
    <w:p>
      <w:pPr>
        <w:spacing w:after="0" w:line="269" w:lineRule="auto"/>
        <w:rPr>
          <w:rFonts w:ascii="Arial" w:cs="Arial" w:eastAsia="Arial" w:hAnsi="Arial"/>
          <w:sz w:val="18"/>
          <w:szCs w:val="18"/>
          <w:color w:val="auto"/>
        </w:rPr>
      </w:pPr>
      <w:r>
        <w:rPr>
          <w:rFonts w:ascii="Arial" w:cs="Arial" w:eastAsia="Arial" w:hAnsi="Arial"/>
          <w:sz w:val="17"/>
          <w:szCs w:val="17"/>
          <w:color w:val="auto"/>
        </w:rPr>
        <w:t>* This certification will not be deemed “filed” for purposes of Section 18 of the Securities Exchange Act of 1934, as amended, or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51" w:right="57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135" w:name="page136"/>
    <w:bookmarkEnd w:id="13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BEAM THERAPEUTICS INC.</w:t>
      </w:r>
    </w:p>
    <w:p>
      <w:pPr>
        <w:spacing w:after="0" w:line="198" w:lineRule="exact"/>
        <w:rPr>
          <w:sz w:val="20"/>
          <w:szCs w:val="20"/>
          <w:color w:val="auto"/>
        </w:rPr>
      </w:pPr>
    </w:p>
    <w:p>
      <w:pPr>
        <w:ind w:left="20"/>
        <w:spacing w:after="0"/>
        <w:tabs>
          <w:tab w:leader="none" w:pos="5500" w:val="left"/>
          <w:tab w:leader="none" w:pos="800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6350</wp:posOffset>
            </wp:positionV>
            <wp:extent cx="34201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John Evans</w:t>
      </w:r>
    </w:p>
    <w:p>
      <w:pPr>
        <w:jc w:val="center"/>
        <w:ind w:left="5840"/>
        <w:spacing w:after="0"/>
        <w:rPr>
          <w:sz w:val="20"/>
          <w:szCs w:val="20"/>
          <w:color w:val="auto"/>
        </w:rPr>
      </w:pPr>
      <w:r>
        <w:rPr>
          <w:rFonts w:ascii="Arial" w:cs="Arial" w:eastAsia="Arial" w:hAnsi="Arial"/>
          <w:sz w:val="18"/>
          <w:szCs w:val="18"/>
          <w:b w:val="1"/>
          <w:bCs w:val="1"/>
          <w:color w:val="auto"/>
        </w:rPr>
        <w:t>Chief Executive Officer</w:t>
      </w:r>
    </w:p>
    <w:p>
      <w:pPr>
        <w:spacing w:after="0" w:line="10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40" w:type="dxa"/>
            <w:vAlign w:val="bottom"/>
          </w:tcPr>
          <w:p>
            <w:pPr>
              <w:spacing w:after="0"/>
              <w:rPr>
                <w:sz w:val="16"/>
                <w:szCs w:val="16"/>
                <w:color w:val="auto"/>
              </w:rPr>
            </w:pPr>
          </w:p>
        </w:tc>
        <w:tc>
          <w:tcPr>
            <w:tcW w:w="526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9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Evans</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February 28, 2022</w:t>
            </w:r>
          </w:p>
        </w:tc>
      </w:tr>
      <w:tr>
        <w:trPr>
          <w:trHeight w:val="228"/>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9"/>
              </w:rPr>
              <w:t>John Evans</w:t>
            </w:r>
          </w:p>
        </w:tc>
        <w:tc>
          <w:tcPr>
            <w:tcW w:w="1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06"/>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Terry-Ann Burrell</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February 28, 2022</w:t>
            </w:r>
          </w:p>
        </w:tc>
      </w:tr>
      <w:tr>
        <w:trPr>
          <w:trHeight w:val="228"/>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5"/>
              </w:rPr>
              <w:t>Terry-Ann Burrell</w:t>
            </w:r>
          </w:p>
        </w:tc>
        <w:tc>
          <w:tcPr>
            <w:tcW w:w="14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06"/>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Kristina Burow</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February 28, 2022</w:t>
            </w:r>
          </w:p>
        </w:tc>
      </w:tr>
      <w:tr>
        <w:trPr>
          <w:trHeight w:val="228"/>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3"/>
              </w:rPr>
              <w:t>Kristina Burow</w:t>
            </w:r>
          </w:p>
        </w:tc>
        <w:tc>
          <w:tcPr>
            <w:tcW w:w="1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06"/>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Graham Cooper</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February 28, 2022</w:t>
            </w:r>
          </w:p>
        </w:tc>
      </w:tr>
      <w:tr>
        <w:trPr>
          <w:trHeight w:val="228"/>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2"/>
              </w:rPr>
              <w:t>Graham Cooper</w:t>
            </w:r>
          </w:p>
        </w:tc>
        <w:tc>
          <w:tcPr>
            <w:tcW w:w="1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06"/>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Mark Fishman</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February 28, 2022</w:t>
            </w:r>
          </w:p>
        </w:tc>
      </w:tr>
      <w:tr>
        <w:trPr>
          <w:trHeight w:val="228"/>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6"/>
              </w:rPr>
              <w:t>Mark Fishman, M.D.</w:t>
            </w:r>
          </w:p>
        </w:tc>
        <w:tc>
          <w:tcPr>
            <w:tcW w:w="1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06"/>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Carole Ho</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February 28, 2022</w:t>
            </w:r>
          </w:p>
        </w:tc>
      </w:tr>
      <w:tr>
        <w:trPr>
          <w:trHeight w:val="228"/>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6"/>
              </w:rPr>
              <w:t>Carole Ho, M.D.</w:t>
            </w:r>
          </w:p>
        </w:tc>
        <w:tc>
          <w:tcPr>
            <w:tcW w:w="1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06"/>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Maraganore</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February 28, 2022</w:t>
            </w:r>
          </w:p>
        </w:tc>
      </w:tr>
      <w:tr>
        <w:trPr>
          <w:trHeight w:val="228"/>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2"/>
              </w:rPr>
              <w:t>John Maraganore, Ph.D.</w:t>
            </w:r>
          </w:p>
        </w:tc>
        <w:tc>
          <w:tcPr>
            <w:tcW w:w="1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306"/>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Kathleen Walsh</w:t>
            </w:r>
          </w:p>
        </w:tc>
        <w:tc>
          <w:tcPr>
            <w:tcW w:w="14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February 28, 2022</w:t>
            </w:r>
          </w:p>
        </w:tc>
      </w:tr>
      <w:tr>
        <w:trPr>
          <w:trHeight w:val="228"/>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0"/>
              </w:rPr>
              <w:t>Kathleen Walsh</w:t>
            </w:r>
          </w:p>
        </w:tc>
        <w:tc>
          <w:tcPr>
            <w:tcW w:w="1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603"/>
        </w:trPr>
        <w:tc>
          <w:tcPr>
            <w:tcW w:w="3500" w:type="dxa"/>
            <w:vAlign w:val="bottom"/>
          </w:tcPr>
          <w:p>
            <w:pPr>
              <w:spacing w:after="0"/>
              <w:rPr>
                <w:sz w:val="24"/>
                <w:szCs w:val="24"/>
                <w:color w:val="auto"/>
              </w:rPr>
            </w:pPr>
          </w:p>
        </w:tc>
        <w:tc>
          <w:tcPr>
            <w:tcW w:w="5400" w:type="dxa"/>
            <w:vAlign w:val="bottom"/>
            <w:gridSpan w:val="2"/>
          </w:tcPr>
          <w:p>
            <w:pPr>
              <w:jc w:val="right"/>
              <w:ind w:right="305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1"/>
        </w:trPr>
        <w:tc>
          <w:tcPr>
            <w:tcW w:w="35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6" w:name="page137"/>
    <w:bookmarkEnd w:id="136"/>
    <w:tbl>
      <w:tblPr>
        <w:tblLayout w:type="fixed"/>
        <w:tblInd w:w="1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0" w:type="dxa"/>
            <w:vAlign w:val="bottom"/>
            <w:gridSpan w:val="5"/>
          </w:tcPr>
          <w:p>
            <w:pPr>
              <w:jc w:val="center"/>
              <w:ind w:right="1320"/>
              <w:spacing w:after="0"/>
              <w:rPr>
                <w:sz w:val="20"/>
                <w:szCs w:val="20"/>
                <w:color w:val="auto"/>
              </w:rPr>
            </w:pPr>
            <w:r>
              <w:rPr>
                <w:rFonts w:ascii="Arial" w:cs="Arial" w:eastAsia="Arial" w:hAnsi="Arial"/>
                <w:sz w:val="18"/>
                <w:szCs w:val="18"/>
                <w:b w:val="1"/>
                <w:bCs w:val="1"/>
                <w:color w:val="auto"/>
              </w:rPr>
              <w:t>INDEX TO CONSOLIDATED FINANCIAL STATEMENTS</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9460" w:type="dxa"/>
            <w:vAlign w:val="bottom"/>
            <w:gridSpan w:val="9"/>
          </w:tcPr>
          <w:p>
            <w:pPr>
              <w:ind w:left="20"/>
              <w:spacing w:after="0"/>
              <w:rPr>
                <w:rFonts w:ascii="Arial" w:cs="Arial" w:eastAsia="Arial" w:hAnsi="Arial"/>
                <w:sz w:val="18"/>
                <w:szCs w:val="18"/>
                <w:color w:val="0000FF"/>
              </w:rPr>
            </w:pPr>
            <w:hyperlink w:anchor="page138">
              <w:r>
                <w:rPr>
                  <w:rFonts w:ascii="Arial" w:cs="Arial" w:eastAsia="Arial" w:hAnsi="Arial"/>
                  <w:sz w:val="18"/>
                  <w:szCs w:val="18"/>
                  <w:color w:val="0000FF"/>
                </w:rPr>
                <w:t>Report of independent registered public accounting firm (PCAOB ID No. 34)</w:t>
              </w:r>
            </w:hyperlink>
          </w:p>
        </w:tc>
        <w:tc>
          <w:tcPr>
            <w:tcW w:w="1780" w:type="dxa"/>
            <w:vAlign w:val="bottom"/>
          </w:tcPr>
          <w:p>
            <w:pPr>
              <w:ind w:left="152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63"/>
        </w:trPr>
        <w:tc>
          <w:tcPr>
            <w:tcW w:w="5360" w:type="dxa"/>
            <w:vAlign w:val="bottom"/>
            <w:tcBorders>
              <w:top w:val="single" w:sz="8" w:color="0000FF"/>
            </w:tcBorders>
            <w:gridSpan w:val="6"/>
          </w:tcPr>
          <w:p>
            <w:pPr>
              <w:ind w:left="20"/>
              <w:spacing w:after="0" w:line="163" w:lineRule="exact"/>
              <w:rPr>
                <w:rFonts w:ascii="Arial" w:cs="Arial" w:eastAsia="Arial" w:hAnsi="Arial"/>
                <w:sz w:val="18"/>
                <w:szCs w:val="18"/>
                <w:color w:val="0000FF"/>
              </w:rPr>
            </w:pPr>
            <w:hyperlink w:anchor="page140">
              <w:r>
                <w:rPr>
                  <w:rFonts w:ascii="Arial" w:cs="Arial" w:eastAsia="Arial" w:hAnsi="Arial"/>
                  <w:sz w:val="18"/>
                  <w:szCs w:val="18"/>
                  <w:color w:val="0000FF"/>
                </w:rPr>
                <w:t>Consolidated balance sheets</w:t>
              </w:r>
            </w:hyperlink>
          </w:p>
        </w:tc>
        <w:tc>
          <w:tcPr>
            <w:tcW w:w="240" w:type="dxa"/>
            <w:vAlign w:val="bottom"/>
            <w:tcBorders>
              <w:top w:val="single" w:sz="8" w:color="0000FF"/>
            </w:tcBorders>
          </w:tcPr>
          <w:p>
            <w:pPr>
              <w:spacing w:after="0"/>
              <w:rPr>
                <w:sz w:val="14"/>
                <w:szCs w:val="14"/>
                <w:color w:val="auto"/>
              </w:rPr>
            </w:pPr>
          </w:p>
        </w:tc>
        <w:tc>
          <w:tcPr>
            <w:tcW w:w="1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780" w:type="dxa"/>
            <w:vAlign w:val="bottom"/>
          </w:tcPr>
          <w:p>
            <w:pPr>
              <w:ind w:left="1520"/>
              <w:spacing w:after="0" w:line="163"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83"/>
        </w:trPr>
        <w:tc>
          <w:tcPr>
            <w:tcW w:w="2060" w:type="dxa"/>
            <w:vAlign w:val="bottom"/>
            <w:tcBorders>
              <w:top w:val="single" w:sz="8" w:color="0000FF"/>
            </w:tcBorders>
          </w:tcPr>
          <w:p>
            <w:pPr>
              <w:ind w:left="20"/>
              <w:spacing w:after="0" w:line="182" w:lineRule="exact"/>
              <w:rPr>
                <w:rFonts w:ascii="Arial" w:cs="Arial" w:eastAsia="Arial" w:hAnsi="Arial"/>
                <w:sz w:val="18"/>
                <w:szCs w:val="18"/>
                <w:color w:val="0000FF"/>
                <w:w w:val="92"/>
              </w:rPr>
            </w:pPr>
            <w:hyperlink w:anchor="page141">
              <w:r>
                <w:rPr>
                  <w:rFonts w:ascii="Arial" w:cs="Arial" w:eastAsia="Arial" w:hAnsi="Arial"/>
                  <w:sz w:val="18"/>
                  <w:szCs w:val="18"/>
                  <w:color w:val="0000FF"/>
                  <w:w w:val="92"/>
                </w:rPr>
                <w:t>Consolidated statements of</w:t>
              </w:r>
            </w:hyperlink>
          </w:p>
        </w:tc>
        <w:tc>
          <w:tcPr>
            <w:tcW w:w="7400" w:type="dxa"/>
            <w:vAlign w:val="bottom"/>
            <w:gridSpan w:val="8"/>
          </w:tcPr>
          <w:p>
            <w:pPr>
              <w:spacing w:after="0" w:line="182" w:lineRule="exact"/>
              <w:rPr>
                <w:rFonts w:ascii="Arial" w:cs="Arial" w:eastAsia="Arial" w:hAnsi="Arial"/>
                <w:sz w:val="18"/>
                <w:szCs w:val="18"/>
                <w:color w:val="0000FF"/>
              </w:rPr>
            </w:pPr>
            <w:hyperlink w:anchor="page141">
              <w:r>
                <w:rPr>
                  <w:rFonts w:ascii="Arial" w:cs="Arial" w:eastAsia="Arial" w:hAnsi="Arial"/>
                  <w:sz w:val="18"/>
                  <w:szCs w:val="18"/>
                  <w:color w:val="0000FF"/>
                </w:rPr>
                <w:t>operations and other comprehensive loss</w:t>
              </w:r>
            </w:hyperlink>
          </w:p>
        </w:tc>
        <w:tc>
          <w:tcPr>
            <w:tcW w:w="1780" w:type="dxa"/>
            <w:vAlign w:val="bottom"/>
          </w:tcPr>
          <w:p>
            <w:pPr>
              <w:ind w:left="1520"/>
              <w:spacing w:after="0" w:line="182"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780" w:type="dxa"/>
            <w:vAlign w:val="bottom"/>
            <w:tcBorders>
              <w:left w:val="single" w:sz="8" w:color="0000EE"/>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80" w:type="dxa"/>
            <w:vAlign w:val="bottom"/>
            <w:vMerge w:val="restart"/>
          </w:tcPr>
          <w:p>
            <w:pPr>
              <w:ind w:left="1520"/>
              <w:spacing w:after="0" w:line="202"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line="20" w:lineRule="exact"/>
              <w:rPr>
                <w:sz w:val="1"/>
                <w:szCs w:val="1"/>
                <w:color w:val="auto"/>
              </w:rPr>
            </w:pPr>
          </w:p>
        </w:tc>
      </w:tr>
      <w:tr>
        <w:trPr>
          <w:trHeight w:val="183"/>
        </w:trPr>
        <w:tc>
          <w:tcPr>
            <w:tcW w:w="9460" w:type="dxa"/>
            <w:vAlign w:val="bottom"/>
            <w:gridSpan w:val="9"/>
          </w:tcPr>
          <w:p>
            <w:pPr>
              <w:ind w:left="20"/>
              <w:spacing w:after="0" w:line="182" w:lineRule="exact"/>
              <w:rPr>
                <w:rFonts w:ascii="Arial" w:cs="Arial" w:eastAsia="Arial" w:hAnsi="Arial"/>
                <w:sz w:val="18"/>
                <w:szCs w:val="18"/>
                <w:color w:val="0000FF"/>
              </w:rPr>
            </w:pPr>
            <w:hyperlink w:anchor="page142">
              <w:r>
                <w:rPr>
                  <w:rFonts w:ascii="Arial" w:cs="Arial" w:eastAsia="Arial" w:hAnsi="Arial"/>
                  <w:sz w:val="18"/>
                  <w:szCs w:val="18"/>
                  <w:color w:val="0000FF"/>
                </w:rPr>
                <w:t>Consolidated statements of redeemable convertible preferred stock and stockholders’ equity (deficit)</w:t>
              </w:r>
            </w:hyperlink>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80" w:type="dxa"/>
            <w:vAlign w:val="bottom"/>
            <w:tcBorders>
              <w:top w:val="single" w:sz="8" w:color="0000FF"/>
              <w:bottom w:val="single" w:sz="8" w:color="0000FF"/>
            </w:tcBorders>
            <w:gridSpan w:val="2"/>
          </w:tcPr>
          <w:p>
            <w:pPr>
              <w:ind w:left="20"/>
              <w:spacing w:after="0" w:line="182" w:lineRule="exact"/>
              <w:rPr>
                <w:rFonts w:ascii="Arial" w:cs="Arial" w:eastAsia="Arial" w:hAnsi="Arial"/>
                <w:sz w:val="18"/>
                <w:szCs w:val="18"/>
                <w:color w:val="0000FF"/>
                <w:w w:val="89"/>
              </w:rPr>
            </w:pPr>
            <w:hyperlink w:anchor="page143">
              <w:r>
                <w:rPr>
                  <w:rFonts w:ascii="Arial" w:cs="Arial" w:eastAsia="Arial" w:hAnsi="Arial"/>
                  <w:sz w:val="18"/>
                  <w:szCs w:val="18"/>
                  <w:color w:val="0000FF"/>
                  <w:w w:val="89"/>
                </w:rPr>
                <w:t>Consolidated statements of cash flows</w:t>
              </w:r>
            </w:hyperlink>
          </w:p>
        </w:tc>
        <w:tc>
          <w:tcPr>
            <w:tcW w:w="20" w:type="dxa"/>
            <w:vAlign w:val="bottom"/>
            <w:tcBorders>
              <w:top w:val="single" w:sz="8" w:color="0000FF"/>
              <w:bottom w:val="single" w:sz="8" w:color="0000EE"/>
            </w:tcBorders>
          </w:tcPr>
          <w:p>
            <w:pPr>
              <w:spacing w:after="0"/>
              <w:rPr>
                <w:sz w:val="15"/>
                <w:szCs w:val="15"/>
                <w:color w:val="auto"/>
              </w:rPr>
            </w:pPr>
          </w:p>
        </w:tc>
        <w:tc>
          <w:tcPr>
            <w:tcW w:w="4460" w:type="dxa"/>
            <w:vAlign w:val="bottom"/>
            <w:tcBorders>
              <w:top w:val="single" w:sz="8" w:color="0000FF"/>
            </w:tcBorders>
            <w:gridSpan w:val="5"/>
          </w:tcPr>
          <w:p>
            <w:pPr>
              <w:spacing w:after="0"/>
              <w:rPr>
                <w:sz w:val="15"/>
                <w:szCs w:val="15"/>
                <w:color w:val="auto"/>
              </w:rPr>
            </w:pPr>
          </w:p>
        </w:tc>
        <w:tc>
          <w:tcPr>
            <w:tcW w:w="2200" w:type="dxa"/>
            <w:vAlign w:val="bottom"/>
          </w:tcPr>
          <w:p>
            <w:pPr>
              <w:spacing w:after="0"/>
              <w:rPr>
                <w:sz w:val="15"/>
                <w:szCs w:val="15"/>
                <w:color w:val="auto"/>
              </w:rPr>
            </w:pPr>
          </w:p>
        </w:tc>
        <w:tc>
          <w:tcPr>
            <w:tcW w:w="1780" w:type="dxa"/>
            <w:vAlign w:val="bottom"/>
          </w:tcPr>
          <w:p>
            <w:pPr>
              <w:ind w:left="1520"/>
              <w:spacing w:after="0" w:line="182"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83"/>
        </w:trPr>
        <w:tc>
          <w:tcPr>
            <w:tcW w:w="9460" w:type="dxa"/>
            <w:vAlign w:val="bottom"/>
            <w:gridSpan w:val="9"/>
          </w:tcPr>
          <w:p>
            <w:pPr>
              <w:ind w:left="20"/>
              <w:spacing w:after="0" w:line="182" w:lineRule="exact"/>
              <w:rPr>
                <w:rFonts w:ascii="Arial" w:cs="Arial" w:eastAsia="Arial" w:hAnsi="Arial"/>
                <w:sz w:val="18"/>
                <w:szCs w:val="18"/>
                <w:color w:val="0000FF"/>
              </w:rPr>
            </w:pPr>
            <w:hyperlink w:anchor="page145">
              <w:r>
                <w:rPr>
                  <w:rFonts w:ascii="Arial" w:cs="Arial" w:eastAsia="Arial" w:hAnsi="Arial"/>
                  <w:sz w:val="18"/>
                  <w:szCs w:val="18"/>
                  <w:color w:val="0000FF"/>
                </w:rPr>
                <w:t>Notes to consolidated financial statements</w:t>
              </w:r>
            </w:hyperlink>
          </w:p>
        </w:tc>
        <w:tc>
          <w:tcPr>
            <w:tcW w:w="1780" w:type="dxa"/>
            <w:vAlign w:val="bottom"/>
          </w:tcPr>
          <w:p>
            <w:pPr>
              <w:ind w:left="1520"/>
              <w:spacing w:after="0" w:line="182" w:lineRule="exact"/>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426"/>
        </w:trPr>
        <w:tc>
          <w:tcPr>
            <w:tcW w:w="20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00" w:type="dxa"/>
            <w:vAlign w:val="bottom"/>
            <w:gridSpan w:val="3"/>
          </w:tcPr>
          <w:p>
            <w:pPr>
              <w:jc w:val="center"/>
              <w:ind w:right="3580"/>
              <w:spacing w:after="0"/>
              <w:rPr>
                <w:sz w:val="20"/>
                <w:szCs w:val="20"/>
                <w:color w:val="auto"/>
              </w:rPr>
            </w:pPr>
            <w:r>
              <w:rPr>
                <w:rFonts w:ascii="Arial" w:cs="Arial" w:eastAsia="Arial" w:hAnsi="Arial"/>
                <w:sz w:val="18"/>
                <w:szCs w:val="18"/>
                <w:color w:val="auto"/>
                <w:w w:val="88"/>
              </w:rPr>
              <w:t>F-1</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7" w:name="page138"/>
    <w:bookmarkEnd w:id="137"/>
    <w:p>
      <w:pPr>
        <w:ind w:right="2520" w:firstLine="2535"/>
        <w:spacing w:after="0" w:line="3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Beam Therapeutics Inc.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have audited the accompanying consolidated balance sheets of Beam Therapeutics Inc. and subsidiaries (the "Company") as of December 31, 2021 and 2020, the related consolidated statements of operations and other comprehensive loss, redeemable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6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28, 2022, expressed an unqualified opinion on the Company's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0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1" w:lineRule="exact"/>
        <w:rPr>
          <w:sz w:val="20"/>
          <w:szCs w:val="20"/>
          <w:color w:val="auto"/>
        </w:rPr>
      </w:pPr>
    </w:p>
    <w:p>
      <w:pPr>
        <w:ind w:right="2440"/>
        <w:spacing w:after="0" w:line="360" w:lineRule="auto"/>
        <w:rPr>
          <w:sz w:val="20"/>
          <w:szCs w:val="20"/>
          <w:color w:val="auto"/>
        </w:rPr>
      </w:pPr>
      <w:r>
        <w:rPr>
          <w:rFonts w:ascii="Arial" w:cs="Arial" w:eastAsia="Arial" w:hAnsi="Arial"/>
          <w:sz w:val="18"/>
          <w:szCs w:val="18"/>
          <w:b w:val="1"/>
          <w:bCs w:val="1"/>
          <w:i w:val="1"/>
          <w:iCs w:val="1"/>
          <w:color w:val="auto"/>
        </w:rPr>
        <w:t xml:space="preserve">Guide Asset Acquisition – Contingent Consideration Liabilities— Refer to Notes 2, 4, and 8 to the financial statements </w:t>
      </w:r>
      <w:r>
        <w:rPr>
          <w:rFonts w:ascii="Arial" w:cs="Arial" w:eastAsia="Arial" w:hAnsi="Arial"/>
          <w:sz w:val="18"/>
          <w:szCs w:val="18"/>
          <w:i w:val="1"/>
          <w:iCs w:val="1"/>
          <w:color w:val="auto"/>
        </w:rPr>
        <w:t>Critical Audit Matter Description</w:t>
      </w:r>
    </w:p>
    <w:p>
      <w:pPr>
        <w:ind w:right="60"/>
        <w:spacing w:after="0" w:line="241" w:lineRule="auto"/>
        <w:rPr>
          <w:sz w:val="20"/>
          <w:szCs w:val="20"/>
          <w:color w:val="auto"/>
        </w:rPr>
      </w:pPr>
      <w:r>
        <w:rPr>
          <w:rFonts w:ascii="Arial" w:cs="Arial" w:eastAsia="Arial" w:hAnsi="Arial"/>
          <w:sz w:val="18"/>
          <w:szCs w:val="18"/>
          <w:color w:val="auto"/>
        </w:rPr>
        <w:t>In February 2021, the Company completed the acquisition of Guide Therapeutics, Inc. (“Guide”) and the transaction was accounted for as an asset acquisition. The Company may be required to make milestone payments to the former stockholders and optionholders of Guide in the form of the Company’s common stock based on the achievement of certain product and technology milestones. As of December 31, 2021 the Company has recorded a liability for the acquisition-related contingent consideration, which is recorded at fair value using unobservable inputs by applying a probability-based valuation model.</w:t>
      </w:r>
    </w:p>
    <w:p>
      <w:pPr>
        <w:spacing w:after="0" w:line="8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key assumptions management used in the valuation model are the probability and timing of achievement of the product and technology milestones, which are not observable in the market, thus representing Level 3 measurements within the fair value hierarchy.</w:t>
      </w:r>
    </w:p>
    <w:p>
      <w:pPr>
        <w:spacing w:after="0" w:line="63"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Given that the valuation of the Guide contingent consideration liability is based on unobservable inputs and is sensitive to changes in the probability and timing of achievement of the milestones, auditing these key assumptions required a high degree of auditor judgment and an increased extent of effort, including the need to involve our fair value specialists.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Guide contingent consideration liability included the following, among others:</w:t>
      </w:r>
    </w:p>
    <w:p>
      <w:pPr>
        <w:spacing w:after="0" w:line="104" w:lineRule="exact"/>
        <w:rPr>
          <w:sz w:val="20"/>
          <w:szCs w:val="20"/>
          <w:color w:val="auto"/>
        </w:rPr>
      </w:pPr>
    </w:p>
    <w:p>
      <w:pPr>
        <w:ind w:left="1020" w:right="780" w:hanging="503"/>
        <w:spacing w:after="0" w:line="274" w:lineRule="auto"/>
        <w:tabs>
          <w:tab w:leader="none" w:pos="10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tested the effectiveness of controls over management’s review of the inputs and assumptions used in the valuation of the Guide contingent consideration liability, including the probability and timing of achievement of the product and technology milestones.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38" w:name="page139"/>
    <w:bookmarkEnd w:id="138"/>
    <w:p>
      <w:pPr>
        <w:ind w:left="1020" w:right="60" w:hanging="503"/>
        <w:spacing w:after="0" w:line="324" w:lineRule="auto"/>
        <w:tabs>
          <w:tab w:leader="none" w:pos="10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inquired of management and the Company’s scientific personnel to understand each milestone and the underlying assumptions, including current progress of development and underlying data associated with development efforts and timing of the related milestones.</w:t>
      </w:r>
    </w:p>
    <w:p>
      <w:pPr>
        <w:spacing w:after="0" w:line="1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read the Guide acquisition agreements to understand the terms of the contingent consideration obligation and compared the contract terms to the valuation model to evaluate consistency.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valuation methodology.</w:t>
      </w:r>
    </w:p>
    <w:p>
      <w:pPr>
        <w:spacing w:after="0" w:line="10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also evaluated the reasonableness of management’s assumptions of the probability and timing of achievement of the product and technology milestones by reviewing (1) internal communications to management and the board of directors, (2) external communications made by management to analysts and investors, and (3) other external sources.</w:t>
      </w:r>
    </w:p>
    <w:p>
      <w:pPr>
        <w:spacing w:after="0" w:line="7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evaluated whether management’s assumptions used for the technology and product milestones were consistent with evidence obtained in other areas of the audit.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9" w:name="page140"/>
    <w:bookmarkEnd w:id="139"/>
    <w:p>
      <w:pPr>
        <w:jc w:val="center"/>
        <w:ind w:right="40"/>
        <w:spacing w:after="0"/>
        <w:rPr>
          <w:sz w:val="20"/>
          <w:szCs w:val="20"/>
          <w:color w:val="auto"/>
        </w:rPr>
      </w:pPr>
      <w:r>
        <w:rPr>
          <w:rFonts w:ascii="Arial" w:cs="Arial" w:eastAsia="Arial" w:hAnsi="Arial"/>
          <w:sz w:val="18"/>
          <w:szCs w:val="18"/>
          <w:b w:val="1"/>
          <w:bCs w:val="1"/>
          <w:color w:val="auto"/>
        </w:rPr>
        <w:t>Beam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559,994</w:t>
            </w:r>
          </w:p>
        </w:tc>
        <w:tc>
          <w:tcPr>
            <w:tcW w:w="64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162,171</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w:t>
            </w:r>
          </w:p>
        </w:tc>
        <w:tc>
          <w:tcPr>
            <w:tcW w:w="40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405,653</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137,500</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Collaboration receivable</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300,000</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7,360</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8,650</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1,273,007</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308,321</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40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84,258</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38,513</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12,746</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14,840</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40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102,718</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86,859</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1,724</w:t>
            </w:r>
          </w:p>
        </w:tc>
        <w:tc>
          <w:tcPr>
            <w:tcW w:w="1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assets</w:t>
            </w:r>
          </w:p>
        </w:tc>
        <w:tc>
          <w:tcPr>
            <w:tcW w:w="40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1,474,453</w:t>
            </w:r>
          </w:p>
        </w:tc>
        <w:tc>
          <w:tcPr>
            <w:tcW w:w="640" w:type="dxa"/>
            <w:vAlign w:val="bottom"/>
            <w:gridSpan w:val="2"/>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451,677</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40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7,474</w:t>
            </w:r>
          </w:p>
        </w:tc>
        <w:tc>
          <w:tcPr>
            <w:tcW w:w="640" w:type="dxa"/>
            <w:vAlign w:val="bottom"/>
            <w:gridSpan w:val="2"/>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28,921</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18,463</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sub-license fees</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38,743</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Derivative liabilities</w:t>
            </w:r>
          </w:p>
        </w:tc>
        <w:tc>
          <w:tcPr>
            <w:tcW w:w="40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42,200</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71,200</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deferred revenue</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86,270</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lease liability</w:t>
            </w:r>
          </w:p>
        </w:tc>
        <w:tc>
          <w:tcPr>
            <w:tcW w:w="40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7,540</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equipment financing liability</w:t>
            </w: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2,287</w:t>
            </w:r>
          </w:p>
        </w:tc>
        <w:tc>
          <w:tcPr>
            <w:tcW w:w="1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7"/>
                <w:szCs w:val="17"/>
                <w:color w:val="auto"/>
              </w:rPr>
            </w:pPr>
          </w:p>
        </w:tc>
        <w:tc>
          <w:tcPr>
            <w:tcW w:w="13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213,435</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102,337</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lease liability</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134,810</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96,014</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Long-term equipment financing liability</w:t>
            </w:r>
          </w:p>
        </w:tc>
        <w:tc>
          <w:tcPr>
            <w:tcW w:w="40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3,007</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Contingent consideration liabilities</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31,367</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Long-term portion of deferred revenue</w:t>
            </w:r>
          </w:p>
        </w:tc>
        <w:tc>
          <w:tcPr>
            <w:tcW w:w="40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262,303</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2,793</w:t>
            </w:r>
          </w:p>
        </w:tc>
        <w:tc>
          <w:tcPr>
            <w:tcW w:w="1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7"/>
                <w:szCs w:val="17"/>
                <w:color w:val="auto"/>
              </w:rPr>
            </w:pPr>
          </w:p>
        </w:tc>
        <w:tc>
          <w:tcPr>
            <w:tcW w:w="13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647,715</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206,116</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8"/>
              </w:rPr>
              <w:t xml:space="preserve">Commitments and contingencies (See Note 7, </w:t>
            </w:r>
            <w:r>
              <w:rPr>
                <w:rFonts w:ascii="Arial" w:cs="Arial" w:eastAsia="Arial" w:hAnsi="Arial"/>
                <w:sz w:val="18"/>
                <w:szCs w:val="18"/>
                <w:i w:val="1"/>
                <w:iCs w:val="1"/>
                <w:color w:val="auto"/>
                <w:w w:val="98"/>
              </w:rPr>
              <w:t>Leases</w:t>
            </w:r>
            <w:r>
              <w:rPr>
                <w:rFonts w:ascii="Arial" w:cs="Arial" w:eastAsia="Arial" w:hAnsi="Arial"/>
                <w:sz w:val="18"/>
                <w:szCs w:val="18"/>
                <w:color w:val="auto"/>
                <w:w w:val="98"/>
              </w:rPr>
              <w:t xml:space="preserve">, Note 9, </w:t>
            </w:r>
            <w:r>
              <w:rPr>
                <w:rFonts w:ascii="Arial" w:cs="Arial" w:eastAsia="Arial" w:hAnsi="Arial"/>
                <w:sz w:val="18"/>
                <w:szCs w:val="18"/>
                <w:i w:val="1"/>
                <w:iCs w:val="1"/>
                <w:color w:val="auto"/>
                <w:w w:val="98"/>
              </w:rPr>
              <w:t>License agreements</w:t>
            </w:r>
            <w:r>
              <w:rPr>
                <w:rFonts w:ascii="Arial" w:cs="Arial" w:eastAsia="Arial" w:hAnsi="Arial"/>
                <w:sz w:val="18"/>
                <w:szCs w:val="18"/>
                <w:color w:val="auto"/>
                <w:w w:val="98"/>
              </w:rPr>
              <w:t xml:space="preserve"> and Note 10,</w:t>
            </w:r>
          </w:p>
        </w:tc>
        <w:tc>
          <w:tcPr>
            <w:tcW w:w="4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Collaboration and license agreements)</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2"/>
              </w:rPr>
              <w:t>Preferred stock, $0.01 par value; 25,000,000 shares authorized, and no shares issued or outstanding</w:t>
            </w:r>
          </w:p>
        </w:tc>
        <w:tc>
          <w:tcPr>
            <w:tcW w:w="40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at December 31, 2021 and 2020, respectively</w:t>
            </w:r>
          </w:p>
        </w:tc>
        <w:tc>
          <w:tcPr>
            <w:tcW w:w="400" w:type="dxa"/>
            <w:vAlign w:val="bottom"/>
            <w:shd w:val="clear" w:color="auto" w:fill="CFF0FC"/>
          </w:tcPr>
          <w:p>
            <w:pPr>
              <w:spacing w:after="0"/>
              <w:rPr>
                <w:sz w:val="18"/>
                <w:szCs w:val="18"/>
                <w:color w:val="auto"/>
              </w:rPr>
            </w:pPr>
          </w:p>
        </w:tc>
        <w:tc>
          <w:tcPr>
            <w:tcW w:w="13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w w:val="92"/>
              </w:rPr>
              <w:t>Common stock, $0.01 par value; 250,000,000 shares authorized, 68,581,251 and 58,446,016 issued,</w:t>
            </w:r>
          </w:p>
        </w:tc>
        <w:tc>
          <w:tcPr>
            <w:tcW w:w="400" w:type="dxa"/>
            <w:vAlign w:val="bottom"/>
          </w:tcPr>
          <w:p>
            <w:pPr>
              <w:spacing w:after="0"/>
              <w:rPr>
                <w:sz w:val="14"/>
                <w:szCs w:val="14"/>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vMerge w:val="restart"/>
          </w:tcPr>
          <w:p>
            <w:pPr>
              <w:jc w:val="right"/>
              <w:ind w:right="11"/>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and 68,389,425 and 57,254,178 outstanding at December 31, 2021 and 2020, respectively</w:t>
            </w:r>
          </w:p>
        </w:tc>
        <w:tc>
          <w:tcPr>
            <w:tcW w:w="4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1,594,378</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642,633</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40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(50 )</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(768,274 )</w:t>
            </w:r>
          </w:p>
        </w:tc>
        <w:tc>
          <w:tcPr>
            <w:tcW w:w="16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(397,636 )</w:t>
            </w:r>
          </w:p>
        </w:tc>
        <w:tc>
          <w:tcPr>
            <w:tcW w:w="0" w:type="dxa"/>
            <w:vAlign w:val="bottom"/>
          </w:tcPr>
          <w:p>
            <w:pPr>
              <w:spacing w:after="0"/>
              <w:rPr>
                <w:sz w:val="1"/>
                <w:szCs w:val="1"/>
                <w:color w:val="auto"/>
              </w:rPr>
            </w:pPr>
          </w:p>
        </w:tc>
      </w:tr>
      <w:tr>
        <w:trPr>
          <w:trHeight w:val="196"/>
        </w:trPr>
        <w:tc>
          <w:tcPr>
            <w:tcW w:w="7680" w:type="dxa"/>
            <w:vAlign w:val="bottom"/>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826,738</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245,561</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 redeemable convertible preferred stock, and stockholders’ equity</w:t>
            </w: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1,474,453</w:t>
            </w:r>
          </w:p>
        </w:tc>
        <w:tc>
          <w:tcPr>
            <w:tcW w:w="16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451,677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-3768090</wp:posOffset>
            </wp:positionV>
            <wp:extent cx="11176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-2447925</wp:posOffset>
            </wp:positionV>
            <wp:extent cx="11176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-1668145</wp:posOffset>
            </wp:positionV>
            <wp:extent cx="11176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-296545</wp:posOffset>
            </wp:positionV>
            <wp:extent cx="11176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0" w:name="page141"/>
    <w:bookmarkEnd w:id="140"/>
    <w:p>
      <w:pPr>
        <w:jc w:val="center"/>
        <w:ind w:right="40"/>
        <w:spacing w:after="0"/>
        <w:rPr>
          <w:sz w:val="20"/>
          <w:szCs w:val="20"/>
          <w:color w:val="auto"/>
        </w:rPr>
      </w:pPr>
      <w:r>
        <w:rPr>
          <w:rFonts w:ascii="Arial" w:cs="Arial" w:eastAsia="Arial" w:hAnsi="Arial"/>
          <w:sz w:val="18"/>
          <w:szCs w:val="18"/>
          <w:b w:val="1"/>
          <w:bCs w:val="1"/>
          <w:color w:val="auto"/>
        </w:rPr>
        <w:t>Beam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Other Comprehensive Loss</w:t>
      </w: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7"/>
              </w:rPr>
              <w:t>Years Ended December 31,</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License and collaboration revenue</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51,844</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387,087</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103,179</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54,619</w:t>
            </w: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57,222</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29,605</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20,553</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444,309</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132,784</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75,172</w:t>
            </w:r>
          </w:p>
        </w:tc>
        <w:tc>
          <w:tcPr>
            <w:tcW w:w="0" w:type="dxa"/>
            <w:vAlign w:val="bottom"/>
          </w:tcPr>
          <w:p>
            <w:pPr>
              <w:spacing w:after="0"/>
              <w:rPr>
                <w:sz w:val="1"/>
                <w:szCs w:val="1"/>
                <w:color w:val="auto"/>
              </w:rPr>
            </w:pPr>
          </w:p>
        </w:tc>
      </w:tr>
      <w:tr>
        <w:trPr>
          <w:trHeight w:val="196"/>
        </w:trPr>
        <w:tc>
          <w:tcPr>
            <w:tcW w:w="654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(392,465 )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(132,760 )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(75,154 )</w:t>
            </w: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derivative liabilities</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(1,000 )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(63,400 )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(5,400 )</w:t>
            </w: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 of non-controlling equity investments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17,690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517</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contingent consideration liabilities</w:t>
            </w:r>
          </w:p>
        </w:tc>
        <w:tc>
          <w:tcPr>
            <w:tcW w:w="320" w:type="dxa"/>
            <w:vAlign w:val="bottom"/>
          </w:tcPr>
          <w:p>
            <w:pPr>
              <w:spacing w:after="0"/>
              <w:rPr>
                <w:sz w:val="17"/>
                <w:szCs w:val="17"/>
                <w:color w:val="auto"/>
              </w:rPr>
            </w:pPr>
          </w:p>
        </w:tc>
        <w:tc>
          <w:tcPr>
            <w:tcW w:w="11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5,146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and other income (expense), net</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1,051</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196"/>
        </w:trPr>
        <w:tc>
          <w:tcPr>
            <w:tcW w:w="6540" w:type="dxa"/>
            <w:vAlign w:val="bottom"/>
          </w:tcPr>
          <w:p>
            <w:pPr>
              <w:ind w:left="380"/>
              <w:spacing w:after="0" w:line="196" w:lineRule="exact"/>
              <w:rPr>
                <w:sz w:val="20"/>
                <w:szCs w:val="20"/>
                <w:color w:val="auto"/>
              </w:rPr>
            </w:pPr>
            <w:r>
              <w:rPr>
                <w:rFonts w:ascii="Arial" w:cs="Arial" w:eastAsia="Arial" w:hAnsi="Arial"/>
                <w:sz w:val="18"/>
                <w:szCs w:val="18"/>
                <w:color w:val="auto"/>
              </w:rPr>
              <w:t>Total other income (expense)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21,827</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(61,832 )</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(3,172 )</w:t>
            </w:r>
          </w:p>
        </w:tc>
        <w:tc>
          <w:tcPr>
            <w:tcW w:w="0" w:type="dxa"/>
            <w:vAlign w:val="bottom"/>
          </w:tcPr>
          <w:p>
            <w:pPr>
              <w:spacing w:after="0"/>
              <w:rPr>
                <w:sz w:val="1"/>
                <w:szCs w:val="1"/>
                <w:color w:val="auto"/>
              </w:rPr>
            </w:pPr>
          </w:p>
        </w:tc>
      </w:tr>
      <w:tr>
        <w:trPr>
          <w:trHeight w:val="236"/>
        </w:trPr>
        <w:tc>
          <w:tcPr>
            <w:tcW w:w="6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(370,638 )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(194,592 )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(78,326 )</w:t>
            </w:r>
          </w:p>
        </w:tc>
        <w:tc>
          <w:tcPr>
            <w:tcW w:w="0" w:type="dxa"/>
            <w:vAlign w:val="bottom"/>
          </w:tcPr>
          <w:p>
            <w:pPr>
              <w:spacing w:after="0"/>
              <w:rPr>
                <w:sz w:val="1"/>
                <w:szCs w:val="1"/>
                <w:color w:val="auto"/>
              </w:rPr>
            </w:pPr>
          </w:p>
        </w:tc>
      </w:tr>
      <w:tr>
        <w:trPr>
          <w:trHeight w:val="183"/>
        </w:trPr>
        <w:tc>
          <w:tcPr>
            <w:tcW w:w="6540" w:type="dxa"/>
            <w:vAlign w:val="bottom"/>
          </w:tcPr>
          <w:p>
            <w:pPr>
              <w:ind w:left="200"/>
              <w:spacing w:after="0" w:line="183" w:lineRule="exact"/>
              <w:rPr>
                <w:sz w:val="20"/>
                <w:szCs w:val="20"/>
                <w:color w:val="auto"/>
              </w:rPr>
            </w:pPr>
            <w:r>
              <w:rPr>
                <w:rFonts w:ascii="Arial" w:cs="Arial" w:eastAsia="Arial" w:hAnsi="Arial"/>
                <w:sz w:val="18"/>
                <w:szCs w:val="18"/>
                <w:color w:val="auto"/>
              </w:rPr>
              <w:t>Unrealized (loss) gain on marketable securities</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(41 )</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(25 )</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6"/>
        </w:trPr>
        <w:tc>
          <w:tcPr>
            <w:tcW w:w="6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(370,679 )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(194,617 )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(78,310 )</w:t>
            </w:r>
          </w:p>
        </w:tc>
        <w:tc>
          <w:tcPr>
            <w:tcW w:w="0" w:type="dxa"/>
            <w:vAlign w:val="bottom"/>
          </w:tcPr>
          <w:p>
            <w:pPr>
              <w:spacing w:after="0"/>
              <w:rPr>
                <w:sz w:val="1"/>
                <w:szCs w:val="1"/>
                <w:color w:val="auto"/>
              </w:rPr>
            </w:pPr>
          </w:p>
        </w:tc>
      </w:tr>
      <w:tr>
        <w:trPr>
          <w:trHeight w:val="183"/>
        </w:trPr>
        <w:tc>
          <w:tcPr>
            <w:tcW w:w="6540" w:type="dxa"/>
            <w:vAlign w:val="bottom"/>
          </w:tcPr>
          <w:p>
            <w:pPr>
              <w:ind w:left="20"/>
              <w:spacing w:after="0" w:line="183" w:lineRule="exact"/>
              <w:rPr>
                <w:sz w:val="20"/>
                <w:szCs w:val="20"/>
                <w:color w:val="auto"/>
              </w:rPr>
            </w:pPr>
            <w:r>
              <w:rPr>
                <w:rFonts w:ascii="Arial" w:cs="Arial" w:eastAsia="Arial" w:hAnsi="Arial"/>
                <w:sz w:val="18"/>
                <w:szCs w:val="18"/>
                <w:color w:val="auto"/>
              </w:rPr>
              <w:t>Reconciliation of net loss to net loss attributable to common stockholders: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(370,638 )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(194,592 )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(78,326 )</w:t>
            </w:r>
          </w:p>
        </w:tc>
        <w:tc>
          <w:tcPr>
            <w:tcW w:w="0" w:type="dxa"/>
            <w:vAlign w:val="bottom"/>
          </w:tcPr>
          <w:p>
            <w:pPr>
              <w:spacing w:after="0"/>
              <w:rPr>
                <w:sz w:val="1"/>
                <w:szCs w:val="1"/>
                <w:color w:val="auto"/>
              </w:rPr>
            </w:pPr>
          </w:p>
        </w:tc>
      </w:tr>
      <w:tr>
        <w:trPr>
          <w:trHeight w:val="162"/>
        </w:trPr>
        <w:tc>
          <w:tcPr>
            <w:tcW w:w="6540" w:type="dxa"/>
            <w:vAlign w:val="bottom"/>
          </w:tcPr>
          <w:p>
            <w:pPr>
              <w:ind w:left="20"/>
              <w:spacing w:after="0" w:line="162" w:lineRule="exact"/>
              <w:rPr>
                <w:sz w:val="20"/>
                <w:szCs w:val="20"/>
                <w:color w:val="auto"/>
              </w:rPr>
            </w:pPr>
            <w:r>
              <w:rPr>
                <w:rFonts w:ascii="Arial" w:cs="Arial" w:eastAsia="Arial" w:hAnsi="Arial"/>
                <w:sz w:val="18"/>
                <w:szCs w:val="18"/>
                <w:color w:val="auto"/>
                <w:w w:val="99"/>
              </w:rPr>
              <w:t>Accretion of redeemable convertible preferred stock to redemption value, including</w:t>
            </w:r>
          </w:p>
        </w:tc>
        <w:tc>
          <w:tcPr>
            <w:tcW w:w="320" w:type="dxa"/>
            <w:vAlign w:val="bottom"/>
          </w:tcPr>
          <w:p>
            <w:pPr>
              <w:spacing w:after="0"/>
              <w:rPr>
                <w:sz w:val="14"/>
                <w:szCs w:val="14"/>
                <w:color w:val="auto"/>
              </w:rPr>
            </w:pPr>
          </w:p>
        </w:tc>
        <w:tc>
          <w:tcPr>
            <w:tcW w:w="116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(1,277 )</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(12,714 )</w:t>
            </w:r>
          </w:p>
        </w:tc>
        <w:tc>
          <w:tcPr>
            <w:tcW w:w="0" w:type="dxa"/>
            <w:vAlign w:val="bottom"/>
          </w:tcPr>
          <w:p>
            <w:pPr>
              <w:spacing w:after="0"/>
              <w:rPr>
                <w:sz w:val="1"/>
                <w:szCs w:val="1"/>
                <w:color w:val="auto"/>
              </w:rPr>
            </w:pP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dividends on preferred stock</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(370,638 )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(195,869 )</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(91,040 )</w:t>
            </w:r>
          </w:p>
        </w:tc>
        <w:tc>
          <w:tcPr>
            <w:tcW w:w="0" w:type="dxa"/>
            <w:vAlign w:val="bottom"/>
          </w:tcPr>
          <w:p>
            <w:pPr>
              <w:spacing w:after="0"/>
              <w:rPr>
                <w:sz w:val="1"/>
                <w:szCs w:val="1"/>
                <w:color w:val="auto"/>
              </w:rPr>
            </w:pPr>
          </w:p>
        </w:tc>
      </w:tr>
      <w:tr>
        <w:trPr>
          <w:trHeight w:val="183"/>
        </w:trPr>
        <w:tc>
          <w:tcPr>
            <w:tcW w:w="6540" w:type="dxa"/>
            <w:vAlign w:val="bottom"/>
          </w:tcPr>
          <w:p>
            <w:pPr>
              <w:ind w:left="20"/>
              <w:spacing w:after="0" w:line="183" w:lineRule="exact"/>
              <w:rPr>
                <w:sz w:val="20"/>
                <w:szCs w:val="20"/>
                <w:color w:val="auto"/>
              </w:rPr>
            </w:pPr>
            <w:r>
              <w:rPr>
                <w:rFonts w:ascii="Arial" w:cs="Arial" w:eastAsia="Arial" w:hAnsi="Arial"/>
                <w:sz w:val="18"/>
                <w:szCs w:val="18"/>
                <w:color w:val="auto"/>
                <w:w w:val="98"/>
              </w:rPr>
              <w:t>Net loss per common share attributable to common stockholders, basic and diluted</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83" w:lineRule="exact"/>
              <w:rPr>
                <w:sz w:val="20"/>
                <w:szCs w:val="20"/>
                <w:color w:val="auto"/>
              </w:rPr>
            </w:pPr>
            <w:r>
              <w:rPr>
                <w:rFonts w:ascii="Arial" w:cs="Arial" w:eastAsia="Arial" w:hAnsi="Arial"/>
                <w:sz w:val="18"/>
                <w:szCs w:val="18"/>
                <w:color w:val="auto"/>
              </w:rPr>
              <w:t>(5.77 )</w:t>
            </w:r>
          </w:p>
        </w:tc>
        <w:tc>
          <w:tcPr>
            <w:tcW w:w="48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(4.19 )</w:t>
            </w:r>
          </w:p>
        </w:tc>
        <w:tc>
          <w:tcPr>
            <w:tcW w:w="160" w:type="dxa"/>
            <w:vAlign w:val="bottom"/>
          </w:tcPr>
          <w:p>
            <w:pPr>
              <w:spacing w:after="0"/>
              <w:rPr>
                <w:sz w:val="15"/>
                <w:szCs w:val="15"/>
                <w:color w:val="auto"/>
              </w:rPr>
            </w:pP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(14.05 )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4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common shares used in net loss per share attributable to common</w:t>
            </w:r>
          </w:p>
        </w:tc>
        <w:tc>
          <w:tcPr>
            <w:tcW w:w="3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64,227,676</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46,733,221</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6,479,591</w:t>
            </w:r>
          </w:p>
        </w:tc>
        <w:tc>
          <w:tcPr>
            <w:tcW w:w="0" w:type="dxa"/>
            <w:vAlign w:val="bottom"/>
          </w:tcPr>
          <w:p>
            <w:pPr>
              <w:spacing w:after="0"/>
              <w:rPr>
                <w:sz w:val="1"/>
                <w:szCs w:val="1"/>
                <w:color w:val="auto"/>
              </w:rPr>
            </w:pPr>
          </w:p>
        </w:tc>
      </w:tr>
      <w:tr>
        <w:trPr>
          <w:trHeight w:val="215"/>
        </w:trPr>
        <w:tc>
          <w:tcPr>
            <w:tcW w:w="654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stockholders, basic and diluted</w:t>
            </w: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-2413635</wp:posOffset>
            </wp:positionV>
            <wp:extent cx="10287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-2413635</wp:posOffset>
            </wp:positionV>
            <wp:extent cx="10287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-1633855</wp:posOffset>
            </wp:positionV>
            <wp:extent cx="10287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-1633855</wp:posOffset>
            </wp:positionV>
            <wp:extent cx="10287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-1362710</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-1344930</wp:posOffset>
            </wp:positionV>
            <wp:extent cx="1028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-1362710</wp:posOffset>
            </wp:positionV>
            <wp:extent cx="102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-1344930</wp:posOffset>
            </wp:positionV>
            <wp:extent cx="1028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-1071245</wp:posOffset>
            </wp:positionV>
            <wp:extent cx="1028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-1054100</wp:posOffset>
            </wp:positionV>
            <wp:extent cx="1028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-1071245</wp:posOffset>
            </wp:positionV>
            <wp:extent cx="10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-1054100</wp:posOffset>
            </wp:positionV>
            <wp:extent cx="1028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-419735</wp:posOffset>
            </wp:positionV>
            <wp:extent cx="1028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-402590</wp:posOffset>
            </wp:positionV>
            <wp:extent cx="1028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-419735</wp:posOffset>
            </wp:positionV>
            <wp:extent cx="1028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-402590</wp:posOffset>
            </wp:positionV>
            <wp:extent cx="1028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102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1028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102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02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1" w:name="page142"/>
    <w:bookmarkEnd w:id="141"/>
    <w:p>
      <w:pPr>
        <w:jc w:val="center"/>
        <w:ind w:right="40"/>
        <w:spacing w:after="0"/>
        <w:rPr>
          <w:sz w:val="20"/>
          <w:szCs w:val="20"/>
          <w:color w:val="auto"/>
        </w:rPr>
      </w:pPr>
      <w:r>
        <w:rPr>
          <w:rFonts w:ascii="Arial" w:cs="Arial" w:eastAsia="Arial" w:hAnsi="Arial"/>
          <w:sz w:val="18"/>
          <w:szCs w:val="18"/>
          <w:b w:val="1"/>
          <w:bCs w:val="1"/>
          <w:color w:val="auto"/>
        </w:rPr>
        <w:t>Beam Therapeutics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240"/>
          </w:cols>
          <w:pgMar w:left="320" w:top="364" w:right="339" w:bottom="1440" w:gutter="0" w:footer="0" w:header="0"/>
        </w:sectPr>
      </w:pP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3580" w:type="dxa"/>
            <w:vAlign w:val="bottom"/>
          </w:tcPr>
          <w:p>
            <w:pPr>
              <w:spacing w:after="0"/>
              <w:rPr>
                <w:sz w:val="24"/>
                <w:szCs w:val="24"/>
                <w:color w:val="auto"/>
              </w:rPr>
            </w:pPr>
          </w:p>
        </w:tc>
        <w:tc>
          <w:tcPr>
            <w:tcW w:w="1960" w:type="dxa"/>
            <w:vAlign w:val="bottom"/>
            <w:tcBorders>
              <w:right w:val="single" w:sz="8" w:color="auto"/>
            </w:tcBorders>
            <w:gridSpan w:val="4"/>
          </w:tcPr>
          <w:p>
            <w:pPr>
              <w:jc w:val="right"/>
              <w:ind w:right="248"/>
              <w:spacing w:after="0"/>
              <w:rPr>
                <w:sz w:val="20"/>
                <w:szCs w:val="20"/>
                <w:color w:val="auto"/>
              </w:rPr>
            </w:pPr>
            <w:r>
              <w:rPr>
                <w:rFonts w:ascii="Arial" w:cs="Arial" w:eastAsia="Arial" w:hAnsi="Arial"/>
                <w:sz w:val="13"/>
                <w:szCs w:val="13"/>
                <w:b w:val="1"/>
                <w:bCs w:val="1"/>
                <w:color w:val="auto"/>
              </w:rPr>
              <w:t>Redeemable Convertible</w:t>
            </w:r>
          </w:p>
        </w:tc>
      </w:tr>
      <w:tr>
        <w:trPr>
          <w:trHeight w:val="175"/>
        </w:trPr>
        <w:tc>
          <w:tcPr>
            <w:tcW w:w="3580" w:type="dxa"/>
            <w:vAlign w:val="bottom"/>
          </w:tcPr>
          <w:p>
            <w:pPr>
              <w:spacing w:after="0"/>
              <w:rPr>
                <w:sz w:val="15"/>
                <w:szCs w:val="15"/>
                <w:color w:val="auto"/>
              </w:rPr>
            </w:pPr>
          </w:p>
        </w:tc>
        <w:tc>
          <w:tcPr>
            <w:tcW w:w="1960" w:type="dxa"/>
            <w:vAlign w:val="bottom"/>
            <w:tcBorders>
              <w:bottom w:val="single" w:sz="8" w:color="auto"/>
              <w:right w:val="single" w:sz="8" w:color="auto"/>
            </w:tcBorders>
            <w:gridSpan w:val="4"/>
          </w:tcPr>
          <w:p>
            <w:pPr>
              <w:jc w:val="right"/>
              <w:ind w:right="488"/>
              <w:spacing w:after="0"/>
              <w:rPr>
                <w:sz w:val="20"/>
                <w:szCs w:val="20"/>
                <w:color w:val="auto"/>
              </w:rPr>
            </w:pPr>
            <w:r>
              <w:rPr>
                <w:rFonts w:ascii="Arial" w:cs="Arial" w:eastAsia="Arial" w:hAnsi="Arial"/>
                <w:sz w:val="13"/>
                <w:szCs w:val="13"/>
                <w:b w:val="1"/>
                <w:bCs w:val="1"/>
                <w:color w:val="auto"/>
              </w:rPr>
              <w:t>Preferred Stock</w:t>
            </w:r>
          </w:p>
        </w:tc>
      </w:tr>
      <w:tr>
        <w:trPr>
          <w:trHeight w:val="290"/>
        </w:trPr>
        <w:tc>
          <w:tcPr>
            <w:tcW w:w="3580" w:type="dxa"/>
            <w:vAlign w:val="bottom"/>
          </w:tcPr>
          <w:p>
            <w:pPr>
              <w:spacing w:after="0"/>
              <w:rPr>
                <w:sz w:val="24"/>
                <w:szCs w:val="2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3"/>
                <w:szCs w:val="13"/>
                <w:b w:val="1"/>
                <w:bCs w:val="1"/>
                <w:color w:val="auto"/>
                <w:w w:val="97"/>
              </w:rPr>
              <w:t>Amount</w:t>
            </w:r>
          </w:p>
        </w:tc>
      </w:tr>
      <w:tr>
        <w:trPr>
          <w:trHeight w:val="164"/>
        </w:trPr>
        <w:tc>
          <w:tcPr>
            <w:tcW w:w="3580" w:type="dxa"/>
            <w:vAlign w:val="bottom"/>
          </w:tcPr>
          <w:p>
            <w:pPr>
              <w:ind w:left="20"/>
              <w:spacing w:after="0"/>
              <w:rPr>
                <w:sz w:val="20"/>
                <w:szCs w:val="20"/>
                <w:color w:val="auto"/>
              </w:rPr>
            </w:pPr>
            <w:r>
              <w:rPr>
                <w:rFonts w:ascii="Arial" w:cs="Arial" w:eastAsia="Arial" w:hAnsi="Arial"/>
                <w:sz w:val="14"/>
                <w:szCs w:val="14"/>
                <w:color w:val="auto"/>
              </w:rPr>
              <w:t>Balance at December 31, 2018</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119,308,387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251,434</w:t>
            </w:r>
          </w:p>
        </w:tc>
      </w:tr>
      <w:tr>
        <w:trPr>
          <w:trHeight w:val="148"/>
        </w:trPr>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w w:val="99"/>
              </w:rPr>
              <w:t>Issuance of Series B redeemable convertible preferred</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76"/>
        </w:trPr>
        <w:tc>
          <w:tcPr>
            <w:tcW w:w="3580" w:type="dxa"/>
            <w:vAlign w:val="bottom"/>
          </w:tcPr>
          <w:p>
            <w:pPr>
              <w:ind w:left="200"/>
              <w:spacing w:after="0"/>
              <w:rPr>
                <w:sz w:val="20"/>
                <w:szCs w:val="20"/>
                <w:color w:val="auto"/>
              </w:rPr>
            </w:pPr>
            <w:r>
              <w:rPr>
                <w:rFonts w:ascii="Arial" w:cs="Arial" w:eastAsia="Arial" w:hAnsi="Arial"/>
                <w:sz w:val="14"/>
                <w:szCs w:val="14"/>
                <w:color w:val="auto"/>
              </w:rPr>
              <w:t>stock, net of issuance costs of $95</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11,308,397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37,901</w:t>
            </w:r>
          </w:p>
        </w:tc>
      </w:tr>
      <w:tr>
        <w:trPr>
          <w:trHeight w:val="148"/>
        </w:trPr>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w w:val="99"/>
              </w:rPr>
              <w:t>Accretion of redeemable convertible preferred stock to</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76"/>
        </w:trPr>
        <w:tc>
          <w:tcPr>
            <w:tcW w:w="3580" w:type="dxa"/>
            <w:vAlign w:val="bottom"/>
          </w:tcPr>
          <w:p>
            <w:pPr>
              <w:ind w:left="200"/>
              <w:spacing w:after="0"/>
              <w:rPr>
                <w:sz w:val="20"/>
                <w:szCs w:val="20"/>
                <w:color w:val="auto"/>
              </w:rPr>
            </w:pPr>
            <w:r>
              <w:rPr>
                <w:rFonts w:ascii="Arial" w:cs="Arial" w:eastAsia="Arial" w:hAnsi="Arial"/>
                <w:sz w:val="14"/>
                <w:szCs w:val="14"/>
                <w:color w:val="auto"/>
              </w:rPr>
              <w:t>redemption value</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12,714</w:t>
            </w: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Vesting of restricted common stock</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3580" w:type="dxa"/>
            <w:vAlign w:val="bottom"/>
          </w:tcPr>
          <w:p>
            <w:pPr>
              <w:ind w:left="200"/>
              <w:spacing w:after="0"/>
              <w:rPr>
                <w:sz w:val="20"/>
                <w:szCs w:val="20"/>
                <w:color w:val="auto"/>
              </w:rPr>
            </w:pPr>
            <w:r>
              <w:rPr>
                <w:rFonts w:ascii="Arial" w:cs="Arial" w:eastAsia="Arial" w:hAnsi="Arial"/>
                <w:sz w:val="14"/>
                <w:szCs w:val="14"/>
                <w:color w:val="auto"/>
              </w:rPr>
              <w:t>Exercise of common stock options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3580" w:type="dxa"/>
            <w:vAlign w:val="bottom"/>
          </w:tcPr>
          <w:p>
            <w:pPr>
              <w:ind w:left="200"/>
              <w:spacing w:after="0"/>
              <w:rPr>
                <w:sz w:val="20"/>
                <w:szCs w:val="20"/>
                <w:color w:val="auto"/>
              </w:rPr>
            </w:pPr>
            <w:r>
              <w:rPr>
                <w:rFonts w:ascii="Arial" w:cs="Arial" w:eastAsia="Arial" w:hAnsi="Arial"/>
                <w:sz w:val="14"/>
                <w:szCs w:val="14"/>
                <w:color w:val="auto"/>
                <w:w w:val="97"/>
              </w:rPr>
              <w:t>Issuance of common stock related to license agreement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3580" w:type="dxa"/>
            <w:vAlign w:val="bottom"/>
          </w:tcPr>
          <w:p>
            <w:pPr>
              <w:ind w:left="200"/>
              <w:spacing w:after="0"/>
              <w:rPr>
                <w:sz w:val="20"/>
                <w:szCs w:val="20"/>
                <w:color w:val="auto"/>
              </w:rPr>
            </w:pPr>
            <w:r>
              <w:rPr>
                <w:rFonts w:ascii="Arial" w:cs="Arial" w:eastAsia="Arial" w:hAnsi="Arial"/>
                <w:sz w:val="14"/>
                <w:szCs w:val="14"/>
                <w:color w:val="auto"/>
              </w:rPr>
              <w:t>Other comprehensive income (loss)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81"/>
        </w:trPr>
        <w:tc>
          <w:tcPr>
            <w:tcW w:w="35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4"/>
        </w:trPr>
        <w:tc>
          <w:tcPr>
            <w:tcW w:w="3580" w:type="dxa"/>
            <w:vAlign w:val="bottom"/>
          </w:tcPr>
          <w:p>
            <w:pPr>
              <w:ind w:left="20"/>
              <w:spacing w:after="0"/>
              <w:rPr>
                <w:sz w:val="20"/>
                <w:szCs w:val="20"/>
                <w:color w:val="auto"/>
              </w:rPr>
            </w:pPr>
            <w:r>
              <w:rPr>
                <w:rFonts w:ascii="Arial" w:cs="Arial" w:eastAsia="Arial" w:hAnsi="Arial"/>
                <w:sz w:val="14"/>
                <w:szCs w:val="14"/>
                <w:color w:val="auto"/>
              </w:rPr>
              <w:t>Balance at December 31, 2019</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130,616,784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302,049</w:t>
            </w:r>
          </w:p>
        </w:tc>
      </w:tr>
      <w:tr>
        <w:trPr>
          <w:trHeight w:val="148"/>
        </w:trPr>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w w:val="99"/>
              </w:rPr>
              <w:t>Accretion of redeemable convertible preferred stock to</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76"/>
        </w:trPr>
        <w:tc>
          <w:tcPr>
            <w:tcW w:w="3580" w:type="dxa"/>
            <w:vAlign w:val="bottom"/>
          </w:tcPr>
          <w:p>
            <w:pPr>
              <w:ind w:left="200"/>
              <w:spacing w:after="0"/>
              <w:rPr>
                <w:sz w:val="20"/>
                <w:szCs w:val="20"/>
                <w:color w:val="auto"/>
              </w:rPr>
            </w:pPr>
            <w:r>
              <w:rPr>
                <w:rFonts w:ascii="Arial" w:cs="Arial" w:eastAsia="Arial" w:hAnsi="Arial"/>
                <w:sz w:val="14"/>
                <w:szCs w:val="14"/>
                <w:color w:val="auto"/>
              </w:rPr>
              <w:t>redemption value</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1,277</w:t>
            </w:r>
          </w:p>
        </w:tc>
      </w:tr>
      <w:tr>
        <w:trPr>
          <w:trHeight w:val="148"/>
        </w:trPr>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Conversion of redeemable convertible preferred stock</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76"/>
        </w:trPr>
        <w:tc>
          <w:tcPr>
            <w:tcW w:w="3580" w:type="dxa"/>
            <w:vAlign w:val="bottom"/>
          </w:tcPr>
          <w:p>
            <w:pPr>
              <w:ind w:left="200"/>
              <w:spacing w:after="0"/>
              <w:rPr>
                <w:sz w:val="20"/>
                <w:szCs w:val="20"/>
                <w:color w:val="auto"/>
              </w:rPr>
            </w:pPr>
            <w:r>
              <w:rPr>
                <w:rFonts w:ascii="Arial" w:cs="Arial" w:eastAsia="Arial" w:hAnsi="Arial"/>
                <w:sz w:val="14"/>
                <w:szCs w:val="14"/>
                <w:color w:val="auto"/>
              </w:rPr>
              <w:t>to common stock upon closing of initial public offering</w:t>
            </w:r>
          </w:p>
        </w:tc>
        <w:tc>
          <w:tcPr>
            <w:tcW w:w="980" w:type="dxa"/>
            <w:vAlign w:val="bottom"/>
          </w:tcPr>
          <w:p>
            <w:pPr>
              <w:jc w:val="right"/>
              <w:spacing w:after="0"/>
              <w:rPr>
                <w:sz w:val="20"/>
                <w:szCs w:val="20"/>
                <w:color w:val="auto"/>
              </w:rPr>
            </w:pPr>
            <w:r>
              <w:rPr>
                <w:rFonts w:ascii="Arial" w:cs="Arial" w:eastAsia="Arial" w:hAnsi="Arial"/>
                <w:sz w:val="14"/>
                <w:szCs w:val="14"/>
                <w:color w:val="auto"/>
              </w:rPr>
              <w:t>(130,616,784 )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(303,326 )</w:t>
            </w:r>
          </w:p>
        </w:tc>
      </w:tr>
      <w:tr>
        <w:trPr>
          <w:trHeight w:val="148"/>
        </w:trPr>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Issuance of common stock from initial public offering,</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net of issuance costs of $18.7 million</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49"/>
        </w:trPr>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Issuance of common stock from October 2020 public</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offering, net of issuance costs of $8.5 million</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48"/>
        </w:trPr>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Issuance of common stock related to license</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76"/>
        </w:trPr>
        <w:tc>
          <w:tcPr>
            <w:tcW w:w="3580" w:type="dxa"/>
            <w:vAlign w:val="bottom"/>
          </w:tcPr>
          <w:p>
            <w:pPr>
              <w:ind w:left="200"/>
              <w:spacing w:after="0"/>
              <w:rPr>
                <w:sz w:val="20"/>
                <w:szCs w:val="20"/>
                <w:color w:val="auto"/>
              </w:rPr>
            </w:pPr>
            <w:r>
              <w:rPr>
                <w:rFonts w:ascii="Arial" w:cs="Arial" w:eastAsia="Arial" w:hAnsi="Arial"/>
                <w:sz w:val="14"/>
                <w:szCs w:val="14"/>
                <w:color w:val="auto"/>
              </w:rPr>
              <w:t>agreements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3580" w:type="dxa"/>
            <w:vAlign w:val="bottom"/>
          </w:tcPr>
          <w:p>
            <w:pPr>
              <w:ind w:left="200"/>
              <w:spacing w:after="0"/>
              <w:rPr>
                <w:sz w:val="20"/>
                <w:szCs w:val="20"/>
                <w:color w:val="auto"/>
              </w:rPr>
            </w:pPr>
            <w:r>
              <w:rPr>
                <w:rFonts w:ascii="Arial" w:cs="Arial" w:eastAsia="Arial" w:hAnsi="Arial"/>
                <w:sz w:val="14"/>
                <w:szCs w:val="14"/>
                <w:color w:val="auto"/>
              </w:rPr>
              <w:t>Vesting of restricted common stock</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3580" w:type="dxa"/>
            <w:vAlign w:val="bottom"/>
          </w:tcPr>
          <w:p>
            <w:pPr>
              <w:ind w:left="200"/>
              <w:spacing w:after="0"/>
              <w:rPr>
                <w:sz w:val="20"/>
                <w:szCs w:val="20"/>
                <w:color w:val="auto"/>
              </w:rPr>
            </w:pPr>
            <w:r>
              <w:rPr>
                <w:rFonts w:ascii="Arial" w:cs="Arial" w:eastAsia="Arial" w:hAnsi="Arial"/>
                <w:sz w:val="14"/>
                <w:szCs w:val="14"/>
                <w:color w:val="auto"/>
              </w:rPr>
              <w:t>Exercise of common stock options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Other comprehensive income (loss)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81"/>
        </w:trPr>
        <w:tc>
          <w:tcPr>
            <w:tcW w:w="35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64"/>
        </w:trPr>
        <w:tc>
          <w:tcPr>
            <w:tcW w:w="358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49"/>
        </w:trPr>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w w:val="99"/>
              </w:rPr>
              <w:t>Issuance of common stock from private placement, net</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of issuance costs of $8.0 million</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r>
      <w:tr>
        <w:trPr>
          <w:trHeight w:val="148"/>
        </w:trPr>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Issuance of common stock from At-the-Market</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offering, net of issuance costs of $14.6 million</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49"/>
        </w:trPr>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rPr>
              <w:t>Issuance of common stock for success payment</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liability</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Issuance of common stock to acquire Guide</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Vesting of restricted common stock</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6"/>
        </w:trPr>
        <w:tc>
          <w:tcPr>
            <w:tcW w:w="3580" w:type="dxa"/>
            <w:vAlign w:val="bottom"/>
          </w:tcPr>
          <w:p>
            <w:pPr>
              <w:ind w:left="200"/>
              <w:spacing w:after="0"/>
              <w:rPr>
                <w:sz w:val="20"/>
                <w:szCs w:val="20"/>
                <w:color w:val="auto"/>
              </w:rPr>
            </w:pPr>
            <w:r>
              <w:rPr>
                <w:rFonts w:ascii="Arial" w:cs="Arial" w:eastAsia="Arial" w:hAnsi="Arial"/>
                <w:sz w:val="14"/>
                <w:szCs w:val="14"/>
                <w:color w:val="auto"/>
              </w:rPr>
              <w:t>Exercise of common stock options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3580" w:type="dxa"/>
            <w:vAlign w:val="bottom"/>
          </w:tcPr>
          <w:p>
            <w:pPr>
              <w:ind w:left="200"/>
              <w:spacing w:after="0"/>
              <w:rPr>
                <w:sz w:val="20"/>
                <w:szCs w:val="20"/>
                <w:color w:val="auto"/>
              </w:rPr>
            </w:pPr>
            <w:r>
              <w:rPr>
                <w:rFonts w:ascii="Arial" w:cs="Arial" w:eastAsia="Arial" w:hAnsi="Arial"/>
                <w:sz w:val="14"/>
                <w:szCs w:val="14"/>
                <w:color w:val="auto"/>
              </w:rPr>
              <w:t>Other comprehensive income (loss)</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81"/>
        </w:trPr>
        <w:tc>
          <w:tcPr>
            <w:tcW w:w="3580" w:type="dxa"/>
            <w:vAlign w:val="bottom"/>
          </w:tcPr>
          <w:p>
            <w:pPr>
              <w:ind w:left="200"/>
              <w:spacing w:after="0"/>
              <w:rPr>
                <w:sz w:val="20"/>
                <w:szCs w:val="20"/>
                <w:color w:val="auto"/>
              </w:rPr>
            </w:pPr>
            <w:r>
              <w:rPr>
                <w:rFonts w:ascii="Arial" w:cs="Arial" w:eastAsia="Arial" w:hAnsi="Arial"/>
                <w:sz w:val="14"/>
                <w:szCs w:val="14"/>
                <w:color w:val="auto"/>
              </w:rPr>
              <w:t>Net loss</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3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9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right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-25400</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-8255</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1"/>
                <w:szCs w:val="11"/>
                <w:color w:val="auto"/>
              </w:rPr>
            </w:pPr>
          </w:p>
        </w:tc>
        <w:tc>
          <w:tcPr>
            <w:tcW w:w="84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Other</w:t>
            </w:r>
          </w:p>
        </w:tc>
        <w:tc>
          <w:tcPr>
            <w:tcW w:w="94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Accumulate</w:t>
            </w:r>
          </w:p>
        </w:tc>
        <w:tc>
          <w:tcPr>
            <w:tcW w:w="1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1780" w:type="dxa"/>
            <w:vAlign w:val="bottom"/>
            <w:gridSpan w:val="4"/>
            <w:vMerge w:val="restart"/>
          </w:tcPr>
          <w:p>
            <w:pPr>
              <w:jc w:val="right"/>
              <w:ind w:right="38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0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Comprehensi</w:t>
            </w:r>
          </w:p>
        </w:tc>
        <w:tc>
          <w:tcPr>
            <w:tcW w:w="940" w:type="dxa"/>
            <w:vAlign w:val="bottom"/>
            <w:gridSpan w:val="3"/>
            <w:vMerge w:val="continue"/>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Stockholder</w:t>
            </w: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4"/>
                <w:szCs w:val="1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ve</w:t>
            </w:r>
          </w:p>
        </w:tc>
        <w:tc>
          <w:tcPr>
            <w:tcW w:w="140" w:type="dxa"/>
            <w:vAlign w:val="bottom"/>
          </w:tcPr>
          <w:p>
            <w:pPr>
              <w:spacing w:after="0"/>
              <w:rPr>
                <w:sz w:val="14"/>
                <w:szCs w:val="14"/>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s’</w:t>
            </w:r>
          </w:p>
        </w:tc>
        <w:tc>
          <w:tcPr>
            <w:tcW w:w="0" w:type="dxa"/>
            <w:vAlign w:val="bottom"/>
          </w:tcPr>
          <w:p>
            <w:pPr>
              <w:spacing w:after="0"/>
              <w:rPr>
                <w:sz w:val="1"/>
                <w:szCs w:val="1"/>
                <w:color w:val="auto"/>
              </w:rPr>
            </w:pPr>
          </w:p>
        </w:tc>
      </w:tr>
      <w:tr>
        <w:trPr>
          <w:trHeight w:val="116"/>
        </w:trPr>
        <w:tc>
          <w:tcPr>
            <w:tcW w:w="140" w:type="dxa"/>
            <w:vAlign w:val="bottom"/>
          </w:tcPr>
          <w:p>
            <w:pPr>
              <w:spacing w:after="0"/>
              <w:rPr>
                <w:sz w:val="10"/>
                <w:szCs w:val="10"/>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Capital</w:t>
            </w:r>
          </w:p>
        </w:tc>
        <w:tc>
          <w:tcPr>
            <w:tcW w:w="10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(Loss) Income</w:t>
            </w:r>
          </w:p>
        </w:tc>
        <w:tc>
          <w:tcPr>
            <w:tcW w:w="140" w:type="dxa"/>
            <w:vAlign w:val="bottom"/>
          </w:tcPr>
          <w:p>
            <w:pPr>
              <w:spacing w:after="0"/>
              <w:rPr>
                <w:sz w:val="10"/>
                <w:szCs w:val="10"/>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0"/>
                <w:szCs w:val="10"/>
                <w:color w:val="auto"/>
              </w:rPr>
            </w:pPr>
          </w:p>
        </w:tc>
        <w:tc>
          <w:tcPr>
            <w:tcW w:w="720" w:type="dxa"/>
            <w:vAlign w:val="bottom"/>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5,565,368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7,256</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(124,718 )</w:t>
            </w:r>
          </w:p>
        </w:tc>
        <w:tc>
          <w:tcPr>
            <w:tcW w:w="12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(117,406 )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7"/>
        </w:trPr>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(12,714 )</w:t>
            </w: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(12,714 )</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1,559,126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(15 )</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184,966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16,725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(78,326 )</w:t>
            </w:r>
          </w:p>
        </w:tc>
        <w:tc>
          <w:tcPr>
            <w:tcW w:w="12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(78,326 )</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7,326,185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1,851</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(203,044 )</w:t>
            </w:r>
          </w:p>
        </w:tc>
        <w:tc>
          <w:tcPr>
            <w:tcW w:w="12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(201,104 )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(1,277 )</w:t>
            </w: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(1,277 )</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29,127,523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303,035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303,326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12,176,471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188,201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188,323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5,750,000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126,566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126,624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375,307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5,747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1,638,968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(16 )</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15,380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859,724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(25 )</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(194,592 )</w:t>
            </w:r>
          </w:p>
        </w:tc>
        <w:tc>
          <w:tcPr>
            <w:tcW w:w="12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(194,592 )</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57,254,178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642,633</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0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(397,636 )</w:t>
            </w:r>
          </w:p>
        </w:tc>
        <w:tc>
          <w:tcPr>
            <w:tcW w:w="12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245,561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2,795,700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251,977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4,907,195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496,574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496,623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349,650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29,996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1,087,153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120,022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120,032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1,020,887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(10 )</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43,570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43,570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974,662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(41 )</w:t>
            </w:r>
          </w:p>
        </w:tc>
        <w:tc>
          <w:tcPr>
            <w:tcW w:w="1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(370,638 )</w:t>
            </w:r>
          </w:p>
        </w:tc>
        <w:tc>
          <w:tcPr>
            <w:tcW w:w="12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(370,638 )</w:t>
            </w:r>
          </w:p>
        </w:tc>
        <w:tc>
          <w:tcPr>
            <w:tcW w:w="0" w:type="dxa"/>
            <w:vAlign w:val="bottom"/>
          </w:tcPr>
          <w:p>
            <w:pPr>
              <w:spacing w:after="0"/>
              <w:rPr>
                <w:sz w:val="1"/>
                <w:szCs w:val="1"/>
                <w:color w:val="auto"/>
              </w:rPr>
            </w:pPr>
          </w:p>
        </w:tc>
      </w:tr>
      <w:tr>
        <w:trPr>
          <w:trHeight w:val="209"/>
        </w:trPr>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68,389,425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1,594,378</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(768,274 )</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826,738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-4448175</wp:posOffset>
            </wp:positionV>
            <wp:extent cx="7132320" cy="1111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-4131310</wp:posOffset>
            </wp:positionV>
            <wp:extent cx="7132320" cy="205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-3814445</wp:posOffset>
            </wp:positionV>
            <wp:extent cx="7132320" cy="1117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-3590925</wp:posOffset>
            </wp:positionV>
            <wp:extent cx="7132320" cy="1111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-3368040</wp:posOffset>
            </wp:positionV>
            <wp:extent cx="7132320"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-3136900</wp:posOffset>
            </wp:positionV>
            <wp:extent cx="7132320" cy="205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-2725420</wp:posOffset>
            </wp:positionV>
            <wp:extent cx="7132320" cy="205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-2313940</wp:posOffset>
            </wp:positionV>
            <wp:extent cx="7132320" cy="2057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-1997075</wp:posOffset>
            </wp:positionV>
            <wp:extent cx="7132320" cy="1117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-1773555</wp:posOffset>
            </wp:positionV>
            <wp:extent cx="7132320" cy="1111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-1542415</wp:posOffset>
            </wp:positionV>
            <wp:extent cx="7132320" cy="1111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-1224915</wp:posOffset>
            </wp:positionV>
            <wp:extent cx="7132320" cy="2057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-814070</wp:posOffset>
            </wp:positionV>
            <wp:extent cx="7132320" cy="1111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-591185</wp:posOffset>
            </wp:positionV>
            <wp:extent cx="7132320" cy="1111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-367665</wp:posOffset>
            </wp:positionV>
            <wp:extent cx="7132320" cy="1111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-25400</wp:posOffset>
            </wp:positionV>
            <wp:extent cx="768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-8255</wp:posOffset>
            </wp:positionV>
            <wp:extent cx="768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-25400</wp:posOffset>
            </wp:positionV>
            <wp:extent cx="768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-8255</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2449195</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3040380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0"/>
            <w:col w:w="5720"/>
          </w:cols>
          <w:pgMar w:left="320" w:top="364" w:right="339" w:bottom="1440" w:gutter="0" w:footer="0" w:header="0"/>
          <w:type w:val="continuous"/>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42" w:name="page143"/>
    <w:bookmarkEnd w:id="142"/>
    <w:p>
      <w:pPr>
        <w:jc w:val="center"/>
        <w:ind w:right="40"/>
        <w:spacing w:after="0"/>
        <w:rPr>
          <w:sz w:val="20"/>
          <w:szCs w:val="20"/>
          <w:color w:val="auto"/>
        </w:rPr>
      </w:pPr>
      <w:r>
        <w:rPr>
          <w:rFonts w:ascii="Arial" w:cs="Arial" w:eastAsia="Arial" w:hAnsi="Arial"/>
          <w:sz w:val="18"/>
          <w:szCs w:val="18"/>
          <w:b w:val="1"/>
          <w:bCs w:val="1"/>
          <w:color w:val="auto"/>
        </w:rPr>
        <w:t>Beam Therapeutics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Years Ended December 31,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2019</w:t>
            </w: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(370,638 )</w:t>
            </w:r>
          </w:p>
        </w:tc>
        <w:tc>
          <w:tcPr>
            <w:tcW w:w="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(194,592 )</w:t>
            </w:r>
          </w:p>
        </w:tc>
        <w:tc>
          <w:tcPr>
            <w:tcW w:w="1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(78,326 )</w:t>
            </w: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520" w:type="dxa"/>
            <w:vAlign w:val="bottom"/>
          </w:tcPr>
          <w:p>
            <w:pPr>
              <w:ind w:left="380"/>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7,451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4,735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3,503</w:t>
            </w:r>
          </w:p>
        </w:tc>
      </w:tr>
      <w:tr>
        <w:trPr>
          <w:trHeight w:val="203"/>
        </w:trPr>
        <w:tc>
          <w:tcPr>
            <w:tcW w:w="65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of investment discount (premium)</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(920 )</w:t>
            </w:r>
          </w:p>
        </w:tc>
      </w:tr>
      <w:tr>
        <w:trPr>
          <w:trHeight w:val="203"/>
        </w:trPr>
        <w:tc>
          <w:tcPr>
            <w:tcW w:w="6520" w:type="dxa"/>
            <w:vAlign w:val="bottom"/>
          </w:tcPr>
          <w:p>
            <w:pPr>
              <w:ind w:left="380"/>
              <w:spacing w:after="0" w:line="202" w:lineRule="exact"/>
              <w:rPr>
                <w:sz w:val="20"/>
                <w:szCs w:val="20"/>
                <w:color w:val="auto"/>
              </w:rPr>
            </w:pPr>
            <w:r>
              <w:rPr>
                <w:rFonts w:ascii="Arial" w:cs="Arial" w:eastAsia="Arial" w:hAnsi="Arial"/>
                <w:sz w:val="18"/>
                <w:szCs w:val="18"/>
                <w:color w:val="auto"/>
              </w:rPr>
              <w:t>In-process research and development charge</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154,953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Stock-based compensation expense</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43,570</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15,380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7,028</w:t>
            </w:r>
          </w:p>
        </w:tc>
      </w:tr>
      <w:tr>
        <w:trPr>
          <w:trHeight w:val="203"/>
        </w:trPr>
        <w:tc>
          <w:tcPr>
            <w:tcW w:w="6520" w:type="dxa"/>
            <w:vAlign w:val="bottom"/>
          </w:tcPr>
          <w:p>
            <w:pPr>
              <w:ind w:left="380"/>
              <w:spacing w:after="0" w:line="202" w:lineRule="exact"/>
              <w:rPr>
                <w:sz w:val="20"/>
                <w:szCs w:val="20"/>
                <w:color w:val="auto"/>
              </w:rPr>
            </w:pPr>
            <w:r>
              <w:rPr>
                <w:rFonts w:ascii="Arial" w:cs="Arial" w:eastAsia="Arial" w:hAnsi="Arial"/>
                <w:sz w:val="18"/>
                <w:szCs w:val="18"/>
                <w:color w:val="auto"/>
              </w:rPr>
              <w:t>Change in operating lease right-of-use assets</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8,990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4,737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1,904</w:t>
            </w:r>
          </w:p>
        </w:tc>
      </w:tr>
      <w:tr>
        <w:trPr>
          <w:trHeight w:val="203"/>
        </w:trPr>
        <w:tc>
          <w:tcPr>
            <w:tcW w:w="65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Non-cash research and development license expense, net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5,651</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113</w:t>
            </w:r>
          </w:p>
        </w:tc>
      </w:tr>
      <w:tr>
        <w:trPr>
          <w:trHeight w:val="203"/>
        </w:trPr>
        <w:tc>
          <w:tcPr>
            <w:tcW w:w="6520" w:type="dxa"/>
            <w:vAlign w:val="bottom"/>
          </w:tcPr>
          <w:p>
            <w:pPr>
              <w:ind w:left="380"/>
              <w:spacing w:after="0" w:line="202" w:lineRule="exact"/>
              <w:rPr>
                <w:sz w:val="20"/>
                <w:szCs w:val="20"/>
                <w:color w:val="auto"/>
              </w:rPr>
            </w:pPr>
            <w:r>
              <w:rPr>
                <w:rFonts w:ascii="Arial" w:cs="Arial" w:eastAsia="Arial" w:hAnsi="Arial"/>
                <w:sz w:val="18"/>
                <w:szCs w:val="18"/>
                <w:color w:val="auto"/>
              </w:rPr>
              <w:t>Change in fair value of derivative liabilities</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63,400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5,400</w:t>
            </w:r>
          </w:p>
        </w:tc>
      </w:tr>
      <w:tr>
        <w:trPr>
          <w:trHeight w:val="203"/>
        </w:trPr>
        <w:tc>
          <w:tcPr>
            <w:tcW w:w="65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Change in fair value of contingent consideration liabilities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(5,146 )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tcPr>
          <w:p>
            <w:pPr>
              <w:ind w:left="380"/>
              <w:spacing w:after="0" w:line="202" w:lineRule="exact"/>
              <w:rPr>
                <w:sz w:val="20"/>
                <w:szCs w:val="20"/>
                <w:color w:val="auto"/>
              </w:rPr>
            </w:pPr>
            <w:r>
              <w:rPr>
                <w:rFonts w:ascii="Arial" w:cs="Arial" w:eastAsia="Arial" w:hAnsi="Arial"/>
                <w:sz w:val="18"/>
                <w:szCs w:val="18"/>
                <w:color w:val="auto"/>
              </w:rPr>
              <w:t>Change in fair value of non-controlling equity investments</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(17,690 )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(517 )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net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tcPr>
          <w:p>
            <w:pPr>
              <w:ind w:left="3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746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(5,726 )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(1,258 )</w:t>
            </w:r>
          </w:p>
        </w:tc>
      </w:tr>
      <w:tr>
        <w:trPr>
          <w:trHeight w:val="203"/>
        </w:trPr>
        <w:tc>
          <w:tcPr>
            <w:tcW w:w="6520" w:type="dxa"/>
            <w:vAlign w:val="bottom"/>
          </w:tcPr>
          <w:p>
            <w:pPr>
              <w:ind w:left="560"/>
              <w:spacing w:after="0" w:line="202" w:lineRule="exact"/>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(197 )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(154 )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(634 )</w:t>
            </w:r>
          </w:p>
        </w:tc>
      </w:tr>
      <w:tr>
        <w:trPr>
          <w:trHeight w:val="203"/>
        </w:trPr>
        <w:tc>
          <w:tcPr>
            <w:tcW w:w="65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818</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4,092</w:t>
            </w:r>
          </w:p>
        </w:tc>
      </w:tr>
      <w:tr>
        <w:trPr>
          <w:trHeight w:val="203"/>
        </w:trPr>
        <w:tc>
          <w:tcPr>
            <w:tcW w:w="6520" w:type="dxa"/>
            <w:vAlign w:val="bottom"/>
          </w:tcPr>
          <w:p>
            <w:pPr>
              <w:ind w:left="560"/>
              <w:spacing w:after="0" w:line="202" w:lineRule="exact"/>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43,914</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7,035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3,571</w:t>
            </w:r>
          </w:p>
        </w:tc>
      </w:tr>
      <w:tr>
        <w:trPr>
          <w:trHeight w:val="203"/>
        </w:trPr>
        <w:tc>
          <w:tcPr>
            <w:tcW w:w="65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Operating lease liabilities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16,028</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3,151</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(2,535 )</w:t>
            </w:r>
          </w:p>
        </w:tc>
      </w:tr>
      <w:tr>
        <w:trPr>
          <w:trHeight w:val="203"/>
        </w:trPr>
        <w:tc>
          <w:tcPr>
            <w:tcW w:w="6520" w:type="dxa"/>
            <w:vAlign w:val="bottom"/>
          </w:tcPr>
          <w:p>
            <w:pPr>
              <w:ind w:left="560"/>
              <w:spacing w:after="0" w:line="202" w:lineRule="exact"/>
              <w:rPr>
                <w:sz w:val="20"/>
                <w:szCs w:val="20"/>
                <w:color w:val="auto"/>
              </w:rPr>
            </w:pPr>
            <w:r>
              <w:rPr>
                <w:rFonts w:ascii="Arial" w:cs="Arial" w:eastAsia="Arial" w:hAnsi="Arial"/>
                <w:sz w:val="18"/>
                <w:szCs w:val="18"/>
                <w:color w:val="auto"/>
              </w:rPr>
              <w:t>Collaboration receivable</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(300,000 )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shd w:val="clear" w:color="auto" w:fill="CFF0FC"/>
          </w:tcPr>
          <w:p>
            <w:pPr>
              <w:ind w:left="560"/>
              <w:spacing w:after="0" w:line="202" w:lineRule="exact"/>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348,156</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tcPr>
          <w:p>
            <w:pPr>
              <w:ind w:left="560"/>
              <w:spacing w:after="0" w:line="202" w:lineRule="exact"/>
              <w:rPr>
                <w:sz w:val="20"/>
                <w:szCs w:val="20"/>
                <w:color w:val="auto"/>
              </w:rPr>
            </w:pPr>
            <w:r>
              <w:rPr>
                <w:rFonts w:ascii="Arial" w:cs="Arial" w:eastAsia="Arial" w:hAnsi="Arial"/>
                <w:sz w:val="18"/>
                <w:szCs w:val="18"/>
                <w:color w:val="auto"/>
              </w:rPr>
              <w:t>Financing milestone liabilities</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(13,750 )</w:t>
            </w:r>
          </w:p>
        </w:tc>
      </w:tr>
      <w:tr>
        <w:trPr>
          <w:trHeight w:val="203"/>
        </w:trPr>
        <w:tc>
          <w:tcPr>
            <w:tcW w:w="6520" w:type="dxa"/>
            <w:vAlign w:val="bottom"/>
            <w:tcBorders>
              <w:bottom w:val="single" w:sz="8" w:color="CFF0FC"/>
            </w:tcBorders>
            <w:shd w:val="clear" w:color="auto" w:fill="CFF0FC"/>
          </w:tcPr>
          <w:p>
            <w:pPr>
              <w:ind w:left="560"/>
              <w:spacing w:after="0" w:line="202" w:lineRule="exact"/>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1,789</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981</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(191 )</w:t>
            </w:r>
          </w:p>
        </w:tc>
      </w:tr>
      <w:tr>
        <w:trPr>
          <w:trHeight w:val="196"/>
        </w:trPr>
        <w:tc>
          <w:tcPr>
            <w:tcW w:w="6520" w:type="dxa"/>
            <w:vAlign w:val="bottom"/>
          </w:tcPr>
          <w:p>
            <w:pPr>
              <w:ind w:left="740"/>
              <w:spacing w:after="0" w:line="196" w:lineRule="exact"/>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(66,268 )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(95,741 )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(72,003 )</w:t>
            </w:r>
          </w:p>
        </w:tc>
      </w:tr>
      <w:tr>
        <w:trPr>
          <w:trHeight w:val="203"/>
        </w:trPr>
        <w:tc>
          <w:tcPr>
            <w:tcW w:w="6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(46,811 )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(16,357 )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(12,518 )</w:t>
            </w: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(777,223 )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(281,612 )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(129,760 )</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Maturities of marketable securities</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529,270</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198,596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76,069</w:t>
            </w: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cash acquired from Guide</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620</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Purchase of non-controlling equity investment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(750 )</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(450 )</w:t>
            </w:r>
          </w:p>
        </w:tc>
      </w:tr>
      <w:tr>
        <w:trPr>
          <w:trHeight w:val="196"/>
        </w:trPr>
        <w:tc>
          <w:tcPr>
            <w:tcW w:w="6520" w:type="dxa"/>
            <w:vAlign w:val="bottom"/>
            <w:shd w:val="clear" w:color="auto" w:fill="CFF0FC"/>
          </w:tcPr>
          <w:p>
            <w:pPr>
              <w:ind w:left="740"/>
              <w:spacing w:after="0" w:line="196"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(294,144 )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(100,123 )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(66,659 )</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Series B Preferred Stock, net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37,901</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initial public offering, net of underwriting discount</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192,510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October 2020 public offering, net of underwriting discount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127,018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common shares, net of commissions</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757,449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 of initial and follow-on equity offering costs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(8,816 )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(2,059 )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(2,521 )</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equipment financings</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3,267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6,178</w:t>
            </w: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Repayment of equipment financings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(2,118 )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(1,569 )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(464 )</w:t>
            </w: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9,626</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3,155</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185</w:t>
            </w:r>
          </w:p>
        </w:tc>
      </w:tr>
      <w:tr>
        <w:trPr>
          <w:trHeight w:val="196"/>
        </w:trPr>
        <w:tc>
          <w:tcPr>
            <w:tcW w:w="6520" w:type="dxa"/>
            <w:vAlign w:val="bottom"/>
            <w:shd w:val="clear" w:color="auto" w:fill="CFF0FC"/>
          </w:tcPr>
          <w:p>
            <w:pPr>
              <w:ind w:left="7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756,141</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322,322</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41,279</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395,729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126,458</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(97,383 )</w:t>
            </w:r>
          </w:p>
        </w:tc>
      </w:tr>
      <w:tr>
        <w:trPr>
          <w:trHeight w:val="203"/>
        </w:trPr>
        <w:tc>
          <w:tcPr>
            <w:tcW w:w="65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cash—beginning of period</w:t>
            </w: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177,011</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50,553</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147,936</w:t>
            </w: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cash—end of period</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572,740</w:t>
            </w:r>
          </w:p>
        </w:tc>
        <w:tc>
          <w:tcPr>
            <w:tcW w:w="5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177,011</w:t>
            </w:r>
          </w:p>
        </w:tc>
        <w:tc>
          <w:tcPr>
            <w:tcW w:w="16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50,553</w:t>
            </w:r>
          </w:p>
        </w:tc>
      </w:tr>
      <w:tr>
        <w:trPr>
          <w:trHeight w:val="20"/>
        </w:trPr>
        <w:tc>
          <w:tcPr>
            <w:tcW w:w="6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-2756535</wp:posOffset>
            </wp:positionV>
            <wp:extent cx="11176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-2756535</wp:posOffset>
            </wp:positionV>
            <wp:extent cx="10287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-159385</wp:posOffset>
            </wp:positionV>
            <wp:extent cx="11176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-159385</wp:posOffset>
            </wp:positionV>
            <wp:extent cx="10287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3" w:name="page144"/>
    <w:bookmarkEnd w:id="143"/>
    <w:p>
      <w:pPr>
        <w:jc w:val="center"/>
        <w:ind w:right="40"/>
        <w:spacing w:after="0"/>
        <w:rPr>
          <w:sz w:val="20"/>
          <w:szCs w:val="20"/>
          <w:color w:val="auto"/>
        </w:rPr>
      </w:pPr>
      <w:r>
        <w:rPr>
          <w:rFonts w:ascii="Arial" w:cs="Arial" w:eastAsia="Arial" w:hAnsi="Arial"/>
          <w:sz w:val="18"/>
          <w:szCs w:val="18"/>
          <w:b w:val="1"/>
          <w:bCs w:val="1"/>
          <w:color w:val="auto"/>
        </w:rPr>
        <w:t>Beam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5"/>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567</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561</w:t>
            </w:r>
          </w:p>
        </w:tc>
        <w:tc>
          <w:tcPr>
            <w:tcW w:w="14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0"/>
              <w:spacing w:after="0" w:line="162" w:lineRule="exact"/>
              <w:rPr>
                <w:sz w:val="20"/>
                <w:szCs w:val="20"/>
                <w:color w:val="auto"/>
              </w:rPr>
            </w:pPr>
            <w:r>
              <w:rPr>
                <w:rFonts w:ascii="Arial" w:cs="Arial" w:eastAsia="Arial" w:hAnsi="Arial"/>
                <w:sz w:val="18"/>
                <w:szCs w:val="18"/>
                <w:color w:val="auto"/>
                <w:w w:val="94"/>
              </w:rPr>
              <w:t>Conversion of redeemable convertible preferred stock to common stock upon closing</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303,326</w:t>
            </w:r>
          </w:p>
        </w:tc>
        <w:tc>
          <w:tcPr>
            <w:tcW w:w="140" w:type="dxa"/>
            <w:vAlign w:val="bottom"/>
          </w:tcPr>
          <w:p>
            <w:pPr>
              <w:spacing w:after="0"/>
              <w:rPr>
                <w:sz w:val="14"/>
                <w:szCs w:val="1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580" w:type="dxa"/>
            <w:vAlign w:val="bottom"/>
          </w:tcPr>
          <w:p>
            <w:pPr>
              <w:ind w:left="200"/>
              <w:spacing w:after="0" w:line="156" w:lineRule="exact"/>
              <w:rPr>
                <w:sz w:val="20"/>
                <w:szCs w:val="20"/>
                <w:color w:val="auto"/>
              </w:rPr>
            </w:pPr>
            <w:r>
              <w:rPr>
                <w:rFonts w:ascii="Arial" w:cs="Arial" w:eastAsia="Arial" w:hAnsi="Arial"/>
                <w:sz w:val="18"/>
                <w:szCs w:val="18"/>
                <w:color w:val="auto"/>
              </w:rPr>
              <w:t>of the initial public offering</w:t>
            </w:r>
          </w:p>
        </w:tc>
        <w:tc>
          <w:tcPr>
            <w:tcW w:w="3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Property and equipment additions in accounts payable and accrued expenses</w:t>
            </w:r>
          </w:p>
        </w:tc>
        <w:tc>
          <w:tcPr>
            <w:tcW w:w="340" w:type="dxa"/>
            <w:vAlign w:val="bottom"/>
            <w:tcBorders>
              <w:bottom w:val="single" w:sz="8" w:color="auto"/>
            </w:tcBorders>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9,264</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5,067</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183"/>
        </w:trPr>
        <w:tc>
          <w:tcPr>
            <w:tcW w:w="6580" w:type="dxa"/>
            <w:vAlign w:val="bottom"/>
          </w:tcPr>
          <w:p>
            <w:pPr>
              <w:ind w:left="200"/>
              <w:spacing w:after="0" w:line="183" w:lineRule="exact"/>
              <w:rPr>
                <w:sz w:val="20"/>
                <w:szCs w:val="20"/>
                <w:color w:val="auto"/>
              </w:rPr>
            </w:pPr>
            <w:r>
              <w:rPr>
                <w:rFonts w:ascii="Arial" w:cs="Arial" w:eastAsia="Arial" w:hAnsi="Arial"/>
                <w:sz w:val="18"/>
                <w:szCs w:val="18"/>
                <w:color w:val="auto"/>
              </w:rPr>
              <w:t>Receipt of common stock in exchange for technology license</w:t>
            </w:r>
          </w:p>
        </w:tc>
        <w:tc>
          <w:tcPr>
            <w:tcW w:w="340" w:type="dxa"/>
            <w:vAlign w:val="bottom"/>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100</w:t>
            </w:r>
          </w:p>
        </w:tc>
        <w:tc>
          <w:tcPr>
            <w:tcW w:w="140" w:type="dxa"/>
            <w:vAlign w:val="bottom"/>
          </w:tcPr>
          <w:p>
            <w:pPr>
              <w:spacing w:after="0"/>
              <w:rPr>
                <w:sz w:val="15"/>
                <w:szCs w:val="15"/>
                <w:color w:val="auto"/>
              </w:rPr>
            </w:pPr>
          </w:p>
        </w:tc>
        <w:tc>
          <w:tcPr>
            <w:tcW w:w="34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Operating lease liabilities arising from obtaining right-of-use assets</w:t>
            </w:r>
          </w:p>
        </w:tc>
        <w:tc>
          <w:tcPr>
            <w:tcW w:w="340" w:type="dxa"/>
            <w:vAlign w:val="bottom"/>
            <w:tcBorders>
              <w:bottom w:val="single" w:sz="8" w:color="auto"/>
            </w:tcBorders>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25,925</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74,723</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183"/>
        </w:trPr>
        <w:tc>
          <w:tcPr>
            <w:tcW w:w="6580" w:type="dxa"/>
            <w:vAlign w:val="bottom"/>
          </w:tcPr>
          <w:p>
            <w:pPr>
              <w:ind w:left="200"/>
              <w:spacing w:after="0" w:line="183" w:lineRule="exact"/>
              <w:rPr>
                <w:sz w:val="20"/>
                <w:szCs w:val="20"/>
                <w:color w:val="auto"/>
              </w:rPr>
            </w:pPr>
            <w:r>
              <w:rPr>
                <w:rFonts w:ascii="Arial" w:cs="Arial" w:eastAsia="Arial" w:hAnsi="Arial"/>
                <w:sz w:val="18"/>
                <w:szCs w:val="18"/>
                <w:color w:val="auto"/>
              </w:rPr>
              <w:t>Issuance of common stock for research and development licenses</w:t>
            </w:r>
          </w:p>
        </w:tc>
        <w:tc>
          <w:tcPr>
            <w:tcW w:w="340" w:type="dxa"/>
            <w:vAlign w:val="bottom"/>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color w:val="auto"/>
              </w:rPr>
              <w:t>5,751</w:t>
            </w:r>
          </w:p>
        </w:tc>
        <w:tc>
          <w:tcPr>
            <w:tcW w:w="140" w:type="dxa"/>
            <w:vAlign w:val="bottom"/>
          </w:tcPr>
          <w:p>
            <w:pPr>
              <w:spacing w:after="0"/>
              <w:rPr>
                <w:sz w:val="15"/>
                <w:szCs w:val="15"/>
                <w:color w:val="auto"/>
              </w:rPr>
            </w:pPr>
          </w:p>
        </w:tc>
        <w:tc>
          <w:tcPr>
            <w:tcW w:w="34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Equity issuance costs in accounts payable and accrued expenses</w:t>
            </w:r>
          </w:p>
        </w:tc>
        <w:tc>
          <w:tcPr>
            <w:tcW w:w="340" w:type="dxa"/>
            <w:vAlign w:val="bottom"/>
            <w:tcBorders>
              <w:bottom w:val="single" w:sz="8" w:color="auto"/>
            </w:tcBorders>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183"/>
        </w:trPr>
        <w:tc>
          <w:tcPr>
            <w:tcW w:w="6580" w:type="dxa"/>
            <w:vAlign w:val="bottom"/>
          </w:tcPr>
          <w:p>
            <w:pPr>
              <w:ind w:left="200"/>
              <w:spacing w:after="0" w:line="183" w:lineRule="exact"/>
              <w:rPr>
                <w:sz w:val="20"/>
                <w:szCs w:val="20"/>
                <w:color w:val="auto"/>
              </w:rPr>
            </w:pPr>
            <w:r>
              <w:rPr>
                <w:rFonts w:ascii="Arial" w:cs="Arial" w:eastAsia="Arial" w:hAnsi="Arial"/>
                <w:sz w:val="18"/>
                <w:szCs w:val="18"/>
                <w:color w:val="auto"/>
              </w:rPr>
              <w:t>Fair value of common stock issued to settle success payment liability</w:t>
            </w:r>
          </w:p>
        </w:tc>
        <w:tc>
          <w:tcPr>
            <w:tcW w:w="340" w:type="dxa"/>
            <w:vAlign w:val="bottom"/>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30,000</w:t>
            </w:r>
          </w:p>
        </w:tc>
        <w:tc>
          <w:tcPr>
            <w:tcW w:w="48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Contingent consideration liabilities assumed in asset acquisition</w:t>
            </w:r>
          </w:p>
        </w:tc>
        <w:tc>
          <w:tcPr>
            <w:tcW w:w="340" w:type="dxa"/>
            <w:vAlign w:val="bottom"/>
            <w:tcBorders>
              <w:bottom w:val="single" w:sz="8" w:color="auto"/>
            </w:tcBorders>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36,513</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6580" w:type="dxa"/>
            <w:vAlign w:val="bottom"/>
          </w:tcPr>
          <w:p>
            <w:pPr>
              <w:ind w:left="200"/>
              <w:spacing w:after="0" w:line="183" w:lineRule="exact"/>
              <w:rPr>
                <w:sz w:val="20"/>
                <w:szCs w:val="20"/>
                <w:color w:val="auto"/>
              </w:rPr>
            </w:pPr>
            <w:r>
              <w:rPr>
                <w:rFonts w:ascii="Arial" w:cs="Arial" w:eastAsia="Arial" w:hAnsi="Arial"/>
                <w:sz w:val="18"/>
                <w:szCs w:val="18"/>
                <w:color w:val="auto"/>
              </w:rPr>
              <w:t>Fair value of equity instruments issued in connection with asset acquisition</w:t>
            </w:r>
          </w:p>
        </w:tc>
        <w:tc>
          <w:tcPr>
            <w:tcW w:w="340" w:type="dxa"/>
            <w:vAlign w:val="bottom"/>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120,032</w:t>
            </w:r>
          </w:p>
        </w:tc>
        <w:tc>
          <w:tcPr>
            <w:tcW w:w="48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line="183"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shd w:val="clear" w:color="auto" w:fill="CFF0FC"/>
          </w:tcPr>
          <w:p>
            <w:pPr>
              <w:ind w:left="200"/>
              <w:spacing w:after="0" w:line="142" w:lineRule="exact"/>
              <w:rPr>
                <w:sz w:val="20"/>
                <w:szCs w:val="20"/>
                <w:color w:val="auto"/>
              </w:rPr>
            </w:pPr>
            <w:r>
              <w:rPr>
                <w:rFonts w:ascii="Arial" w:cs="Arial" w:eastAsia="Arial" w:hAnsi="Arial"/>
                <w:sz w:val="16"/>
                <w:szCs w:val="16"/>
                <w:color w:val="auto"/>
              </w:rPr>
              <w:t>Accretion of redeemable convertible preferred stock to redemption value, including</w:t>
            </w: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FF0FC"/>
          </w:tcPr>
          <w:p>
            <w:pPr>
              <w:spacing w:after="0"/>
              <w:rPr>
                <w:sz w:val="12"/>
                <w:szCs w:val="12"/>
                <w:color w:val="auto"/>
              </w:rPr>
            </w:pP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14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12,714</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8"/>
                <w:szCs w:val="18"/>
                <w:color w:val="auto"/>
              </w:rPr>
              <w:t>dividends on preferred stock</w:t>
            </w:r>
          </w:p>
        </w:tc>
        <w:tc>
          <w:tcPr>
            <w:tcW w:w="340" w:type="dxa"/>
            <w:vAlign w:val="bottom"/>
            <w:tcBorders>
              <w:bottom w:val="single" w:sz="8" w:color="auto"/>
            </w:tcBorders>
            <w:vMerge w:val="continue"/>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vMerge w:val="continue"/>
            <w:shd w:val="clear" w:color="auto" w:fill="CFF0FC"/>
          </w:tcPr>
          <w:p>
            <w:pPr>
              <w:spacing w:after="0"/>
              <w:rPr>
                <w:sz w:val="18"/>
                <w:szCs w:val="18"/>
                <w:color w:val="auto"/>
              </w:rPr>
            </w:pPr>
          </w:p>
        </w:tc>
        <w:tc>
          <w:tcPr>
            <w:tcW w:w="320" w:type="dxa"/>
            <w:vAlign w:val="bottom"/>
            <w:tcBorders>
              <w:bottom w:val="single" w:sz="8" w:color="auto"/>
            </w:tcBorders>
            <w:vMerge w:val="continue"/>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vMerge w:val="continue"/>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-1345565</wp:posOffset>
            </wp:positionV>
            <wp:extent cx="1028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-1328420</wp:posOffset>
            </wp:positionV>
            <wp:extent cx="1028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-1345565</wp:posOffset>
            </wp:positionV>
            <wp:extent cx="946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-1328420</wp:posOffset>
            </wp:positionV>
            <wp:extent cx="946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-1036320</wp:posOffset>
            </wp:positionV>
            <wp:extent cx="1028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-1019810</wp:posOffset>
            </wp:positionV>
            <wp:extent cx="1028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-1036320</wp:posOffset>
            </wp:positionV>
            <wp:extent cx="946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-1019810</wp:posOffset>
            </wp:positionV>
            <wp:extent cx="946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-728345</wp:posOffset>
            </wp:positionV>
            <wp:extent cx="1028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-711200</wp:posOffset>
            </wp:positionV>
            <wp:extent cx="1028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-728345</wp:posOffset>
            </wp:positionV>
            <wp:extent cx="946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-711200</wp:posOffset>
            </wp:positionV>
            <wp:extent cx="946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-419735</wp:posOffset>
            </wp:positionV>
            <wp:extent cx="1028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-402590</wp:posOffset>
            </wp:positionV>
            <wp:extent cx="1028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-419735</wp:posOffset>
            </wp:positionV>
            <wp:extent cx="946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-402590</wp:posOffset>
            </wp:positionV>
            <wp:extent cx="946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1028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1028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2" w:lineRule="exact"/>
        <w:rPr>
          <w:sz w:val="20"/>
          <w:szCs w:val="20"/>
          <w:color w:val="auto"/>
        </w:rPr>
      </w:pPr>
    </w:p>
    <w:p>
      <w:pPr>
        <w:ind w:right="7400" w:firstLine="8"/>
        <w:spacing w:after="0" w:line="362" w:lineRule="auto"/>
        <w:tabs>
          <w:tab w:leader="none" w:pos="1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the business and basis of presentation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Beam Therapeutics Inc., which we refer to herein as the “Company” or “Beam,” is a biotechnology company committed to establishing the leading, fully integrated platform for precision genetic medicines. Beam’s vision is to provide life-long cures to patients suffering from genetic diseases. The Company was incorporated on January 25, 2017 as a Delaware corporation and began operations in July 2017. Its principal offices are in Cambridge, Massachusetts.</w:t>
      </w:r>
    </w:p>
    <w:p>
      <w:pPr>
        <w:spacing w:after="0" w:line="3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February 2021, the Company entered into an Agreement and Plan of Merger, or the Guide Merger Agreement, to acquire Guide Therapeutics, Inc., or Guide. Pursuant to the Guide Merger Agreement, the Company paid Guide’s former stockholders and optionholders upfront consideration in an aggregate amount of $120.0 million, excluding customary purchase price adjustments, in shares of its common stock, based upon the volume-weighted average price of the Company’s common stock over the ten trading-day period ending on February 19, 2021. In addition, Guide’s former stockholders and optionholders are eligible to receive up to an additional $100.0 million in technology milestone payments and $220.0 million in product milestone payments, payable in the Company’s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Since its inception, the Company has devoted substantially all of its resources to building its base editing platform and advancing development of its portfolio of programs, establishing and protecting its intellectual property, conducting research and development activities, making arrangements to conduct manufacturing activities with contract manufacturing organizations, research and development costs including preclinical studies and IND-enabling studies, organizing and staffing the Company, maintaining its facilities and new facility build-outs, business planning, raising capital and providing general and administrative support for these operations. The Company is also in the process of developing internal manufacturing capabilities.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59"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In February 2020, the Company completed its initial public offering, or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offering expenses payable by the Company. In connection with the IPO, all outstanding shares of the Company’s redeemable convertible preferred stock converted into 29,127,523 shares of its common stock.</w:t>
      </w:r>
    </w:p>
    <w:p>
      <w:pPr>
        <w:spacing w:after="0" w:line="8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October 2020, the Company issued and sold 5,750,000 shares of its common stock, including 750,000 shares pursuant to the full exercise of the underwriters’ option to purchase additional shares, at a public offering price of $23.50 per share, for aggregate gross proceeds of $135.1 million. The Company received approximately $126.6 million in net proceeds after deducting underwriting discounts and offering expenses payable by the Company.</w:t>
      </w:r>
    </w:p>
    <w:p>
      <w:pPr>
        <w:spacing w:after="0" w:line="3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On January 16, 2021, the Company entered into a Securities Purchase Agreement with certain purchasers, pursuant to which the Company agreed to sell and issue to the purchasers, in a private placement, shares of common stock of the Company. The closing of the private placement occurred on January 21, 2021. The Company issued and sold 2,795,700 shares of its common stock at a purchase price of $93.00 per share for aggregate gross proceeds of $260.0 million, before deducting fees to the placement agents and other offering expenses payable by the Company (See Note 11, </w:t>
      </w:r>
      <w:r>
        <w:rPr>
          <w:rFonts w:ascii="Arial" w:cs="Arial" w:eastAsia="Arial" w:hAnsi="Arial"/>
          <w:sz w:val="18"/>
          <w:szCs w:val="18"/>
          <w:i w:val="1"/>
          <w:iCs w:val="1"/>
          <w:color w:val="auto"/>
        </w:rPr>
        <w:t>Preferred and common stock</w:t>
      </w:r>
      <w:r>
        <w:rPr>
          <w:rFonts w:ascii="Arial" w:cs="Arial" w:eastAsia="Arial" w:hAnsi="Arial"/>
          <w:sz w:val="18"/>
          <w:szCs w:val="18"/>
          <w:color w:val="auto"/>
        </w:rPr>
        <w:t>). The Company received approximately $252.0 million in net proceeds after deducting fees to the placement agents and offering expenses payable by the Company.</w:t>
      </w:r>
    </w:p>
    <w:p>
      <w:pPr>
        <w:spacing w:after="0" w:line="8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In April 2021, the Company entered into an at the market, or ATM, sales agreement, or the Sales Agreement, with Jefferies LLC, or Jefferies, pursuant to which the Company was entitled to offer and sell, from time to time at prevailing market prices, shares of the Company’s common stock having aggregate gross proceeds of up to $300.0 million. The Company agreed to pay Jefferies a commission of up to 3.0% of the aggregate gross sale proceeds of any shares sold by Jefferies under the Sales Agreement. Between April and July 2021, the Company has sold 2,908,009 shares of its common stock under the Sales Agreement at an average price of $103.16 per share for aggregate gross proceeds of $300.0 million, before deducting commissions and offering expenses payable by the Company.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5" w:name="page146"/>
    <w:bookmarkEnd w:id="145"/>
    <w:p>
      <w:pPr>
        <w:ind w:right="120"/>
        <w:spacing w:after="0" w:line="279" w:lineRule="auto"/>
        <w:rPr>
          <w:sz w:val="20"/>
          <w:szCs w:val="20"/>
          <w:color w:val="auto"/>
        </w:rPr>
      </w:pPr>
      <w:r>
        <w:rPr>
          <w:rFonts w:ascii="Arial" w:cs="Arial" w:eastAsia="Arial" w:hAnsi="Arial"/>
          <w:sz w:val="16"/>
          <w:szCs w:val="16"/>
          <w:color w:val="auto"/>
        </w:rPr>
        <w:t>In July 2021, the Company and Jefferies entered into an amendment to the Sales Agreement to provide for an increase in the aggregate offering amount under the Sales Agreement, such that as of July 7, 2021, the Company may offer and sell shares of common stock having an aggregate offering price of an additional $500.0 million. As of December 31, 2021, the Company has sold 1,999,186 additional shares of its common stock under the amended Sales Agreement at an average price of $105.65 per share for aggregate gross proceeds of $211.2 million, before deducting commissions and offering expenses payable by the Company, resulting in an aggregate of $511.2 million in gross proceeds received under the Sales Agreement as of December 31, 2021.</w:t>
      </w:r>
    </w:p>
    <w:p>
      <w:pPr>
        <w:spacing w:after="0" w:line="51" w:lineRule="exact"/>
        <w:rPr>
          <w:sz w:val="20"/>
          <w:szCs w:val="20"/>
          <w:color w:val="auto"/>
        </w:rPr>
      </w:pPr>
    </w:p>
    <w:p>
      <w:pPr>
        <w:jc w:val="both"/>
        <w:ind w:right="340"/>
        <w:spacing w:after="0" w:line="262" w:lineRule="auto"/>
        <w:rPr>
          <w:sz w:val="20"/>
          <w:szCs w:val="20"/>
          <w:color w:val="auto"/>
        </w:rPr>
      </w:pPr>
      <w:r>
        <w:rPr>
          <w:rFonts w:ascii="Arial" w:cs="Arial" w:eastAsia="Arial" w:hAnsi="Arial"/>
          <w:sz w:val="17"/>
          <w:szCs w:val="17"/>
          <w:color w:val="auto"/>
        </w:rPr>
        <w:t>In June 2021, the Company entered into a research collaboration agreement, or the Apellis Agreement, with Apellis Pharmaceuticals, Inc., or Apellis, focused on the use of certain of its base editing technology to discover new treatments for complement system-driven diseases. Pursuant to the Apellis Agreement, the Company received an upfront payment of $50.0 million in July 2021. The Company is also eligible to receive an additional payment of $25.0 million on June 30, 2022, the one-year anniversary of the effective date of the Apellis Agreement.</w:t>
      </w:r>
    </w:p>
    <w:p>
      <w:pPr>
        <w:spacing w:after="0" w:line="64"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 xml:space="preserve">In October 2021, the Company entered into an option and license agreement, or the Sana Agreement, with Sana Biotechnology, Inc., or Sana, pursuant to which the Company granted Sana non-exclusive commercial rights to its CRISPR Cas12b nuclease system for certain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engineered cell therapy programs. Pursuant to this agreement, the Company received an upfront payment of $50.0 million in October 2021.</w:t>
      </w:r>
    </w:p>
    <w:p>
      <w:pPr>
        <w:spacing w:after="0" w:line="56"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 xml:space="preserve">In December 2021, the Company entered into a research collaboration agreement, or the Pfizer Agreement, with Pfizer Inc., or Pfizer, focused 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base editing programs for three targets for rare genetic diseases of the liver, muscle and central nervous system. Under the terms of the Pfizer Agreement, the Company will conduct all research activities through development candidate selection for three undisclosed targets, which are not included in the Company’s existing programs. Pursuant to this agreement, the Company received an upfront payment of $300.0 million in January 2022.</w:t>
      </w:r>
    </w:p>
    <w:p>
      <w:pPr>
        <w:spacing w:after="0" w:line="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Since its inception, the Company has incurred substantial losses and had an accumulated deficit of $768.3 million as of December 31, 2021. The Company expects to generate operating losses and negative operating cash flows for the foreseeable future.</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Company expects that its cash, cash equivalents, and marketable securities as of December 31, 2021 of $965.6 million will be sufficient to fund its operations for at least the next 12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COVID-19-related significant risks and uncertainties</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With the ongoing concerns related to the COVID-19 pandemic during 2021, the Company has maintained and expanded its business continuity plans to address and mitigate the impact of the COVID-19 pandemic on its business. In March 2020, to protect the health of its employees, and their families and communities, the Company restricted access to its offices to personnel who performed critical activities that must be completed on-site, limited the number of such personnel that could be present at its facilities at any one time, and requested that most of its employees work remotely. In May 2021, as certain states eased restrictions, the Company established new protocols to better allow its full laboratory staff access to the Company’s facilities. These protocols included several shifts working over a seven-day-week protocol. In June 2021, as certain states continued to ease restrictions, the Company started to allow its entire workforce the ability to work on-site at the Company’s facilities, with fewer restrictions, particularly for vaccinated employees. The Company expects to continue incurring additional costs to ensure it adheres to the guidelines instituted by the Centers for Disease Control and Prevention, or CDC, and to provide a safe working environment to its onsite employees.</w:t>
      </w:r>
    </w:p>
    <w:p>
      <w:pPr>
        <w:spacing w:after="0" w:line="7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extent to which the COVID-19 pandemic impacts the Company’s business, its corporate development objectives, results of operations and financial condition, and the value of and market for its common stock, will depend on future developments that are highly uncertain and cannot be predicted with confidence at this time, such as the ultimate duration of the pandemic, travel restrictions, quarantines, social distancing and business closure requirements, and the effectiveness of actions taken globally to contain and treat the disease. Disruptions to the global economy and supply chain, disruption of global healthcare systems, and other significant impacts of the COVID-19 pandemic could have a material adverse effect on the Company’s business, financial condition, results of operations and growth prospects.</w:t>
      </w:r>
    </w:p>
    <w:p>
      <w:pPr>
        <w:spacing w:after="0" w:line="8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While the COVID-19 pandemic did not significantly impact the Company’s business or results of operations during the twelve months ended December 31, 2021, the length and extent of the pandemic, its consequences, and containment efforts will determine the future impact on the Company’s operations and financial condition.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6" w:name="page147"/>
    <w:bookmarkEnd w:id="146"/>
    <w:p>
      <w:pPr>
        <w:ind w:right="7760" w:firstLine="8"/>
        <w:spacing w:after="0" w:line="362" w:lineRule="auto"/>
        <w:tabs>
          <w:tab w:leader="none" w:pos="1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accompanying consolidated financial statements have been prepared in accordance with United States generally accepted accounting principles, or GAAP. Any reference in these notes to applicable guidance is meant to refer to the authoritative GAAP as found in the Accounting Standards Codification, or ASC, and Accounting Standards Update, or ASU, of the Financial Accounting Standards Board, or FASB.</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accompanying consolidated financial statements include the results of operations of the Company and its wholly-owned subsidiaries. All intercompany transactions and balances have been eliminated in consolidation.</w:t>
      </w:r>
    </w:p>
    <w:p>
      <w:pPr>
        <w:spacing w:after="0" w:line="6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 September 2021, the Company's wholly-owned subsidiary Blink Therapeutics Inc., or Blink, merged with and into Beam, such that Blink’s separate corporate existence ceased and Beam Therapeutics Inc. continued as the surviving corporation.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and expenses, and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consolidated financial statements include, but are not limited to, incremental borrowing rate used in the calculation of lease liabilities, research and development expenses, the fair values of common stock, stock-based compensation, contingent consideration liabilities, success payments and certain judgements regarding revenue recognition. Actual results could differ from these estimates.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0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Cash and cash equivalents consist of standard checking accounts, money market accounts, and all highly liquid investments with a remaining maturity of three months or less at the date of purchase. Restricted cash represents collateral provided for letters of credit issued as security deposits in connection with the Company’s leases of its corporate and manufacturing facilities.</w:t>
      </w:r>
    </w:p>
    <w:p>
      <w:pPr>
        <w:spacing w:after="0" w:line="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reconciles cash, cash equivalents, and restricted cash reported within the Company’s consolidated balance sheets to the total of the amounts shown in the consolidated statements of cash flows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559,994</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162,171</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37,221</w:t>
            </w: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12,746</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14,840</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13,332</w:t>
            </w:r>
          </w:p>
        </w:tc>
      </w:tr>
      <w:tr>
        <w:trPr>
          <w:trHeight w:val="236"/>
        </w:trPr>
        <w:tc>
          <w:tcPr>
            <w:tcW w:w="65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572,740</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177,011</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50,553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-25400</wp:posOffset>
            </wp:positionV>
            <wp:extent cx="1028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1028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classifies marketable securities with a remaining maturity when purchased of greater than three months as available-for-sale. Available-for-sale securities are maintained by the Company’s investment managers and consist of commercial paper, high-grade corporate notes, U.S. Treasury securities and government securities. Available-for-sale securities are carried at fair value with the unrealized gains and losses included in accumulated other comprehensive (loss) income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interest and other income (expense), net.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equity securities</w:t>
      </w:r>
    </w:p>
    <w:p>
      <w:pPr>
        <w:spacing w:after="0" w:line="10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Company classifies investments in equity securities that have a readily determinable fair value as marketable securities in the Company's consolidated balance sheets. The Company’s marketable securities are stated at fair value. Typically, the fair value of these securities is based on a quoted price for an identical equity security. The Company also holds an investment in privately issued corporate equity securities, which are accounted for as investments in equity securities. This investment does not have a readily determinable fair value and the Company values the investment based on the cost of the equity securities adjusted for observable market transactions or impairments, if any, and records any changes in value through earnings. The Company records changes in the fair value of its equity securities in other income (expense), net in its consolidated statements of operations and other comprehensive loss.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Financial instruments that are potentially subject to significant concentration of credit risk consist primarily of cash, cash equivalents, marketable securities, and restricted cash. The Company attempts to minimize the risk related to marketable securities by working with highly rated financial institutions that invest in a broad and diverse range of financial instruments as defined the Company. The Company has established guidelines relative to credit ratings and maturities intended to safeguard principal balances and maintain liquidity. The Company maintains its funds in accordance with its investment policy, which defines allowable investments, specifies credit quality standards and is designed to limit credit exposure to any single issuer.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As permitted under Delaware law, the Company indemnifies its officers, directors, consultants, and employees for certain events or occurrences that happen by reason of the relationship with, or position held at, the Company. For the twelve months ended December 31, 2021, 2020 and 2019,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 costs</w:t>
      </w:r>
    </w:p>
    <w:p>
      <w:pPr>
        <w:spacing w:after="0" w:line="10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capitalizes incremental legal, professional, accounting and other third-party fees that were directly associated with its stock offerings as other non-current assets until the offerings are consummated. Upon consummation, these costs are recorded in stockholders’ equity as a reduction of additional paid-in-capital generated as a result of the offerings. As of December 31, 2021 and 2020, there were no deferred offering costs.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or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independent sources. Unobservable inputs are inputs that reflect the Company’s assumptions about the inputs that market participants would use in pricing the assets or liability and are developed based on the best information available in the circumstances. ASC 820 identifies fair value as the price that would be received to sell an asset or paid to transfer a liability in an orderly transaction between market participants at the measurement date. As a basis for considering market participant assumptions in fair value measurements, ASC 820 establishes a three-tiered value hierarchy that distinguishes between the following:</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104" w:lineRule="exact"/>
        <w:rPr>
          <w:sz w:val="20"/>
          <w:szCs w:val="20"/>
          <w:color w:val="auto"/>
        </w:rPr>
      </w:pPr>
    </w:p>
    <w:p>
      <w:pPr>
        <w:ind w:left="760" w:right="200"/>
        <w:spacing w:after="0" w:line="261"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63" w:lineRule="exact"/>
        <w:rPr>
          <w:sz w:val="20"/>
          <w:szCs w:val="20"/>
          <w:color w:val="auto"/>
        </w:rPr>
      </w:pPr>
    </w:p>
    <w:p>
      <w:pPr>
        <w:ind w:left="760" w:right="140"/>
        <w:spacing w:after="0" w:line="324" w:lineRule="auto"/>
        <w:rPr>
          <w:sz w:val="20"/>
          <w:szCs w:val="20"/>
          <w:color w:val="auto"/>
        </w:rPr>
      </w:pPr>
      <w:r>
        <w:rPr>
          <w:rFonts w:ascii="Arial" w:cs="Arial" w:eastAsia="Arial" w:hAnsi="Arial"/>
          <w:sz w:val="16"/>
          <w:szCs w:val="16"/>
          <w:color w:val="auto"/>
        </w:rPr>
        <w:t>Level 3—Unobservable inputs for the asset or liability (i.e. supported by little or no market activity). Level 3 inputs include management’s own assumptions about the assumptions that market participants would use in pricing the asset or liability (including assumptions about risk).</w:t>
      </w:r>
    </w:p>
    <w:p>
      <w:pPr>
        <w:spacing w:after="0" w:line="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judgement. Accordingly, the degree of judgement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3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There have been no changes to the valuation methods utilized during the years ended December 31, 2021 and 2020. The Company evaluates transfers between levels at the end of each reporting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Property and equipment are stated at cost less accumulated depreciation. Depreciation expense is recognized using the straight-line method over the estimated useful life of each asset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category</w:t>
            </w:r>
          </w:p>
        </w:tc>
        <w:tc>
          <w:tcPr>
            <w:tcW w:w="220" w:type="dxa"/>
            <w:vAlign w:val="bottom"/>
          </w:tcPr>
          <w:p>
            <w:pPr>
              <w:spacing w:after="0"/>
              <w:rPr>
                <w:sz w:val="16"/>
                <w:szCs w:val="16"/>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Estimated useful life</w:t>
            </w:r>
          </w:p>
        </w:tc>
      </w:tr>
      <w:tr>
        <w:trPr>
          <w:trHeight w:val="182"/>
        </w:trPr>
        <w:tc>
          <w:tcPr>
            <w:tcW w:w="5520" w:type="dxa"/>
            <w:vAlign w:val="bottom"/>
          </w:tcPr>
          <w:p>
            <w:pPr>
              <w:ind w:left="20"/>
              <w:spacing w:after="0" w:line="182" w:lineRule="exact"/>
              <w:rPr>
                <w:sz w:val="20"/>
                <w:szCs w:val="20"/>
                <w:color w:val="auto"/>
              </w:rPr>
            </w:pPr>
            <w:r>
              <w:rPr>
                <w:rFonts w:ascii="Arial" w:cs="Arial" w:eastAsia="Arial" w:hAnsi="Arial"/>
                <w:sz w:val="18"/>
                <w:szCs w:val="18"/>
                <w:color w:val="auto"/>
              </w:rPr>
              <w:t>Computer equipment and software</w:t>
            </w:r>
          </w:p>
        </w:tc>
        <w:tc>
          <w:tcPr>
            <w:tcW w:w="220" w:type="dxa"/>
            <w:vAlign w:val="bottom"/>
          </w:tcPr>
          <w:p>
            <w:pPr>
              <w:spacing w:after="0"/>
              <w:rPr>
                <w:sz w:val="15"/>
                <w:szCs w:val="15"/>
                <w:color w:val="auto"/>
              </w:rPr>
            </w:pPr>
          </w:p>
        </w:tc>
        <w:tc>
          <w:tcPr>
            <w:tcW w:w="5500" w:type="dxa"/>
            <w:vAlign w:val="bottom"/>
          </w:tcPr>
          <w:p>
            <w:pPr>
              <w:ind w:left="20"/>
              <w:spacing w:after="0" w:line="182" w:lineRule="exact"/>
              <w:rPr>
                <w:sz w:val="20"/>
                <w:szCs w:val="20"/>
                <w:color w:val="auto"/>
              </w:rPr>
            </w:pPr>
            <w:r>
              <w:rPr>
                <w:rFonts w:ascii="Arial" w:cs="Arial" w:eastAsia="Arial" w:hAnsi="Arial"/>
                <w:sz w:val="18"/>
                <w:szCs w:val="18"/>
                <w:color w:val="auto"/>
              </w:rPr>
              <w:t>3 years</w:t>
            </w: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Laboratory equipment and office furniture</w:t>
            </w:r>
          </w:p>
        </w:tc>
        <w:tc>
          <w:tcPr>
            <w:tcW w:w="220" w:type="dxa"/>
            <w:vAlign w:val="bottom"/>
          </w:tcPr>
          <w:p>
            <w:pPr>
              <w:spacing w:after="0"/>
              <w:rPr>
                <w:sz w:val="17"/>
                <w:szCs w:val="17"/>
                <w:color w:val="auto"/>
              </w:rPr>
            </w:pPr>
          </w:p>
        </w:tc>
        <w:tc>
          <w:tcPr>
            <w:tcW w:w="5500" w:type="dxa"/>
            <w:vAlign w:val="bottom"/>
          </w:tcPr>
          <w:p>
            <w:pPr>
              <w:ind w:left="20"/>
              <w:spacing w:after="0" w:line="202" w:lineRule="exact"/>
              <w:rPr>
                <w:sz w:val="20"/>
                <w:szCs w:val="20"/>
                <w:color w:val="auto"/>
              </w:rPr>
            </w:pPr>
            <w:r>
              <w:rPr>
                <w:rFonts w:ascii="Arial" w:cs="Arial" w:eastAsia="Arial" w:hAnsi="Arial"/>
                <w:sz w:val="18"/>
                <w:szCs w:val="18"/>
                <w:color w:val="auto"/>
              </w:rPr>
              <w:t>5 years</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Shorter of useful life or remaining term</w:t>
            </w:r>
          </w:p>
        </w:tc>
      </w:tr>
    </w:tbl>
    <w:p>
      <w:pPr>
        <w:spacing w:after="0" w:line="94"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Upon retirement or sale, the cost of assets disposed of and the related accumulated depreciation are removed from the accounts and any resulting gain or loss is included in interest and other income (expense). Expenditures for repairs and maintenance are charged to expense as incurred.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Company evaluates its long-lived assets, which consist primarily of property and equipment and operating lease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years ended December 31, 2021, 2020 and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Freestanding financial instruments and derivatives</w:t>
      </w:r>
    </w:p>
    <w:p>
      <w:pPr>
        <w:spacing w:after="0" w:line="9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 xml:space="preserve">Pursuant to a license agreement between the President and Fellows of Harvard College, or Harvard, and the Company, or the Harvard License Agreement, and a license agreement with The Broad Institute, Inc., or Broad Institute, and the Company, or the Broad License Agreement, (see Note 9, </w:t>
      </w:r>
      <w:r>
        <w:rPr>
          <w:rFonts w:ascii="Arial" w:cs="Arial" w:eastAsia="Arial" w:hAnsi="Arial"/>
          <w:sz w:val="16"/>
          <w:szCs w:val="16"/>
          <w:i w:val="1"/>
          <w:iCs w:val="1"/>
          <w:color w:val="auto"/>
        </w:rPr>
        <w:t>License</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the Company is required to make success payments to Harvard and Broad Institute based the achievement of specified multiples of the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weighted average value of the Company’s redeemable convertible Series A-1 Preferred Stock and the Company’s redeemable convertible Series A-2 Preferred Stock, or together the Series A Preferred, at specified valuation dates, payable in cash or Company common stock. Subsequent to the IPO, the amount of the success payments is based on the market value of Beam’s common stock. The success payments are accounted for under ASC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and were initially recorded at fair value with a corresponding charge to research and development expense. The liabilities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marked to market at each balance sheet date with all changes in value recognized in other income (expense), in the consolidated statement of operations and other comprehensive loss. The Company will continue to adjust the liability for changes in fair value until the earlier of the achievement or expiration of the success payment obligation. To determine the estimated fair value of the success payments, the Company used a Monte Carlo simulation model, which models the value of the liability based on several key variables, including probability of event occurrence, timing of event occurrence, as well as the value of the Series A Preferred, prior to the IPO, and the value of the Company’s common stock, subsequent to the IPO.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 and rent expense</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On January 1, 2019, the Company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or ASC 842. Under the standard the Company accounts for leases using a right-of-use, or ROU, model, which recognizes that, at the date of commencement, a lessee has a financial obligation to make lease payments to the lessor for the right to use the underlying asset during the lease term.</w:t>
      </w:r>
    </w:p>
    <w:p>
      <w:pPr>
        <w:spacing w:after="0" w:line="67"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ROU assets and short-term and long-term lease</w:t>
      </w:r>
    </w:p>
    <w:p>
      <w:pPr>
        <w:spacing w:after="0" w:line="1"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liabilities, as applicable. ROU assets represent the Company’s right to use an underlying asset for the lease term and lease liabilities represent its obligation to make lease payments arising from the lease. The Company typically only includes an initial lease term in its assessment of a lease arrangement. It also considers termination options and factors those into the determination of lease payments. Options to renew a lease are not included in the assessment unless there is reasonable certainty that the Company will renew.</w:t>
      </w:r>
    </w:p>
    <w:p>
      <w:pPr>
        <w:spacing w:after="0" w:line="70"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Operating lease liabilities and their corresponding ROU assets are recorded based on the present value of lease payments over the expected remaining lease term. Certain adjustments to the ROU asset may be required for items such as incentives received.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 similar term, in a similar economic environment. Lease expense for lease payments is recognized on a straight-line basis over the lease term.</w:t>
      </w:r>
    </w:p>
    <w:p>
      <w:pPr>
        <w:spacing w:after="0" w:line="8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Company is required to pay fees for operating expenses in addition to monthly base rent for certain operating leases (non-lease components). The Company has elected the practical expedient which allows non-lease components to be combined with lease components for all asset classes. Variable non-lease components are not included within the lease right-of-use asset and lease liability on the consolidated balance sheet, and instead are reflected as expense in the period they are paid.</w:t>
      </w:r>
    </w:p>
    <w:p>
      <w:pPr>
        <w:spacing w:after="0" w:line="80"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Leasehold improvements are not unique and are retained by the lessor at the end of the lease. However, in the case of a space designed to be suitable for the Company’s specific real estate needs and if the Company is responsible for cost overruns, the Company is the accounting owner of the leasehold improvements and costs associated are capitalized.</w:t>
      </w:r>
    </w:p>
    <w:p>
      <w:pPr>
        <w:spacing w:after="0" w:line="7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Company’s real estate operating leases provide for scheduled annual rent increases throughout the lease terms. The Company recognizes the effects of the scheduled rent increases on a straight-line basis over the full terms of the lease. Tenant improvement allowances, if any, provided by a landlord are recorded as a reduction of the ROU asset related to that lease.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acquisitions</w:t>
      </w:r>
    </w:p>
    <w:p>
      <w:pPr>
        <w:spacing w:after="0" w:line="10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 xml:space="preserve">In 2018, the Company adopted ASU 2017-01, </w:t>
      </w:r>
      <w:r>
        <w:rPr>
          <w:rFonts w:ascii="Arial" w:cs="Arial" w:eastAsia="Arial" w:hAnsi="Arial"/>
          <w:sz w:val="18"/>
          <w:szCs w:val="18"/>
          <w:i w:val="1"/>
          <w:iCs w:val="1"/>
          <w:color w:val="auto"/>
        </w:rPr>
        <w:t>Business Combinations</w:t>
      </w:r>
      <w:r>
        <w:rPr>
          <w:rFonts w:ascii="Arial" w:cs="Arial" w:eastAsia="Arial" w:hAnsi="Arial"/>
          <w:sz w:val="18"/>
          <w:szCs w:val="18"/>
          <w:color w:val="auto"/>
        </w:rPr>
        <w:t>, or ASU 2017-01, which clarified the definition of a business. The Company measures and recognizes asset acquisitions that are not deemed to be business combinations based on the cost to acquire the assets, which includes transaction costs, and the consideration is allocated to the items acquired based on a relative fair value methodology. Goodwill is not recognized in asset acquisitions. In an asset acquisition, the cost allocated to acquire in-process research and development with no alternative future use is charged to research and development expense at the acquisition date.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49" w:name="page150"/>
    <w:bookmarkEnd w:id="149"/>
    <w:p>
      <w:pPr>
        <w:ind w:right="940"/>
        <w:spacing w:after="0" w:line="360" w:lineRule="auto"/>
        <w:rPr>
          <w:sz w:val="20"/>
          <w:szCs w:val="20"/>
          <w:color w:val="auto"/>
        </w:rPr>
      </w:pPr>
      <w:r>
        <w:rPr>
          <w:rFonts w:ascii="Arial" w:cs="Arial" w:eastAsia="Arial" w:hAnsi="Arial"/>
          <w:sz w:val="18"/>
          <w:szCs w:val="18"/>
          <w:color w:val="auto"/>
        </w:rPr>
        <w:t xml:space="preserve">At the time of acquisition, the Company determines if a transaction should be accounted for as a business combination or acquisition of assets. </w:t>
      </w:r>
      <w:r>
        <w:rPr>
          <w:rFonts w:ascii="Arial" w:cs="Arial" w:eastAsia="Arial" w:hAnsi="Arial"/>
          <w:sz w:val="18"/>
          <w:szCs w:val="18"/>
          <w:b w:val="1"/>
          <w:bCs w:val="1"/>
          <w:i w:val="1"/>
          <w:iCs w:val="1"/>
          <w:color w:val="auto"/>
        </w:rPr>
        <w:t>Contingent consideration liabilities</w:t>
      </w:r>
    </w:p>
    <w:p>
      <w:pPr>
        <w:ind w:right="20"/>
        <w:spacing w:after="0" w:line="254" w:lineRule="auto"/>
        <w:rPr>
          <w:sz w:val="20"/>
          <w:szCs w:val="20"/>
          <w:color w:val="auto"/>
        </w:rPr>
      </w:pPr>
      <w:r>
        <w:rPr>
          <w:rFonts w:ascii="Arial" w:cs="Arial" w:eastAsia="Arial" w:hAnsi="Arial"/>
          <w:sz w:val="17"/>
          <w:szCs w:val="17"/>
          <w:color w:val="auto"/>
        </w:rPr>
        <w:t xml:space="preserve">The Company may be required to make milestone payments to the former stockholders and optionholders of Guide in the form of its common stock based on the achievement of certain product and technology milestones. The payments are accounted for under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These contingent consideration liabilities are carried at fair value which was estimated by applying a probability-based model, which utilized inputs primarily based upon the achievement and related timing of certain product and technology milestones that were unobservable in the market. The estimated fair value of contingent consideration liabilities, initially measured and recorded on the acquisition date, are considered to be a Level 3 measurement and are reviewed quarterly, or whenever events or circumstances occur that indicate a change in fair value. The contingent consideration liabilities are recorded at fair value at the end of each reporting period with changes in estimated fair values recorded in other income (expense) in the consolidated statements of operations and other comprehensive loss.</w:t>
      </w:r>
    </w:p>
    <w:p>
      <w:pPr>
        <w:spacing w:after="0" w:line="73" w:lineRule="exact"/>
        <w:rPr>
          <w:sz w:val="20"/>
          <w:szCs w:val="20"/>
          <w:color w:val="auto"/>
        </w:rPr>
      </w:pPr>
    </w:p>
    <w:p>
      <w:pPr>
        <w:ind w:right="400"/>
        <w:spacing w:after="0" w:line="262" w:lineRule="auto"/>
        <w:rPr>
          <w:sz w:val="20"/>
          <w:szCs w:val="20"/>
          <w:color w:val="auto"/>
        </w:rPr>
      </w:pPr>
      <w:r>
        <w:rPr>
          <w:rFonts w:ascii="Arial" w:cs="Arial" w:eastAsia="Arial" w:hAnsi="Arial"/>
          <w:sz w:val="17"/>
          <w:szCs w:val="17"/>
          <w:color w:val="auto"/>
        </w:rPr>
        <w:t>The estimated fair value is determined based on probability adjusted discounted cash flow model that include significant estimates and assumptions pertaining to technology and product development. Significant changes in any of the probabilities of success or in the probabilities as to the periods in which milestones would be achieved would result in a significantly higher or lower fair value measurement. The Company will continue to adjust the liabilities for changes in fair value until the earlier of the achievement or expiration of the obligations.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The Company recognizes revenue in accordance with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and its related amendments, or, collectively, ASC 606.</w:t>
      </w:r>
    </w:p>
    <w:p>
      <w:pPr>
        <w:spacing w:after="0" w:line="6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At inception, the Company determines whether contracts are within the scope of ASC 606 or other topics. For contracts that are determined to be within the scope of ASC 606, revenue is recognized when a customer obtains control of promised goods or services. The amount of revenue recognized reflects the consideration to which the Company expects to be entitled to receive in exchange for these goods and services. To achieve this core principle, the Company applies the following five steps: (i) identify the contract with the customer; (ii) identify the performance obligations in the contract; (iii) determine the transaction price; (iv) allocate the transaction price to the performance obligations in the contract; and (v) recognize revenue when the performance obligation is satisfied. The Company only applies the five-step model to contracts when it determines that collection of substantially all consideration for goods and services that are transferred is probable based on the customer’s intent and ability to pay the promised consideration.</w:t>
      </w:r>
    </w:p>
    <w:p>
      <w:pPr>
        <w:spacing w:after="0" w:line="5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Performance obligations promised in a contract are identified based on the goods and services that will be transferred to the customer that are both capable of being distinct and are distinct in the context of the contract. To the extent a contract includes multiple promised goods and services, the Company applies judgment to determine whether promised goods and services are both capable of being distinct and are distinct in the context of the contract. If these criteria are not met, the promised goods and services are accounted for as a combined performance obligation.</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The transaction price is determined based on the consideration to which the Company will be entitled in exchange for transferring goods and services to the customer. To the extent the transaction price includes variable consideration,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management’s judgment, it is probable that a significant future reversal of cumulative revenue under the contract will not occur. Any estimates, including the effect of the constraint on variable consideration, are evaluated at each reporting period for any changes. Determining the transaction price requires significant judgment and is discussed in further detail for each of the Company’s license and collaboration agreements in Note 10, </w:t>
      </w:r>
      <w:r>
        <w:rPr>
          <w:rFonts w:ascii="Arial" w:cs="Arial" w:eastAsia="Arial" w:hAnsi="Arial"/>
          <w:sz w:val="17"/>
          <w:szCs w:val="17"/>
          <w:i w:val="1"/>
          <w:iCs w:val="1"/>
          <w:color w:val="auto"/>
        </w:rPr>
        <w:t>Collaboration and license agreements</w:t>
      </w:r>
      <w:r>
        <w:rPr>
          <w:rFonts w:ascii="Arial" w:cs="Arial" w:eastAsia="Arial" w:hAnsi="Arial"/>
          <w:sz w:val="17"/>
          <w:szCs w:val="17"/>
          <w:color w:val="auto"/>
        </w:rPr>
        <w:t>.</w:t>
      </w:r>
    </w:p>
    <w:p>
      <w:pPr>
        <w:spacing w:after="0" w:line="7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 xml:space="preserve">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Determining the standalone selling price requires significant judgment and is discussed in further detail for each of the Company’s license and collaboration agreements in Note 10, </w:t>
      </w:r>
      <w:r>
        <w:rPr>
          <w:rFonts w:ascii="Arial" w:cs="Arial" w:eastAsia="Arial" w:hAnsi="Arial"/>
          <w:sz w:val="17"/>
          <w:szCs w:val="17"/>
          <w:i w:val="1"/>
          <w:iCs w:val="1"/>
          <w:color w:val="auto"/>
        </w:rPr>
        <w:t>Collaboration and license agreements</w:t>
      </w:r>
      <w:r>
        <w:rPr>
          <w:rFonts w:ascii="Arial" w:cs="Arial" w:eastAsia="Arial" w:hAnsi="Arial"/>
          <w:sz w:val="17"/>
          <w:szCs w:val="17"/>
          <w:color w:val="auto"/>
        </w:rPr>
        <w:t>.</w:t>
      </w:r>
    </w:p>
    <w:p>
      <w:pPr>
        <w:spacing w:after="0" w:line="67"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Company satisfies performance obligations either over time or at a point in time. Revenue is recognized over time if either (i) the customer simultaneously receives and consumes the benefits provided by the entity’s performance, (ii) the entity’s performance creates or enhances an asset that the customer controls as the asset is created or enhanced, or (iii)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50" w:name="page151"/>
    <w:bookmarkEnd w:id="150"/>
    <w:p>
      <w:pPr>
        <w:ind w:right="140"/>
        <w:spacing w:after="0" w:line="254" w:lineRule="auto"/>
        <w:rPr>
          <w:sz w:val="20"/>
          <w:szCs w:val="20"/>
          <w:color w:val="auto"/>
        </w:rPr>
      </w:pPr>
      <w:r>
        <w:rPr>
          <w:rFonts w:ascii="Arial" w:cs="Arial" w:eastAsia="Arial" w:hAnsi="Arial"/>
          <w:sz w:val="17"/>
          <w:szCs w:val="17"/>
          <w:color w:val="auto"/>
        </w:rPr>
        <w:t xml:space="preserve">Licenses of intellectual property, or IP: If the license to the Company’s IP is determined to be distinct from the other performance obligations identified in the arrangement, the Company recognizes revenues from consideration allocated to the license when the license is transferred to the customer and the customer can use and benefit from the licenses.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Determining the revenue recognition of IP licenses requires significant judgment and is discussed in further detail for each of the Company’s license and collaboration agreements in Note 10, </w:t>
      </w:r>
      <w:r>
        <w:rPr>
          <w:rFonts w:ascii="Arial" w:cs="Arial" w:eastAsia="Arial" w:hAnsi="Arial"/>
          <w:sz w:val="17"/>
          <w:szCs w:val="17"/>
          <w:i w:val="1"/>
          <w:iCs w:val="1"/>
          <w:color w:val="auto"/>
        </w:rPr>
        <w:t>Collaboration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license agreements.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Milestone payments: At the inception of each arrangement that includes development or regulatory milestone payments, the Company evaluates the probability of reaching the milestones and estimates the amount to be included in the transaction price using the most likely amount method. If it is probable that a significant revenue reversal would not occur in the future, the associated milestone value is included in the transaction price. Milestone payments that are not within the Company’s control or the licensee’s, such as regulatory approvals, are not considered probable of being achieved until those approvals are received and therefore revenue recognized is constrained as management is unable to assert that a reversal of revenue would not be possible.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revenues and earnings in the period of adjustment. To date, the Company has not recognized any milestone revenue resulting from any of its agreements.</w:t>
      </w:r>
    </w:p>
    <w:p>
      <w:pPr>
        <w:spacing w:after="0" w:line="6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Commercial Milestone Payments and Royalties: For arrangements that include sales-based royalties, including milestone payments based on levels of sales, if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agreements.</w:t>
      </w:r>
    </w:p>
    <w:p>
      <w:pPr>
        <w:spacing w:after="0" w:line="80"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and collaboration revenue. 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 expected to be recognized within the next twelve months is classified as a current liability.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Company recognizes a contract asset when the Company transfers goods or services to a customer before the customer pays consideration or before payment is due, excluding any amounts presented as an account or other receivable. A contract asset is an entity’s right to consideration in exchange for goods or services that the entity has transferred to a customer. The contract liabilities, or deferred revenue, primarily relate to contracts where the Company has received payment, but it has not yet satisfied the related performance obligations. Upfront payments and fees are recorded as deferred revenue upon receipt or when due and may require deferral of revenue recognition to a future period until the Company satisfies its obligations under these arrangements.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 Deferred revenue expected to be recognized within the next twelve months is classified as a current liability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4"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Research and development costs are charged to expense as incurred. Research and development costs consist of costs incurred in performing research and development activities, including salaries and bonuses, stock-based compensation, employee benefits, facilities costs, laboratory supplies, depreciation, manufacturing expenses, preclinical expenses, consulting, and other contracted services. The cost of obtaining licenses for certain technology or IP is recorded to research and development expense when incurred if the licensed technology or IP has not yet reached technological feasibility and has no alternative future use. Costs for certain research and development activities are recognized based on the terms of the individual arrangements, which may differ from the pattern of costs incurred, and are reflected in the financial statements as prepaid or accrued research and development costs.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The Company’s stock-based compensation program allows for grants of stock options, restricted stock awards and restricted stock units. Grants are awarded to employees and non-employees, including directors.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1" w:name="page152"/>
    <w:bookmarkEnd w:id="151"/>
    <w:p>
      <w:pPr>
        <w:ind w:right="60"/>
        <w:spacing w:after="0" w:line="259" w:lineRule="auto"/>
        <w:rPr>
          <w:sz w:val="20"/>
          <w:szCs w:val="20"/>
          <w:color w:val="auto"/>
        </w:rPr>
      </w:pPr>
      <w:r>
        <w:rPr>
          <w:rFonts w:ascii="Arial" w:cs="Arial" w:eastAsia="Arial" w:hAnsi="Arial"/>
          <w:sz w:val="17"/>
          <w:szCs w:val="17"/>
          <w:color w:val="auto"/>
        </w:rPr>
        <w:t xml:space="preserve">The Company accounts for stock-based compensation in accordance with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or ASC 718. ASC 718 requires all stock-based payments to employees, non-employees and directors to be recognized as expense in the consolidated statements of operations and other comprehensive loss based on their fair values. The Company estimates the fair value of options granted using the Black-Scholes option pricing model, or Black-Scholes, for stock option grants to both employees and non-employees. The fair value of the Company’s common stock is used to determine the fair value of restricted stock awards and restricted stock units.</w:t>
      </w:r>
    </w:p>
    <w:p>
      <w:pPr>
        <w:spacing w:after="0" w:line="6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Stock-based compensation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grant date fair value over the requisite service period using the accelerated attribution method to the extent achievement of the of performance condition is probable.</w:t>
      </w:r>
    </w:p>
    <w:p>
      <w:pPr>
        <w:spacing w:after="0" w:line="81"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 xml:space="preserve">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prior to the IPO and continued lack of sufficient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as prescribed by the SEC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to calculate the expected term for options granted to employees and non-employees,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04"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 in the accompanying consolidated statements of operations and other comprehensive loss.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 reviews each legal entity in which it has a financial interest to determine whether or not the entity is a variable interest entity, or VIE. If the entity is a VIE, the Company assesses whether 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 On a quarterly basis, the Company evaluates whether it continues to be the primary beneficiary of any consolidated VIEs. If the Company determines that it is no longer the primary beneficiary of a consolidated VIE, or no longer has a variable interest in the VIE, the Company deconsolidates the VIE in the period that the determination is made.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Company’s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Comprehensive loss is defined as the change in stockholders’ equity of a business enterprise during a period from transactions and other events and circumstances from non-owner sources. Comprehensive loss includes net loss as well as other changes in stockholders’ deficit which includes certain changes in equity that are excluded from net loss. The Company’s only element of other comprehensive loss is unrealized gains and losses on marketable securities.</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81"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assuming the dilutive effect of common stock equivalents.</w:t>
      </w:r>
    </w:p>
    <w:p>
      <w:pPr>
        <w:spacing w:after="0" w:line="5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For purposes of the dilutive net loss per share calculation, stock options and stock units for which the performance and market vesting conditions have been deemed probable, potential dilutive securities, which include redeemable convertible preferred stock, unvested restricted stock, and common stock options are considered to be common stock equivalents, while stock options and stock units with performance- or market-based vesting conditions that were not deemed probable are not considered to be common stock equivalents.</w:t>
      </w:r>
    </w:p>
    <w:p>
      <w:pPr>
        <w:spacing w:after="0" w:line="8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Company’s redeemable convertible preferred stock contractually entitled the holders of such shares to participate in dividends but did not contractually require the holders of such shares to participate in losses of the Company. Accordingly, in periods in which the Company reported a net loss, such losses were not allocated to such participating securities. In periods in which the Company reported a net loss attributable to common stockholders, diluted net loss per share attributable to common stockholders was the same as basic net loss per share attributable to common stockholders, since dilutive common shares were not assumed to have been issued if their effect is anti-dilutive. The Company reported a net loss attributable to common stockholders for the years ended December 31, 2021, 2020 and 2019.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04"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CODM, or decision-making group, in deciding how to allocate resources and in assessing performance. The CODM is the Company’s Chief Executive Officer. The Company views its operations as and manages its business in one operating segment operating exclusively in the United States.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675"/>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6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Lab equipment</w:t>
            </w:r>
          </w:p>
        </w:tc>
        <w:tc>
          <w:tcPr>
            <w:tcW w:w="92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29,905</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17,201</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57,760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12,706</w:t>
            </w: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3,679</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1,646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process</w:t>
            </w:r>
          </w:p>
        </w:tc>
        <w:tc>
          <w:tcPr>
            <w:tcW w:w="9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7,349</w:t>
            </w: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15,880</w:t>
            </w:r>
          </w:p>
        </w:tc>
        <w:tc>
          <w:tcPr>
            <w:tcW w:w="0" w:type="dxa"/>
            <w:vAlign w:val="bottom"/>
          </w:tcPr>
          <w:p>
            <w:pPr>
              <w:spacing w:after="0"/>
              <w:rPr>
                <w:sz w:val="1"/>
                <w:szCs w:val="1"/>
                <w:color w:val="auto"/>
              </w:rPr>
            </w:pPr>
          </w:p>
        </w:tc>
      </w:tr>
      <w:tr>
        <w:trPr>
          <w:trHeight w:val="196"/>
        </w:trPr>
        <w:tc>
          <w:tcPr>
            <w:tcW w:w="6560" w:type="dxa"/>
            <w:vAlign w:val="bottom"/>
          </w:tcPr>
          <w:p>
            <w:pPr>
              <w:ind w:left="200"/>
              <w:spacing w:after="0" w:line="196" w:lineRule="exact"/>
              <w:rPr>
                <w:sz w:val="20"/>
                <w:szCs w:val="20"/>
                <w:color w:val="auto"/>
              </w:rPr>
            </w:pPr>
            <w:r>
              <w:rPr>
                <w:rFonts w:ascii="Arial" w:cs="Arial" w:eastAsia="Arial" w:hAnsi="Arial"/>
                <w:sz w:val="18"/>
                <w:szCs w:val="18"/>
                <w:color w:val="auto"/>
              </w:rPr>
              <w:t>Total property and equipment</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5"/>
              <w:spacing w:after="0" w:line="196" w:lineRule="exact"/>
              <w:rPr>
                <w:sz w:val="20"/>
                <w:szCs w:val="20"/>
                <w:color w:val="auto"/>
              </w:rPr>
            </w:pPr>
            <w:r>
              <w:rPr>
                <w:rFonts w:ascii="Arial" w:cs="Arial" w:eastAsia="Arial" w:hAnsi="Arial"/>
                <w:sz w:val="18"/>
                <w:szCs w:val="18"/>
                <w:color w:val="auto"/>
              </w:rPr>
              <w:t>100,339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47,412</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9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(16,081 )</w:t>
            </w: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(8,899 )</w:t>
            </w:r>
          </w:p>
        </w:tc>
        <w:tc>
          <w:tcPr>
            <w:tcW w:w="0" w:type="dxa"/>
            <w:vAlign w:val="bottom"/>
          </w:tcPr>
          <w:p>
            <w:pPr>
              <w:spacing w:after="0"/>
              <w:rPr>
                <w:sz w:val="1"/>
                <w:szCs w:val="1"/>
                <w:color w:val="auto"/>
              </w:rPr>
            </w:pPr>
          </w:p>
        </w:tc>
      </w:tr>
      <w:tr>
        <w:trPr>
          <w:trHeight w:val="196"/>
        </w:trPr>
        <w:tc>
          <w:tcPr>
            <w:tcW w:w="6560" w:type="dxa"/>
            <w:vAlign w:val="bottom"/>
          </w:tcPr>
          <w:p>
            <w:pPr>
              <w:ind w:left="200"/>
              <w:spacing w:after="0" w:line="196" w:lineRule="exact"/>
              <w:rPr>
                <w:sz w:val="20"/>
                <w:szCs w:val="20"/>
                <w:color w:val="auto"/>
              </w:rPr>
            </w:pPr>
            <w:r>
              <w:rPr>
                <w:rFonts w:ascii="Arial" w:cs="Arial" w:eastAsia="Arial" w:hAnsi="Arial"/>
                <w:sz w:val="18"/>
                <w:szCs w:val="18"/>
                <w:color w:val="auto"/>
              </w:rPr>
              <w:t>Property and equipment, net</w:t>
            </w:r>
          </w:p>
        </w:tc>
        <w:tc>
          <w:tcPr>
            <w:tcW w:w="920" w:type="dxa"/>
            <w:vAlign w:val="bottom"/>
          </w:tcPr>
          <w:p>
            <w:pPr>
              <w:spacing w:after="0"/>
              <w:rPr>
                <w:sz w:val="17"/>
                <w:szCs w:val="17"/>
                <w:color w:val="auto"/>
              </w:rPr>
            </w:pPr>
          </w:p>
        </w:tc>
        <w:tc>
          <w:tcPr>
            <w:tcW w:w="5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55"/>
              <w:spacing w:after="0" w:line="196" w:lineRule="exact"/>
              <w:rPr>
                <w:sz w:val="20"/>
                <w:szCs w:val="20"/>
                <w:color w:val="auto"/>
              </w:rPr>
            </w:pPr>
            <w:r>
              <w:rPr>
                <w:rFonts w:ascii="Arial" w:cs="Arial" w:eastAsia="Arial" w:hAnsi="Arial"/>
                <w:sz w:val="18"/>
                <w:szCs w:val="18"/>
                <w:color w:val="auto"/>
              </w:rPr>
              <w:t>84,258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7"/>
                <w:szCs w:val="17"/>
                <w:color w:val="auto"/>
              </w:rPr>
            </w:pPr>
          </w:p>
        </w:tc>
        <w:tc>
          <w:tcPr>
            <w:tcW w:w="1180" w:type="dxa"/>
            <w:vAlign w:val="bottom"/>
          </w:tcPr>
          <w:p>
            <w:pPr>
              <w:jc w:val="right"/>
              <w:ind w:right="33"/>
              <w:spacing w:after="0" w:line="196" w:lineRule="exact"/>
              <w:rPr>
                <w:sz w:val="20"/>
                <w:szCs w:val="20"/>
                <w:color w:val="auto"/>
              </w:rPr>
            </w:pPr>
            <w:r>
              <w:rPr>
                <w:rFonts w:ascii="Arial" w:cs="Arial" w:eastAsia="Arial" w:hAnsi="Arial"/>
                <w:sz w:val="18"/>
                <w:szCs w:val="18"/>
                <w:color w:val="auto"/>
              </w:rPr>
              <w:t>38,513</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The following table summarizes depreciation expense incurred (in thousands):</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5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8"/>
          </w:tcPr>
          <w:p>
            <w:pPr>
              <w:jc w:val="right"/>
              <w:ind w:right="270"/>
              <w:spacing w:after="0"/>
              <w:rPr>
                <w:sz w:val="20"/>
                <w:szCs w:val="20"/>
                <w:color w:val="auto"/>
              </w:rPr>
            </w:pPr>
            <w:r>
              <w:rPr>
                <w:rFonts w:ascii="Arial" w:cs="Arial" w:eastAsia="Arial" w:hAnsi="Arial"/>
                <w:sz w:val="14"/>
                <w:szCs w:val="14"/>
                <w:b w:val="1"/>
                <w:bCs w:val="1"/>
                <w:color w:val="auto"/>
                <w:w w:val="92"/>
              </w:rPr>
              <w:t>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5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Depreciation expense</w:t>
            </w:r>
          </w:p>
        </w:tc>
        <w:tc>
          <w:tcPr>
            <w:tcW w:w="920" w:type="dxa"/>
            <w:vAlign w:val="bottom"/>
            <w:shd w:val="clear" w:color="auto" w:fill="CFF0FC"/>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center"/>
              <w:ind w:right="20"/>
              <w:spacing w:after="0" w:line="196" w:lineRule="exact"/>
              <w:rPr>
                <w:sz w:val="20"/>
                <w:szCs w:val="20"/>
                <w:color w:val="auto"/>
              </w:rPr>
            </w:pPr>
            <w:r>
              <w:rPr>
                <w:rFonts w:ascii="Arial" w:cs="Arial" w:eastAsia="Arial" w:hAnsi="Arial"/>
                <w:sz w:val="18"/>
                <w:szCs w:val="18"/>
                <w:color w:val="auto"/>
                <w:w w:val="88"/>
              </w:rPr>
              <w:t>7,201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4,735</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-1068070</wp:posOffset>
            </wp:positionV>
            <wp:extent cx="11176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-802005</wp:posOffset>
            </wp:positionV>
            <wp:extent cx="11176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0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Company’s financial instruments that are measured at fair value on a recurring basis consist of cash equivalents, marketable securities, equity securities of Verve Therapeutics, Inc, or Verve, contingent consideration liabilities related to the Guide Merger Agreement and success payment derivative liabilities pursuant to the Harvard and Broad License Agreements.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3" w:name="page154"/>
    <w:bookmarkEnd w:id="153"/>
    <w:p>
      <w:pPr>
        <w:ind w:right="140"/>
        <w:spacing w:after="0" w:line="261" w:lineRule="auto"/>
        <w:rPr>
          <w:sz w:val="20"/>
          <w:szCs w:val="20"/>
          <w:color w:val="auto"/>
        </w:rPr>
      </w:pPr>
      <w:r>
        <w:rPr>
          <w:rFonts w:ascii="Arial" w:cs="Arial" w:eastAsia="Arial" w:hAnsi="Arial"/>
          <w:sz w:val="18"/>
          <w:szCs w:val="18"/>
          <w:color w:val="auto"/>
        </w:rPr>
        <w:t>The following tables set forth the fair value of the Company’s financial assets and liabilities by level within the fair value hierarchy at December 31, 2021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53"/>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color w:val="auto"/>
                <w:w w:val="85"/>
              </w:rPr>
              <w:t>Assets</w:t>
            </w:r>
          </w:p>
        </w:tc>
        <w:tc>
          <w:tcPr>
            <w:tcW w:w="4660" w:type="dxa"/>
            <w:vAlign w:val="bottom"/>
            <w:tcBorders>
              <w:bottom w:val="single" w:sz="8" w:color="CFF0FC"/>
            </w:tcBorders>
            <w:gridSpan w:val="2"/>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140" w:type="dxa"/>
            <w:vAlign w:val="bottom"/>
            <w:gridSpan w:val="3"/>
            <w:shd w:val="clear" w:color="auto" w:fill="CFF0FC"/>
          </w:tcPr>
          <w:p>
            <w:pPr>
              <w:ind w:left="280"/>
              <w:spacing w:after="0" w:line="202" w:lineRule="exact"/>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540,094</w:t>
            </w:r>
          </w:p>
        </w:tc>
        <w:tc>
          <w:tcPr>
            <w:tcW w:w="3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540,094</w:t>
            </w:r>
          </w:p>
        </w:tc>
        <w:tc>
          <w:tcPr>
            <w:tcW w:w="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540,094</w:t>
            </w:r>
          </w:p>
        </w:tc>
        <w:tc>
          <w:tcPr>
            <w:tcW w:w="3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13,997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13,997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13,997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140" w:type="dxa"/>
            <w:vAlign w:val="bottom"/>
            <w:gridSpan w:val="3"/>
            <w:shd w:val="clear" w:color="auto" w:fill="CFF0FC"/>
          </w:tcPr>
          <w:p>
            <w:pPr>
              <w:ind w:left="280"/>
              <w:spacing w:after="0" w:line="202" w:lineRule="exact"/>
              <w:rPr>
                <w:sz w:val="20"/>
                <w:szCs w:val="20"/>
                <w:color w:val="auto"/>
              </w:rPr>
            </w:pPr>
            <w:r>
              <w:rPr>
                <w:rFonts w:ascii="Arial" w:cs="Arial" w:eastAsia="Arial" w:hAnsi="Arial"/>
                <w:sz w:val="18"/>
                <w:szCs w:val="18"/>
                <w:color w:val="auto"/>
              </w:rPr>
              <w:t>Corporate notes</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5,903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140" w:type="dxa"/>
            <w:vAlign w:val="bottom"/>
            <w:gridSpan w:val="3"/>
            <w:shd w:val="clear" w:color="auto" w:fill="CFF0FC"/>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368,743</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368,743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368,743</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Corporate notes</w:t>
            </w:r>
          </w:p>
        </w:tc>
        <w:tc>
          <w:tcPr>
            <w:tcW w:w="18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16,743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16,743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16,743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140" w:type="dxa"/>
            <w:vAlign w:val="bottom"/>
            <w:gridSpan w:val="3"/>
            <w:shd w:val="clear" w:color="auto" w:fill="CFF0FC"/>
          </w:tcPr>
          <w:p>
            <w:pPr>
              <w:ind w:left="180"/>
              <w:spacing w:after="0" w:line="202" w:lineRule="exact"/>
              <w:rPr>
                <w:sz w:val="20"/>
                <w:szCs w:val="20"/>
                <w:color w:val="auto"/>
              </w:rPr>
            </w:pPr>
            <w:r>
              <w:rPr>
                <w:rFonts w:ascii="Arial" w:cs="Arial" w:eastAsia="Arial" w:hAnsi="Arial"/>
                <w:sz w:val="18"/>
                <w:szCs w:val="18"/>
                <w:color w:val="auto"/>
              </w:rPr>
              <w:t>Equity securities included in marketable securities</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Corporate equity securities</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20,167</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20,167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20,167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FF0FC"/>
            </w:tcBorders>
            <w:gridSpan w:val="4"/>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965,647</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965,647</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560,261</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405,386</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7"/>
              </w:rPr>
              <w:t>Liabilities</w:t>
            </w:r>
          </w:p>
        </w:tc>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140" w:type="dxa"/>
            <w:vAlign w:val="bottom"/>
            <w:gridSpan w:val="3"/>
            <w:shd w:val="clear" w:color="auto" w:fill="CFF0FC"/>
          </w:tcPr>
          <w:p>
            <w:pPr>
              <w:ind w:left="180"/>
              <w:spacing w:after="0" w:line="202" w:lineRule="exact"/>
              <w:rPr>
                <w:sz w:val="20"/>
                <w:szCs w:val="20"/>
                <w:color w:val="auto"/>
              </w:rPr>
            </w:pPr>
            <w:r>
              <w:rPr>
                <w:rFonts w:ascii="Arial" w:cs="Arial" w:eastAsia="Arial" w:hAnsi="Arial"/>
                <w:sz w:val="18"/>
                <w:szCs w:val="18"/>
                <w:color w:val="auto"/>
              </w:rPr>
              <w:t>Success payment liability – Harvard</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21,000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21,000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Success payment liability – Broad Institute</w:t>
            </w:r>
          </w:p>
        </w:tc>
        <w:tc>
          <w:tcPr>
            <w:tcW w:w="18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21,200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21,200</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140" w:type="dxa"/>
            <w:vAlign w:val="bottom"/>
            <w:gridSpan w:val="3"/>
            <w:shd w:val="clear" w:color="auto" w:fill="CFF0FC"/>
          </w:tcPr>
          <w:p>
            <w:pPr>
              <w:ind w:left="180"/>
              <w:spacing w:after="0" w:line="202" w:lineRule="exact"/>
              <w:rPr>
                <w:sz w:val="20"/>
                <w:szCs w:val="20"/>
                <w:color w:val="auto"/>
              </w:rPr>
            </w:pPr>
            <w:r>
              <w:rPr>
                <w:rFonts w:ascii="Arial" w:cs="Arial" w:eastAsia="Arial" w:hAnsi="Arial"/>
                <w:sz w:val="18"/>
                <w:szCs w:val="18"/>
                <w:color w:val="auto"/>
              </w:rPr>
              <w:t>Contingent consideration liability – Technology</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24,359</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24,359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Contingent consideration liability – Product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7,008</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7,008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7,008</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FF0FC"/>
            </w:tcBorders>
            <w:gridSpan w:val="4"/>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73,567</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73,567</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-959485</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-942340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-959485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-942340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-959485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-942340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-959485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-942340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tables set forth the fair value of the Company’s financial assets and liabilities by level within the fair value hierarchy at December 31, 2020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33"/>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93"/>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color w:val="auto"/>
                <w:w w:val="85"/>
              </w:rPr>
              <w:t>Assets</w:t>
            </w:r>
          </w:p>
        </w:tc>
        <w:tc>
          <w:tcPr>
            <w:tcW w:w="4600" w:type="dxa"/>
            <w:vAlign w:val="bottom"/>
            <w:tcBorders>
              <w:bottom w:val="single" w:sz="8" w:color="CFF0FC"/>
            </w:tcBorders>
            <w:gridSpan w:val="2"/>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080" w:type="dxa"/>
            <w:vAlign w:val="bottom"/>
            <w:gridSpan w:val="3"/>
            <w:shd w:val="clear" w:color="auto" w:fill="CFF0FC"/>
          </w:tcPr>
          <w:p>
            <w:pPr>
              <w:ind w:left="280"/>
              <w:spacing w:after="0" w:line="202" w:lineRule="exact"/>
              <w:rPr>
                <w:sz w:val="20"/>
                <w:szCs w:val="20"/>
                <w:color w:val="auto"/>
              </w:rPr>
            </w:pPr>
            <w:r>
              <w:rPr>
                <w:rFonts w:ascii="Arial" w:cs="Arial" w:eastAsia="Arial" w:hAnsi="Arial"/>
                <w:sz w:val="18"/>
                <w:szCs w:val="18"/>
                <w:color w:val="auto"/>
              </w:rPr>
              <w:t>Money market funds</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88,259</w:t>
            </w:r>
          </w:p>
        </w:tc>
        <w:tc>
          <w:tcPr>
            <w:tcW w:w="3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88,259</w:t>
            </w:r>
          </w:p>
        </w:tc>
        <w:tc>
          <w:tcPr>
            <w:tcW w:w="3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88,259</w:t>
            </w:r>
          </w:p>
        </w:tc>
        <w:tc>
          <w:tcPr>
            <w:tcW w:w="3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60,494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60,497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60,497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080" w:type="dxa"/>
            <w:vAlign w:val="bottom"/>
            <w:gridSpan w:val="3"/>
            <w:shd w:val="clear" w:color="auto" w:fill="CFF0FC"/>
          </w:tcPr>
          <w:p>
            <w:pPr>
              <w:ind w:left="280"/>
              <w:spacing w:after="0" w:line="202" w:lineRule="exact"/>
              <w:rPr>
                <w:sz w:val="20"/>
                <w:szCs w:val="20"/>
                <w:color w:val="auto"/>
              </w:rPr>
            </w:pPr>
            <w:r>
              <w:rPr>
                <w:rFonts w:ascii="Arial" w:cs="Arial" w:eastAsia="Arial" w:hAnsi="Arial"/>
                <w:sz w:val="18"/>
                <w:szCs w:val="18"/>
                <w:color w:val="auto"/>
              </w:rPr>
              <w:t>Corporate notes</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12,314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12,308</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12,308</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080" w:type="dxa"/>
            <w:vAlign w:val="bottom"/>
            <w:gridSpan w:val="3"/>
            <w:shd w:val="clear" w:color="auto" w:fill="CFF0FC"/>
          </w:tcPr>
          <w:p>
            <w:pPr>
              <w:ind w:left="280"/>
              <w:spacing w:after="0" w:line="202" w:lineRule="exact"/>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113,622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113,622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113,622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Corporate notes</w:t>
            </w: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7,836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7,836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7,836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shd w:val="clear" w:color="auto" w:fill="CFF0FC"/>
          </w:tcPr>
          <w:p>
            <w:pPr>
              <w:spacing w:after="0"/>
              <w:rPr>
                <w:sz w:val="17"/>
                <w:szCs w:val="17"/>
                <w:color w:val="auto"/>
              </w:rPr>
            </w:pPr>
          </w:p>
        </w:tc>
        <w:tc>
          <w:tcPr>
            <w:tcW w:w="5080" w:type="dxa"/>
            <w:vAlign w:val="bottom"/>
            <w:gridSpan w:val="3"/>
            <w:shd w:val="clear" w:color="auto" w:fill="CFF0FC"/>
          </w:tcPr>
          <w:p>
            <w:pPr>
              <w:ind w:left="280"/>
              <w:spacing w:after="0" w:line="202" w:lineRule="exact"/>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11,009</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11,009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11,009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Government securities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100" w:type="dxa"/>
            <w:vAlign w:val="bottom"/>
            <w:tcBorders>
              <w:bottom w:val="single" w:sz="8" w:color="CFF0FC"/>
            </w:tcBorders>
            <w:gridSpan w:val="4"/>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298,567</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298,564</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88,259</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210,305</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auto"/>
            </w:tcBorders>
            <w:gridSpan w:val="2"/>
            <w:shd w:val="clear" w:color="auto" w:fill="CFF0FC"/>
          </w:tcPr>
          <w:p>
            <w:pPr>
              <w:spacing w:after="0" w:line="176" w:lineRule="exact"/>
              <w:rPr>
                <w:sz w:val="20"/>
                <w:szCs w:val="20"/>
                <w:color w:val="auto"/>
              </w:rPr>
            </w:pPr>
            <w:r>
              <w:rPr>
                <w:rFonts w:ascii="Arial" w:cs="Arial" w:eastAsia="Arial" w:hAnsi="Arial"/>
                <w:sz w:val="18"/>
                <w:szCs w:val="18"/>
                <w:color w:val="auto"/>
                <w:w w:val="97"/>
              </w:rPr>
              <w:t>Liabilities</w:t>
            </w:r>
          </w:p>
        </w:tc>
        <w:tc>
          <w:tcPr>
            <w:tcW w:w="43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Success payment liability – Harvard</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35,500</w:t>
            </w:r>
          </w:p>
        </w:tc>
        <w:tc>
          <w:tcPr>
            <w:tcW w:w="3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35,500</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35,500</w:t>
            </w: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080" w:type="dxa"/>
            <w:vAlign w:val="bottom"/>
            <w:tcBorders>
              <w:bottom w:val="single" w:sz="8" w:color="CFF0FC"/>
            </w:tcBorders>
            <w:gridSpan w:val="3"/>
            <w:shd w:val="clear" w:color="auto" w:fill="CFF0FC"/>
          </w:tcPr>
          <w:p>
            <w:pPr>
              <w:ind w:left="180"/>
              <w:spacing w:after="0" w:line="202" w:lineRule="exact"/>
              <w:rPr>
                <w:sz w:val="20"/>
                <w:szCs w:val="20"/>
                <w:color w:val="auto"/>
              </w:rPr>
            </w:pPr>
            <w:r>
              <w:rPr>
                <w:rFonts w:ascii="Arial" w:cs="Arial" w:eastAsia="Arial" w:hAnsi="Arial"/>
                <w:sz w:val="18"/>
                <w:szCs w:val="18"/>
                <w:color w:val="auto"/>
              </w:rPr>
              <w:t>Success payment liability – Broad Institute</w:t>
            </w: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35,700</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35,700</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35,700</w:t>
            </w:r>
          </w:p>
        </w:tc>
        <w:tc>
          <w:tcPr>
            <w:tcW w:w="0" w:type="dxa"/>
            <w:vAlign w:val="bottom"/>
          </w:tcPr>
          <w:p>
            <w:pPr>
              <w:spacing w:after="0"/>
              <w:rPr>
                <w:sz w:val="1"/>
                <w:szCs w:val="1"/>
                <w:color w:val="auto"/>
              </w:rPr>
            </w:pPr>
          </w:p>
        </w:tc>
      </w:tr>
      <w:tr>
        <w:trPr>
          <w:trHeight w:val="196"/>
        </w:trPr>
        <w:tc>
          <w:tcPr>
            <w:tcW w:w="510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71,200</w:t>
            </w:r>
          </w:p>
        </w:tc>
        <w:tc>
          <w:tcPr>
            <w:tcW w:w="3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71,200</w:t>
            </w:r>
          </w:p>
        </w:tc>
        <w:tc>
          <w:tcPr>
            <w:tcW w:w="3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71,200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-702310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-685165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-702310</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-685165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-702310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-685165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-702310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-685165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-159385</wp:posOffset>
            </wp:positionV>
            <wp:extent cx="7683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-159385</wp:posOffset>
            </wp:positionV>
            <wp:extent cx="7747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-159385</wp:posOffset>
            </wp:positionV>
            <wp:extent cx="7683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6858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0"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 Money market funds included within cash equivalents are classified within Level 1 of the fair value hierarchy because they are valued</w:t>
      </w:r>
      <w:r>
        <w:rPr>
          <w:rFonts w:ascii="Arial" w:cs="Arial" w:eastAsia="Arial" w:hAnsi="Arial"/>
          <w:sz w:val="18"/>
          <w:szCs w:val="18"/>
          <w:b w:val="1"/>
          <w:bCs w:val="1"/>
          <w:color w:val="auto"/>
        </w:rPr>
        <w:t xml:space="preserve"> </w:t>
      </w:r>
      <w:r>
        <w:rPr>
          <w:rFonts w:ascii="Arial" w:cs="Arial" w:eastAsia="Arial" w:hAnsi="Arial"/>
          <w:sz w:val="18"/>
          <w:szCs w:val="18"/>
          <w:color w:val="auto"/>
        </w:rPr>
        <w:t>using quoted market prices in active markets. Commercial paper and corporate notes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73" w:lineRule="exact"/>
        <w:rPr>
          <w:sz w:val="20"/>
          <w:szCs w:val="20"/>
          <w:color w:val="auto"/>
        </w:rPr>
      </w:pPr>
    </w:p>
    <w:p>
      <w:pPr>
        <w:jc w:val="both"/>
        <w:ind w:right="380"/>
        <w:spacing w:after="0" w:line="242"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 Marketable securities, excluding corporate equity securities, are classified within Level 2 of the fair value hierarchy because</w:t>
      </w:r>
      <w:r>
        <w:rPr>
          <w:rFonts w:ascii="Arial" w:cs="Arial" w:eastAsia="Arial" w:hAnsi="Arial"/>
          <w:sz w:val="18"/>
          <w:szCs w:val="18"/>
          <w:b w:val="1"/>
          <w:bCs w:val="1"/>
          <w:color w:val="auto"/>
        </w:rPr>
        <w:t xml:space="preserve"> </w:t>
      </w:r>
      <w:r>
        <w:rPr>
          <w:rFonts w:ascii="Arial" w:cs="Arial" w:eastAsia="Arial" w:hAnsi="Arial"/>
          <w:sz w:val="18"/>
          <w:szCs w:val="18"/>
          <w:color w:val="auto"/>
        </w:rPr>
        <w:t>pricing inputs are other than quoted prices in active markets, which are either directly or indirectly observable as of the reporting date, and fair value is determined using models or other valuation methodologies.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4" w:name="page155"/>
    <w:bookmarkEnd w:id="154"/>
    <w:p>
      <w:pPr>
        <w:ind w:right="160"/>
        <w:spacing w:after="0" w:line="274" w:lineRule="auto"/>
        <w:rPr>
          <w:sz w:val="20"/>
          <w:szCs w:val="20"/>
          <w:color w:val="auto"/>
        </w:rPr>
      </w:pPr>
      <w:r>
        <w:rPr>
          <w:rFonts w:ascii="Arial" w:cs="Arial" w:eastAsia="Arial" w:hAnsi="Arial"/>
          <w:sz w:val="16"/>
          <w:szCs w:val="16"/>
          <w:color w:val="auto"/>
        </w:rPr>
        <w:t>During the years ended December 31, 2021 and 2020, the Company held an investment in Verve consisting of shares of Verve’s common and preferred stock. Prior to Verve's initial public offering in June 2021, the Company valued such investment based on the cost of the equity securities adjusted for any observable market transactions. Following the initial public offering, the equity securities have a readily determinable fair value; however, they were subject to transfer restrictions. As of December 31, 2021, the Company owned 546,970 shares of Verve's common stock, the value of which is included in marketable securities in the consolidated balance sheet as they are no longer subject to transfer restrictions. The Company recorded the investment at fair value of $20.2 million as of December 31, 2021. In addition, the Company recorded other income of $17.7 million and $0.5 million for the years ended December 31, 2021 and 2020, respectively, related to the changes in fair value of Verve's common stock.</w:t>
      </w:r>
    </w:p>
    <w:p>
      <w:pPr>
        <w:spacing w:after="0" w:line="5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xml:space="preserve">Pursuant to ASU No.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the Company records changes in the fair value of its investments in equity securities to other income (expense), in the Company’s consolidated statements of operations.</w:t>
      </w:r>
    </w:p>
    <w:p>
      <w:pPr>
        <w:spacing w:after="0" w:line="59"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b w:val="1"/>
          <w:bCs w:val="1"/>
          <w:color w:val="auto"/>
        </w:rPr>
        <w:t xml:space="preserve">Success Payment Liability </w:t>
      </w:r>
      <w:r>
        <w:rPr>
          <w:rFonts w:ascii="Arial" w:cs="Arial" w:eastAsia="Arial" w:hAnsi="Arial"/>
          <w:sz w:val="16"/>
          <w:szCs w:val="16"/>
          <w:color w:val="auto"/>
        </w:rPr>
        <w:t>– As discussed further in Note 9,</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License agreements</w:t>
      </w:r>
      <w:r>
        <w:rPr>
          <w:rFonts w:ascii="Arial" w:cs="Arial" w:eastAsia="Arial" w:hAnsi="Arial"/>
          <w:sz w:val="16"/>
          <w:szCs w:val="16"/>
          <w:color w:val="auto"/>
        </w:rPr>
        <w:t>, the Company is required to make payments to Harvard and Broad</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Institute based upon the achievement of specified multiples of the initial weighted average value of the Company’s Series A Preferred or, subsequent to the IPO, the market value of the Company's common stock, at specified valuation dates. The Company’s liability for the share-based success payments under the Harvard and Broad License Agreements are carried at fair value. To determine the estimated fair value of the success payment liability, the Company uses a Monte Carlo simulation methodology, which models the future movement of stock prices based on several key variables.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variables were incorporated in the calculation of the estimated fair value of the Harvard and Broad Institute success payment liabilities: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Harvard</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auto"/>
            </w:tcBorders>
            <w:gridSpan w:val="2"/>
          </w:tcPr>
          <w:p>
            <w:pPr>
              <w:jc w:val="right"/>
              <w:ind w:right="897"/>
              <w:spacing w:after="0"/>
              <w:rPr>
                <w:sz w:val="20"/>
                <w:szCs w:val="20"/>
                <w:color w:val="auto"/>
              </w:rPr>
            </w:pPr>
            <w:r>
              <w:rPr>
                <w:rFonts w:ascii="Arial" w:cs="Arial" w:eastAsia="Arial" w:hAnsi="Arial"/>
                <w:sz w:val="14"/>
                <w:szCs w:val="14"/>
                <w:b w:val="1"/>
                <w:bCs w:val="1"/>
                <w:color w:val="auto"/>
              </w:rPr>
              <w:t>Broad Institute</w:t>
            </w:r>
          </w:p>
        </w:tc>
      </w:tr>
      <w:tr>
        <w:trPr>
          <w:trHeight w:val="133"/>
        </w:trPr>
        <w:tc>
          <w:tcPr>
            <w:tcW w:w="5680" w:type="dxa"/>
            <w:vAlign w:val="bottom"/>
          </w:tcPr>
          <w:p>
            <w:pPr>
              <w:spacing w:after="0"/>
              <w:rPr>
                <w:sz w:val="11"/>
                <w:szCs w:val="11"/>
                <w:color w:val="auto"/>
              </w:rPr>
            </w:pPr>
          </w:p>
        </w:tc>
        <w:tc>
          <w:tcPr>
            <w:tcW w:w="156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December 31,</w:t>
            </w:r>
          </w:p>
        </w:tc>
        <w:tc>
          <w:tcPr>
            <w:tcW w:w="1200" w:type="dxa"/>
            <w:vAlign w:val="bottom"/>
          </w:tcPr>
          <w:p>
            <w:pPr>
              <w:jc w:val="right"/>
              <w:ind w:right="257"/>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380" w:type="dxa"/>
            <w:vAlign w:val="bottom"/>
          </w:tcPr>
          <w:p>
            <w:pPr>
              <w:jc w:val="right"/>
              <w:ind w:right="348"/>
              <w:spacing w:after="0" w:line="133" w:lineRule="exact"/>
              <w:rPr>
                <w:sz w:val="20"/>
                <w:szCs w:val="20"/>
                <w:color w:val="auto"/>
              </w:rPr>
            </w:pPr>
            <w:r>
              <w:rPr>
                <w:rFonts w:ascii="Arial" w:cs="Arial" w:eastAsia="Arial" w:hAnsi="Arial"/>
                <w:sz w:val="14"/>
                <w:szCs w:val="14"/>
                <w:b w:val="1"/>
                <w:bCs w:val="1"/>
                <w:color w:val="auto"/>
              </w:rPr>
              <w:t>December 31,</w:t>
            </w:r>
          </w:p>
        </w:tc>
        <w:tc>
          <w:tcPr>
            <w:tcW w:w="1300" w:type="dxa"/>
            <w:vAlign w:val="bottom"/>
          </w:tcPr>
          <w:p>
            <w:pPr>
              <w:jc w:val="right"/>
              <w:ind w:right="237"/>
              <w:spacing w:after="0" w:line="133"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5680" w:type="dxa"/>
            <w:vAlign w:val="bottom"/>
          </w:tcPr>
          <w:p>
            <w:pPr>
              <w:spacing w:after="0"/>
              <w:rPr>
                <w:sz w:val="16"/>
                <w:szCs w:val="16"/>
                <w:color w:val="auto"/>
              </w:rPr>
            </w:pPr>
          </w:p>
        </w:tc>
        <w:tc>
          <w:tcPr>
            <w:tcW w:w="1560" w:type="dxa"/>
            <w:vAlign w:val="bottom"/>
          </w:tcPr>
          <w:p>
            <w:pPr>
              <w:jc w:val="right"/>
              <w:ind w:right="799"/>
              <w:spacing w:after="0"/>
              <w:rPr>
                <w:sz w:val="20"/>
                <w:szCs w:val="20"/>
                <w:color w:val="auto"/>
              </w:rPr>
            </w:pPr>
            <w:r>
              <w:rPr>
                <w:rFonts w:ascii="Arial" w:cs="Arial" w:eastAsia="Arial" w:hAnsi="Arial"/>
                <w:sz w:val="14"/>
                <w:szCs w:val="14"/>
                <w:b w:val="1"/>
                <w:bCs w:val="1"/>
                <w:color w:val="auto"/>
              </w:rPr>
              <w:t>2021</w:t>
            </w:r>
          </w:p>
        </w:tc>
        <w:tc>
          <w:tcPr>
            <w:tcW w:w="1200" w:type="dxa"/>
            <w:vAlign w:val="bottom"/>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500" w:type="dxa"/>
            <w:vAlign w:val="bottom"/>
            <w:gridSpan w:val="2"/>
          </w:tcPr>
          <w:p>
            <w:pPr>
              <w:jc w:val="right"/>
              <w:ind w:right="628"/>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03"/>
        </w:trPr>
        <w:tc>
          <w:tcPr>
            <w:tcW w:w="5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Fair value of common stock (per share)</w:t>
            </w:r>
          </w:p>
        </w:tc>
        <w:tc>
          <w:tcPr>
            <w:tcW w:w="1560" w:type="dxa"/>
            <w:vAlign w:val="bottom"/>
            <w:shd w:val="clear" w:color="auto" w:fill="CFF0FC"/>
          </w:tcPr>
          <w:p>
            <w:pPr>
              <w:jc w:val="right"/>
              <w:ind w:right="419"/>
              <w:spacing w:after="0" w:line="202" w:lineRule="exact"/>
              <w:rPr>
                <w:sz w:val="20"/>
                <w:szCs w:val="20"/>
                <w:color w:val="auto"/>
              </w:rPr>
            </w:pPr>
            <w:r>
              <w:rPr>
                <w:rFonts w:ascii="Arial" w:cs="Arial" w:eastAsia="Arial" w:hAnsi="Arial"/>
                <w:sz w:val="18"/>
                <w:szCs w:val="18"/>
                <w:color w:val="auto"/>
              </w:rPr>
              <w:t>79.69</w:t>
            </w:r>
          </w:p>
        </w:tc>
        <w:tc>
          <w:tcPr>
            <w:tcW w:w="1200" w:type="dxa"/>
            <w:vAlign w:val="bottom"/>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81.64</w:t>
            </w:r>
          </w:p>
        </w:tc>
        <w:tc>
          <w:tcPr>
            <w:tcW w:w="1500" w:type="dxa"/>
            <w:vAlign w:val="bottom"/>
            <w:gridSpan w:val="2"/>
            <w:shd w:val="clear" w:color="auto" w:fill="CFF0FC"/>
          </w:tcPr>
          <w:p>
            <w:pPr>
              <w:jc w:val="right"/>
              <w:ind w:right="268"/>
              <w:spacing w:after="0" w:line="202" w:lineRule="exact"/>
              <w:rPr>
                <w:sz w:val="20"/>
                <w:szCs w:val="20"/>
                <w:color w:val="auto"/>
              </w:rPr>
            </w:pPr>
            <w:r>
              <w:rPr>
                <w:rFonts w:ascii="Arial" w:cs="Arial" w:eastAsia="Arial" w:hAnsi="Arial"/>
                <w:sz w:val="18"/>
                <w:szCs w:val="18"/>
                <w:color w:val="auto"/>
              </w:rPr>
              <w:t>79.69</w:t>
            </w:r>
          </w:p>
        </w:tc>
        <w:tc>
          <w:tcPr>
            <w:tcW w:w="1300" w:type="dxa"/>
            <w:vAlign w:val="bottom"/>
            <w:shd w:val="clear" w:color="auto" w:fill="CFF0FC"/>
          </w:tcPr>
          <w:p>
            <w:pPr>
              <w:jc w:val="right"/>
              <w:ind w:right="137"/>
              <w:spacing w:after="0" w:line="202" w:lineRule="exact"/>
              <w:rPr>
                <w:sz w:val="20"/>
                <w:szCs w:val="20"/>
                <w:color w:val="auto"/>
              </w:rPr>
            </w:pPr>
            <w:r>
              <w:rPr>
                <w:rFonts w:ascii="Arial" w:cs="Arial" w:eastAsia="Arial" w:hAnsi="Arial"/>
                <w:sz w:val="18"/>
                <w:szCs w:val="18"/>
                <w:color w:val="auto"/>
              </w:rPr>
              <w:t>81.64</w:t>
            </w: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560" w:type="dxa"/>
            <w:vAlign w:val="bottom"/>
          </w:tcPr>
          <w:p>
            <w:pPr>
              <w:jc w:val="right"/>
              <w:ind w:right="239"/>
              <w:spacing w:after="0" w:line="202" w:lineRule="exact"/>
              <w:rPr>
                <w:sz w:val="20"/>
                <w:szCs w:val="20"/>
                <w:color w:val="auto"/>
              </w:rPr>
            </w:pPr>
            <w:r>
              <w:rPr>
                <w:rFonts w:ascii="Arial" w:cs="Arial" w:eastAsia="Arial" w:hAnsi="Arial"/>
                <w:sz w:val="18"/>
                <w:szCs w:val="18"/>
                <w:color w:val="auto"/>
              </w:rPr>
              <w:t>76 %</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74 %</w:t>
            </w:r>
          </w:p>
        </w:tc>
        <w:tc>
          <w:tcPr>
            <w:tcW w:w="150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76 %</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74 %</w:t>
            </w:r>
          </w:p>
        </w:tc>
      </w:tr>
      <w:tr>
        <w:trPr>
          <w:trHeight w:val="203"/>
        </w:trPr>
        <w:tc>
          <w:tcPr>
            <w:tcW w:w="5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560" w:type="dxa"/>
            <w:vAlign w:val="bottom"/>
            <w:shd w:val="clear" w:color="auto" w:fill="CFF0FC"/>
          </w:tcPr>
          <w:p>
            <w:pPr>
              <w:jc w:val="right"/>
              <w:ind w:right="419"/>
              <w:spacing w:after="0" w:line="202" w:lineRule="exact"/>
              <w:rPr>
                <w:sz w:val="20"/>
                <w:szCs w:val="20"/>
                <w:color w:val="auto"/>
              </w:rPr>
            </w:pPr>
            <w:r>
              <w:rPr>
                <w:rFonts w:ascii="Arial" w:cs="Arial" w:eastAsia="Arial" w:hAnsi="Arial"/>
                <w:sz w:val="18"/>
                <w:szCs w:val="18"/>
                <w:color w:val="auto"/>
              </w:rPr>
              <w:t>0.10-7.49</w:t>
            </w:r>
          </w:p>
        </w:tc>
        <w:tc>
          <w:tcPr>
            <w:tcW w:w="1200" w:type="dxa"/>
            <w:vAlign w:val="bottom"/>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0.35-8.49</w:t>
            </w:r>
          </w:p>
        </w:tc>
        <w:tc>
          <w:tcPr>
            <w:tcW w:w="1500" w:type="dxa"/>
            <w:vAlign w:val="bottom"/>
            <w:gridSpan w:val="2"/>
            <w:shd w:val="clear" w:color="auto" w:fill="CFF0FC"/>
          </w:tcPr>
          <w:p>
            <w:pPr>
              <w:jc w:val="right"/>
              <w:ind w:right="268"/>
              <w:spacing w:after="0" w:line="202" w:lineRule="exact"/>
              <w:rPr>
                <w:sz w:val="20"/>
                <w:szCs w:val="20"/>
                <w:color w:val="auto"/>
              </w:rPr>
            </w:pPr>
            <w:r>
              <w:rPr>
                <w:rFonts w:ascii="Arial" w:cs="Arial" w:eastAsia="Arial" w:hAnsi="Arial"/>
                <w:sz w:val="18"/>
                <w:szCs w:val="18"/>
                <w:color w:val="auto"/>
              </w:rPr>
              <w:t>0.10-8.36</w:t>
            </w:r>
          </w:p>
        </w:tc>
        <w:tc>
          <w:tcPr>
            <w:tcW w:w="1300" w:type="dxa"/>
            <w:vAlign w:val="bottom"/>
            <w:shd w:val="clear" w:color="auto" w:fill="CFF0FC"/>
          </w:tcPr>
          <w:p>
            <w:pPr>
              <w:jc w:val="right"/>
              <w:ind w:right="137"/>
              <w:spacing w:after="0" w:line="202" w:lineRule="exact"/>
              <w:rPr>
                <w:sz w:val="20"/>
                <w:szCs w:val="20"/>
                <w:color w:val="auto"/>
              </w:rPr>
            </w:pPr>
            <w:r>
              <w:rPr>
                <w:rFonts w:ascii="Arial" w:cs="Arial" w:eastAsia="Arial" w:hAnsi="Arial"/>
                <w:sz w:val="18"/>
                <w:szCs w:val="18"/>
                <w:color w:val="auto"/>
              </w:rPr>
              <w:t>0.35-9.36</w:t>
            </w:r>
          </w:p>
        </w:tc>
      </w:tr>
    </w:tbl>
    <w:p>
      <w:pPr>
        <w:spacing w:after="0" w:line="107"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The computation of expected volatility was estimated using available information about the historical volatility of stocks of similar publicly traded companies for a period matching the expected term assumption. In addition, the Company incorporated the estimated number, timing, and probability of valuation measurement dates in the calculation of the success payment liability.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fair value of success payment liabilities based on Level 3 inputs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Harvard</w:t>
            </w:r>
          </w:p>
        </w:tc>
        <w:tc>
          <w:tcPr>
            <w:tcW w:w="300" w:type="dxa"/>
            <w:vAlign w:val="bottom"/>
          </w:tcPr>
          <w:p>
            <w:pPr>
              <w:spacing w:after="0"/>
              <w:rPr>
                <w:sz w:val="16"/>
                <w:szCs w:val="16"/>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Broad</w:t>
            </w:r>
          </w:p>
        </w:tc>
        <w:tc>
          <w:tcPr>
            <w:tcW w:w="300" w:type="dxa"/>
            <w:vAlign w:val="bottom"/>
          </w:tcPr>
          <w:p>
            <w:pPr>
              <w:spacing w:after="0"/>
              <w:rPr>
                <w:sz w:val="16"/>
                <w:szCs w:val="16"/>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2019</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3,900</w:t>
            </w: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3,900</w:t>
            </w:r>
          </w:p>
        </w:tc>
        <w:tc>
          <w:tcPr>
            <w:tcW w:w="2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7,800</w:t>
            </w:r>
          </w:p>
        </w:tc>
        <w:tc>
          <w:tcPr>
            <w:tcW w:w="80" w:type="dxa"/>
            <w:vAlign w:val="bottom"/>
            <w:shd w:val="clear" w:color="auto" w:fill="CFF0FC"/>
          </w:tcPr>
          <w:p>
            <w:pPr>
              <w:spacing w:after="0"/>
              <w:rPr>
                <w:sz w:val="17"/>
                <w:szCs w:val="17"/>
                <w:color w:val="auto"/>
              </w:rPr>
            </w:pPr>
          </w:p>
        </w:tc>
      </w:tr>
      <w:tr>
        <w:trPr>
          <w:trHeight w:val="203"/>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31,600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31,800</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63,400</w:t>
            </w:r>
          </w:p>
        </w:tc>
        <w:tc>
          <w:tcPr>
            <w:tcW w:w="80" w:type="dxa"/>
            <w:vAlign w:val="bottom"/>
          </w:tcPr>
          <w:p>
            <w:pPr>
              <w:spacing w:after="0"/>
              <w:rPr>
                <w:sz w:val="17"/>
                <w:szCs w:val="17"/>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2020</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35,500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35,700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71,200</w:t>
            </w:r>
          </w:p>
        </w:tc>
        <w:tc>
          <w:tcPr>
            <w:tcW w:w="80" w:type="dxa"/>
            <w:vAlign w:val="bottom"/>
            <w:shd w:val="clear" w:color="auto" w:fill="CFF0FC"/>
          </w:tcPr>
          <w:p>
            <w:pPr>
              <w:spacing w:after="0"/>
              <w:rPr>
                <w:sz w:val="17"/>
                <w:szCs w:val="17"/>
                <w:color w:val="auto"/>
              </w:rPr>
            </w:pPr>
          </w:p>
        </w:tc>
      </w:tr>
      <w:tr>
        <w:trPr>
          <w:trHeight w:val="202"/>
        </w:trPr>
        <w:tc>
          <w:tcPr>
            <w:tcW w:w="6580" w:type="dxa"/>
            <w:vAlign w:val="bottom"/>
          </w:tcPr>
          <w:p>
            <w:pPr>
              <w:ind w:left="200"/>
              <w:spacing w:after="0" w:line="202" w:lineRule="exact"/>
              <w:rPr>
                <w:sz w:val="20"/>
                <w:szCs w:val="20"/>
                <w:color w:val="auto"/>
              </w:rPr>
            </w:pPr>
            <w:r>
              <w:rPr>
                <w:rFonts w:ascii="Arial" w:cs="Arial" w:eastAsia="Arial" w:hAnsi="Arial"/>
                <w:sz w:val="18"/>
                <w:szCs w:val="18"/>
                <w:color w:val="auto"/>
              </w:rPr>
              <w:t>Payments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(15,000 )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(15,000 )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(30,000 )</w:t>
            </w:r>
          </w:p>
        </w:tc>
      </w:tr>
      <w:tr>
        <w:trPr>
          <w:trHeight w:val="203"/>
        </w:trPr>
        <w:tc>
          <w:tcPr>
            <w:tcW w:w="65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 in fair value</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2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21,000</w:t>
            </w:r>
          </w:p>
        </w:tc>
        <w:tc>
          <w:tcPr>
            <w:tcW w:w="2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21,200</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42,200</w:t>
            </w:r>
          </w:p>
        </w:tc>
        <w:tc>
          <w:tcPr>
            <w:tcW w:w="8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-159385</wp:posOffset>
            </wp:positionV>
            <wp:extent cx="5143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5143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8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16"/>
          <w:szCs w:val="16"/>
          <w:color w:val="auto"/>
        </w:rPr>
        <w:t>– As discussed further in Note 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Guide</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i w:val="1"/>
          <w:iCs w:val="1"/>
          <w:color w:val="auto"/>
        </w:rPr>
        <w:t>cquisition</w:t>
      </w:r>
      <w:r>
        <w:rPr>
          <w:rFonts w:ascii="Arial" w:cs="Arial" w:eastAsia="Arial" w:hAnsi="Arial"/>
          <w:sz w:val="16"/>
          <w:szCs w:val="16"/>
          <w:color w:val="auto"/>
        </w:rPr>
        <w:t>, under the Guide Merger Agreement, Guide’s former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optionholders are eligible to receive up to an additional $100.0 million in technology milestone payments and $220.0 million in product milestone payments, payable in the Company’s common stock valued using the volume-weighted average price of the Company’s stock over the ten-day trading period ending two trading days prior to the date on which the applicable milestone is achieved. As these milestones are payable in the Company’s common stock, the milestone payments result in liability classification under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These contingent consideration liabilities are carried at fair value which was estimated by applying a probability-based model, which utilized inputs based on timing of achievement that were unobservable in the market. These contingent consideration liabilities are classified within Level 3 of the fair value hierarchy.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fair value of the contingent consideration liabilities based on level 3 inputs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For the Year Ended December 31, 2021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right"/>
              <w:ind w:right="600"/>
              <w:spacing w:after="0" w:line="133" w:lineRule="exact"/>
              <w:rPr>
                <w:sz w:val="20"/>
                <w:szCs w:val="20"/>
                <w:color w:val="auto"/>
              </w:rPr>
            </w:pPr>
            <w:r>
              <w:rPr>
                <w:rFonts w:ascii="Arial" w:cs="Arial" w:eastAsia="Arial" w:hAnsi="Arial"/>
                <w:sz w:val="14"/>
                <w:szCs w:val="14"/>
                <w:b w:val="1"/>
                <w:bCs w:val="1"/>
                <w:color w:val="auto"/>
                <w:w w:val="99"/>
              </w:rPr>
              <w:t>Technology</w:t>
            </w:r>
          </w:p>
        </w:tc>
        <w:tc>
          <w:tcPr>
            <w:tcW w:w="16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7"/>
              </w:rPr>
              <w:t>Product Milestones</w:t>
            </w:r>
          </w:p>
        </w:tc>
        <w:tc>
          <w:tcPr>
            <w:tcW w:w="400" w:type="dxa"/>
            <w:vAlign w:val="bottom"/>
          </w:tcPr>
          <w:p>
            <w:pPr>
              <w:spacing w:after="0"/>
              <w:rPr>
                <w:sz w:val="11"/>
                <w:szCs w:val="11"/>
                <w:color w:val="auto"/>
              </w:rPr>
            </w:pPr>
          </w:p>
        </w:tc>
        <w:tc>
          <w:tcPr>
            <w:tcW w:w="10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Milestones</w:t>
            </w:r>
          </w:p>
        </w:tc>
        <w:tc>
          <w:tcPr>
            <w:tcW w:w="160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February 23, 2021 (inception)</w:t>
            </w:r>
          </w:p>
        </w:tc>
        <w:tc>
          <w:tcPr>
            <w:tcW w:w="23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29,403</w:t>
            </w:r>
          </w:p>
        </w:tc>
        <w:tc>
          <w:tcPr>
            <w:tcW w:w="220" w:type="dxa"/>
            <w:vAlign w:val="bottom"/>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ind w:right="33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7,110</w:t>
            </w:r>
          </w:p>
        </w:tc>
        <w:tc>
          <w:tcPr>
            <w:tcW w:w="2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36,513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(5,044 )</w:t>
            </w:r>
          </w:p>
        </w:tc>
        <w:tc>
          <w:tcPr>
            <w:tcW w:w="52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(102 )</w:t>
            </w:r>
          </w:p>
        </w:tc>
        <w:tc>
          <w:tcPr>
            <w:tcW w:w="4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(5,146 )</w:t>
            </w: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23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24,359</w:t>
            </w:r>
          </w:p>
        </w:tc>
        <w:tc>
          <w:tcPr>
            <w:tcW w:w="2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36"/>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7,008</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31,367</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220" w:type="dxa"/>
            <w:vAlign w:val="bottom"/>
          </w:tcPr>
          <w:p>
            <w:pPr>
              <w:spacing w:after="0"/>
              <w:rPr>
                <w:sz w:val="24"/>
                <w:szCs w:val="24"/>
                <w:color w:val="auto"/>
              </w:rPr>
            </w:pPr>
          </w:p>
        </w:tc>
        <w:tc>
          <w:tcPr>
            <w:tcW w:w="2580" w:type="dxa"/>
            <w:vAlign w:val="bottom"/>
            <w:gridSpan w:val="2"/>
          </w:tcPr>
          <w:p>
            <w:pPr>
              <w:jc w:val="right"/>
              <w:ind w:right="910"/>
              <w:spacing w:after="0"/>
              <w:rPr>
                <w:sz w:val="20"/>
                <w:szCs w:val="20"/>
                <w:color w:val="auto"/>
              </w:rPr>
            </w:pPr>
            <w:r>
              <w:rPr>
                <w:rFonts w:ascii="Arial" w:cs="Arial" w:eastAsia="Arial" w:hAnsi="Arial"/>
                <w:sz w:val="18"/>
                <w:szCs w:val="18"/>
                <w:color w:val="auto"/>
              </w:rPr>
              <w:t>F-19</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2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-367665</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-351155</wp:posOffset>
            </wp:positionV>
            <wp:extent cx="514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-367665</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-351155</wp:posOffset>
            </wp:positionV>
            <wp:extent cx="514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-367665</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-351155</wp:posOffset>
            </wp:positionV>
            <wp:extent cx="514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The following variables were incorporated in the calculation of the estimated fair value of the contingent consideration liabilities: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212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0"/>
              </w:rPr>
              <w:t>Technology Milestones</w:t>
            </w:r>
          </w:p>
        </w:tc>
        <w:tc>
          <w:tcPr>
            <w:tcW w:w="180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1"/>
              </w:rPr>
              <w:t>Product Milestones</w:t>
            </w:r>
          </w:p>
        </w:tc>
      </w:tr>
      <w:tr>
        <w:trPr>
          <w:trHeight w:val="133"/>
        </w:trPr>
        <w:tc>
          <w:tcPr>
            <w:tcW w:w="7320" w:type="dxa"/>
            <w:vAlign w:val="bottom"/>
          </w:tcPr>
          <w:p>
            <w:pPr>
              <w:spacing w:after="0"/>
              <w:rPr>
                <w:sz w:val="11"/>
                <w:szCs w:val="11"/>
                <w:color w:val="auto"/>
              </w:rPr>
            </w:pPr>
          </w:p>
        </w:tc>
        <w:tc>
          <w:tcPr>
            <w:tcW w:w="17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1"/>
                <w:szCs w:val="11"/>
                <w:color w:val="auto"/>
              </w:rPr>
            </w:pPr>
          </w:p>
        </w:tc>
        <w:tc>
          <w:tcPr>
            <w:tcW w:w="14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1"/>
                <w:szCs w:val="11"/>
                <w:color w:val="auto"/>
              </w:rPr>
            </w:pPr>
          </w:p>
        </w:tc>
      </w:tr>
      <w:tr>
        <w:trPr>
          <w:trHeight w:val="185"/>
        </w:trPr>
        <w:tc>
          <w:tcPr>
            <w:tcW w:w="73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38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Pr>
          <w:p>
            <w:pPr>
              <w:spacing w:after="0"/>
              <w:rPr>
                <w:sz w:val="16"/>
                <w:szCs w:val="16"/>
                <w:color w:val="auto"/>
              </w:rPr>
            </w:pP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Discount Rate</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7.50</w:t>
            </w:r>
          </w:p>
        </w:tc>
        <w:tc>
          <w:tcPr>
            <w:tcW w:w="38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7.50</w:t>
            </w:r>
          </w:p>
        </w:tc>
        <w:tc>
          <w:tcPr>
            <w:tcW w:w="4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Probability of Achievement</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10-75%</w:t>
            </w:r>
          </w:p>
        </w:tc>
        <w:tc>
          <w:tcPr>
            <w:tcW w:w="3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400" w:type="dxa"/>
            <w:vAlign w:val="bottom"/>
          </w:tcPr>
          <w:p>
            <w:pPr>
              <w:spacing w:after="0"/>
              <w:rPr>
                <w:sz w:val="17"/>
                <w:szCs w:val="17"/>
                <w:color w:val="auto"/>
              </w:rPr>
            </w:pP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Projected Year of Achievement</w:t>
            </w: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2022-2023</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2023-2029</w:t>
            </w:r>
          </w:p>
        </w:tc>
        <w:tc>
          <w:tcPr>
            <w:tcW w:w="400" w:type="dxa"/>
            <w:vAlign w:val="bottom"/>
            <w:shd w:val="clear" w:color="auto" w:fill="CFF0FC"/>
          </w:tcPr>
          <w:p>
            <w:pPr>
              <w:spacing w:after="0"/>
              <w:rPr>
                <w:sz w:val="17"/>
                <w:szCs w:val="17"/>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held at December 31, 2021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left="144"/>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204"/>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Amortized Cost</w:t>
            </w:r>
          </w:p>
        </w:tc>
        <w:tc>
          <w:tcPr>
            <w:tcW w:w="160" w:type="dxa"/>
            <w:vAlign w:val="bottom"/>
          </w:tcPr>
          <w:p>
            <w:pPr>
              <w:spacing w:after="0"/>
              <w:rPr>
                <w:sz w:val="12"/>
                <w:szCs w:val="12"/>
                <w:color w:val="auto"/>
              </w:rPr>
            </w:pPr>
          </w:p>
        </w:tc>
        <w:tc>
          <w:tcPr>
            <w:tcW w:w="980" w:type="dxa"/>
            <w:vAlign w:val="bottom"/>
          </w:tcPr>
          <w:p>
            <w:pPr>
              <w:jc w:val="center"/>
              <w:ind w:left="144"/>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368,778</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804"/>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32</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24"/>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(67 )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368,743</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Corporate notes</w:t>
            </w: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16,758</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86"/>
              </w:rPr>
              <w:t>(15 )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16,743</w:t>
            </w:r>
          </w:p>
        </w:tc>
        <w:tc>
          <w:tcPr>
            <w:tcW w:w="0" w:type="dxa"/>
            <w:vAlign w:val="bottom"/>
          </w:tcPr>
          <w:p>
            <w:pPr>
              <w:spacing w:after="0"/>
              <w:rPr>
                <w:sz w:val="1"/>
                <w:szCs w:val="1"/>
                <w:color w:val="auto"/>
              </w:rPr>
            </w:pPr>
          </w:p>
        </w:tc>
      </w:tr>
      <w:tr>
        <w:trPr>
          <w:trHeight w:val="203"/>
        </w:trPr>
        <w:tc>
          <w:tcPr>
            <w:tcW w:w="5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 equity securities</w:t>
            </w:r>
          </w:p>
        </w:tc>
        <w:tc>
          <w:tcPr>
            <w:tcW w:w="1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20,167</w:t>
            </w: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20,167</w:t>
            </w:r>
          </w:p>
        </w:tc>
        <w:tc>
          <w:tcPr>
            <w:tcW w:w="0" w:type="dxa"/>
            <w:vAlign w:val="bottom"/>
          </w:tcPr>
          <w:p>
            <w:pPr>
              <w:spacing w:after="0"/>
              <w:rPr>
                <w:sz w:val="1"/>
                <w:szCs w:val="1"/>
                <w:color w:val="auto"/>
              </w:rPr>
            </w:pPr>
          </w:p>
        </w:tc>
      </w:tr>
      <w:tr>
        <w:trPr>
          <w:trHeight w:val="196"/>
        </w:trPr>
        <w:tc>
          <w:tcPr>
            <w:tcW w:w="574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405,703</w:t>
            </w:r>
          </w:p>
        </w:tc>
        <w:tc>
          <w:tcPr>
            <w:tcW w:w="1140" w:type="dxa"/>
            <w:vAlign w:val="bottom"/>
            <w:gridSpan w:val="2"/>
          </w:tcPr>
          <w:p>
            <w:pPr>
              <w:jc w:val="right"/>
              <w:ind w:right="804"/>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32</w:t>
            </w:r>
          </w:p>
        </w:tc>
        <w:tc>
          <w:tcPr>
            <w:tcW w:w="1060" w:type="dxa"/>
            <w:vAlign w:val="bottom"/>
            <w:gridSpan w:val="2"/>
          </w:tcPr>
          <w:p>
            <w:pPr>
              <w:jc w:val="right"/>
              <w:ind w:right="724"/>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w w:val="86"/>
              </w:rPr>
              <w:t>(82 )</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405,653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-159385</wp:posOffset>
            </wp:positionV>
            <wp:extent cx="9398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-159385</wp:posOffset>
            </wp:positionV>
            <wp:extent cx="9398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-159385</wp:posOffset>
            </wp:positionV>
            <wp:extent cx="8572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held at December 31, 2020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left="14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2"/>
              </w:rPr>
              <w:t>Amortized Cost</w:t>
            </w:r>
          </w:p>
        </w:tc>
        <w:tc>
          <w:tcPr>
            <w:tcW w:w="160" w:type="dxa"/>
            <w:vAlign w:val="bottom"/>
          </w:tcPr>
          <w:p>
            <w:pPr>
              <w:spacing w:after="0"/>
              <w:rPr>
                <w:sz w:val="12"/>
                <w:szCs w:val="12"/>
                <w:color w:val="auto"/>
              </w:rPr>
            </w:pPr>
          </w:p>
        </w:tc>
        <w:tc>
          <w:tcPr>
            <w:tcW w:w="98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bottom w:val="single" w:sz="8" w:color="auto"/>
            </w:tcBorders>
          </w:tcPr>
          <w:p>
            <w:pPr>
              <w:jc w:val="center"/>
              <w:ind w:left="14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113,628</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801"/>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11</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21"/>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(17 )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113,622</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Corporate notes</w:t>
            </w:r>
          </w:p>
        </w:tc>
        <w:tc>
          <w:tcPr>
            <w:tcW w:w="1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7,839</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(5 )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11,009</w:t>
            </w: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11,009</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Government securities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5,033</w:t>
            </w: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5,033</w:t>
            </w:r>
          </w:p>
        </w:tc>
        <w:tc>
          <w:tcPr>
            <w:tcW w:w="0" w:type="dxa"/>
            <w:vAlign w:val="bottom"/>
          </w:tcPr>
          <w:p>
            <w:pPr>
              <w:spacing w:after="0"/>
              <w:rPr>
                <w:sz w:val="1"/>
                <w:szCs w:val="1"/>
                <w:color w:val="auto"/>
              </w:rPr>
            </w:pPr>
          </w:p>
        </w:tc>
      </w:tr>
      <w:tr>
        <w:trPr>
          <w:trHeight w:val="236"/>
        </w:trPr>
        <w:tc>
          <w:tcPr>
            <w:tcW w:w="57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137,509</w:t>
            </w: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801"/>
              <w:spacing w:after="0" w:line="196" w:lineRule="exact"/>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13</w:t>
            </w:r>
          </w:p>
        </w:tc>
        <w:tc>
          <w:tcPr>
            <w:tcW w:w="1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21"/>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6"/>
              </w:rPr>
              <w:t>(22 )</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939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939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939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939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amortized cost of marketable securities is adjusted for amortization of premiums and accretion of discounts to maturity. At December 31, 2021, the balance in accumulated other comprehensive (loss) income was comprised solely of activity related to marketable securities. There were no realized gains or losses recognized on the sale or maturity of marketable securities for the years ended December 31, 2021, 2020 and 2019 and, as a result, the Company did not reclassify any amounts out of accumulated other comprehensive (loss) income for the same periods.</w:t>
      </w:r>
    </w:p>
    <w:p>
      <w:pPr>
        <w:spacing w:after="0" w:line="6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holds debt securities of companies with high credit quality and has determined that there was no material change in the credit risk of any of its debt securities. The contractual maturity dates of all the investments are less than one year.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Employee compensation and related benefits</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11,661</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7,591</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Process development and manufacturing costs</w:t>
            </w:r>
          </w:p>
        </w:tc>
        <w:tc>
          <w:tcPr>
            <w:tcW w:w="10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3,833</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2,272</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Professional fees</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3,330</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1,948</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Research costs</w:t>
            </w:r>
          </w:p>
        </w:tc>
        <w:tc>
          <w:tcPr>
            <w:tcW w:w="10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3,133</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2,423</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6,964</w:t>
            </w:r>
          </w:p>
        </w:tc>
        <w:tc>
          <w:tcPr>
            <w:tcW w:w="2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4,229</w:t>
            </w:r>
          </w:p>
        </w:tc>
      </w:tr>
      <w:tr>
        <w:trPr>
          <w:trHeight w:val="196"/>
        </w:trPr>
        <w:tc>
          <w:tcPr>
            <w:tcW w:w="768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1020" w:type="dxa"/>
            <w:vAlign w:val="bottom"/>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28,921</w:t>
            </w:r>
          </w:p>
        </w:tc>
        <w:tc>
          <w:tcPr>
            <w:tcW w:w="68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18,463</w:t>
            </w: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-159385</wp:posOffset>
            </wp:positionV>
            <wp:extent cx="12001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83" w:lineRule="exact"/>
        <w:rPr>
          <w:sz w:val="20"/>
          <w:szCs w:val="20"/>
          <w:color w:val="auto"/>
        </w:rPr>
      </w:pPr>
    </w:p>
    <w:p>
      <w:pPr>
        <w:ind w:right="10000" w:firstLine="8"/>
        <w:spacing w:after="0" w:line="434" w:lineRule="auto"/>
        <w:tabs>
          <w:tab w:leader="none" w:pos="180"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Leases </w:t>
      </w:r>
      <w:r>
        <w:rPr>
          <w:rFonts w:ascii="Arial" w:cs="Arial" w:eastAsia="Arial" w:hAnsi="Arial"/>
          <w:sz w:val="15"/>
          <w:szCs w:val="15"/>
          <w:b w:val="1"/>
          <w:bCs w:val="1"/>
          <w:i w:val="1"/>
          <w:iCs w:val="1"/>
          <w:color w:val="auto"/>
        </w:rPr>
        <w:t>Operating leases</w:t>
      </w:r>
    </w:p>
    <w:p>
      <w:pPr>
        <w:spacing w:after="0" w:line="1"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8"/>
          <w:szCs w:val="18"/>
          <w:color w:val="auto"/>
        </w:rPr>
        <w:t>The Company’s operating leases are as follows:</w:t>
      </w:r>
    </w:p>
    <w:p>
      <w:pPr>
        <w:spacing w:after="0" w:line="104" w:lineRule="exact"/>
        <w:rPr>
          <w:sz w:val="20"/>
          <w:szCs w:val="20"/>
          <w:color w:val="auto"/>
        </w:rPr>
      </w:pPr>
    </w:p>
    <w:p>
      <w:pPr>
        <w:ind w:left="1020" w:right="120" w:hanging="503"/>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February 2018 lease for 38,203 square feet of office and laboratory space, which commenced in March 2018 and terminates in September 2028. The lease is subject to fixed-rate rent escalations and provided for $6.1 million in tenant improvements and a term extension option, which is not reasonably certain of exercise.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56" w:name="page157"/>
    <w:bookmarkEnd w:id="156"/>
    <w:p>
      <w:pPr>
        <w:ind w:left="1020" w:right="80" w:hanging="503"/>
        <w:spacing w:after="0" w:line="272" w:lineRule="auto"/>
        <w:tabs>
          <w:tab w:leader="none" w:pos="10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October 2018 lease for laboratory space, which commenced in April 2019 and was amended in March 2020, April 2020, January 2021 and October 2021. The lease, as amended, commenced in April 2020 and terminates in December 2025. The amended lease is subject to fixed-rate rent escalations and provided an option to extend the lease for two additional two-year periods through December 31, 2029, which are not reasonably certain of being exercised. Upon commencement of the March 2020 amendment, the Company recorded an ROU asset and a lease liability of $4.2 million. Upon commencement of the April 2020 amendment, the Company recorded an operating lease ROU asset and a lease liability of $1.8 million. This lease was amended to add additional space in January and October of 2021. The Company recorded an operating lease ROU asset and a lease liability of $0.3 million in January 2021 related to the January 2021 amendment and an operating lease ROU asset and lease liability of $1.6 million in October 2021 related to the October 2021 amendment.</w:t>
      </w:r>
    </w:p>
    <w:p>
      <w:pPr>
        <w:spacing w:after="0" w:line="59" w:lineRule="exact"/>
        <w:rPr>
          <w:rFonts w:ascii="Arial" w:cs="Arial" w:eastAsia="Arial" w:hAnsi="Arial"/>
          <w:sz w:val="16"/>
          <w:szCs w:val="16"/>
          <w:color w:val="auto"/>
        </w:rPr>
      </w:pPr>
    </w:p>
    <w:p>
      <w:pPr>
        <w:ind w:left="1020" w:right="140" w:hanging="503"/>
        <w:spacing w:after="0" w:line="261" w:lineRule="auto"/>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Leases in June 2019 and July 2019 for office and laboratory space, both of which commenced in October 2019 and terminated in December 2021.</w:t>
      </w:r>
    </w:p>
    <w:p>
      <w:pPr>
        <w:spacing w:after="0" w:line="62" w:lineRule="exact"/>
        <w:rPr>
          <w:rFonts w:ascii="Arial" w:cs="Arial" w:eastAsia="Arial" w:hAnsi="Arial"/>
          <w:sz w:val="18"/>
          <w:szCs w:val="18"/>
          <w:color w:val="auto"/>
        </w:rPr>
      </w:pPr>
    </w:p>
    <w:p>
      <w:pPr>
        <w:ind w:left="1020" w:right="140" w:hanging="503"/>
        <w:spacing w:after="0" w:line="252" w:lineRule="auto"/>
        <w:tabs>
          <w:tab w:leader="none" w:pos="10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April 2019 lease for office and laboratory space that was built over the course of 2020 and 2021. Pursuant to the terms of the original lease agreement, the first phase of the lease commenced in October 2020 (rent payments for the first phase began in August 2021) and the second phase of the lease commenced in January 2021 (rent payments for the second phase began in February 2022). The lease is subject to fixed-rate rent escalations and provides for $23.4 million in tenant improvements and the option to extend the lease for two terms of five years each, which are not reasonably certain of exercise. The Company determined that it is the accounting owner of all tenant improvements. The Company maintains a security deposit of $9.7 and $11.8 million in the form of a letter of credit, which is included in restricted cash as of December 31, 2021 and 2020, respectively. Upon commencement of the first phase of this lease in October 2020, the Company recorded an operating lease ROU asset of $66.8 million and a lease liability of $68.8 million and upon commencement of the second phase of this lease in January 2021, the Company recorded an operating lease ROU asset of $22.0 million and a corresponding lease liability of $23.0 million. Subsequently, during the second quarter of 2021, the Company amended the rent commencement dates of the first and second phases of this lease. Pursuant to the terms of the amendment, the lease will terminate in February 2034, which is 12 years from the amended second phase rent commencement date. As a result, the Company recorded an increase in the ROU asset of $0.5 million and lease liability of $0.5 million.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Company identified and assessed the following estimates in recognizing the operating lease right-of-use asset and corresponding liability:</w:t>
      </w:r>
    </w:p>
    <w:p>
      <w:pPr>
        <w:spacing w:after="0" w:line="115" w:lineRule="exact"/>
        <w:rPr>
          <w:sz w:val="20"/>
          <w:szCs w:val="20"/>
          <w:color w:val="auto"/>
        </w:rPr>
      </w:pPr>
    </w:p>
    <w:p>
      <w:pPr>
        <w:ind w:left="1020" w:right="80" w:hanging="503"/>
        <w:spacing w:after="0" w:line="248" w:lineRule="auto"/>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Expected lease term: The expected lease term includes noncancelable lease periods and, when applicable, periods covered by an option to extend the lease if the Company is reasonably certain to exercise that option, as well as periods covered by an option to terminate the lease if the Company is reasonably certain not to exercise that option.</w:t>
      </w:r>
    </w:p>
    <w:p>
      <w:pPr>
        <w:spacing w:after="0" w:line="73" w:lineRule="exact"/>
        <w:rPr>
          <w:rFonts w:ascii="Arial" w:cs="Arial" w:eastAsia="Arial" w:hAnsi="Arial"/>
          <w:sz w:val="18"/>
          <w:szCs w:val="18"/>
          <w:color w:val="auto"/>
        </w:rPr>
      </w:pPr>
    </w:p>
    <w:p>
      <w:pPr>
        <w:ind w:left="1020" w:right="80" w:hanging="503"/>
        <w:spacing w:after="0" w:line="324" w:lineRule="auto"/>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Incremental borrowing rate: As the discount rates in the Company’s lease are not implicit, management estimated the incremental borrowing rate based on the rate of interest the Company would have to pay to borrow a similar amount on a collateralized basis over a similar term.</w:t>
      </w:r>
    </w:p>
    <w:p>
      <w:pPr>
        <w:spacing w:after="0" w:line="16" w:lineRule="exact"/>
        <w:rPr>
          <w:rFonts w:ascii="Arial" w:cs="Arial" w:eastAsia="Arial" w:hAnsi="Arial"/>
          <w:sz w:val="16"/>
          <w:szCs w:val="16"/>
          <w:color w:val="auto"/>
        </w:rPr>
      </w:pPr>
    </w:p>
    <w:p>
      <w:pPr>
        <w:ind w:left="1020" w:right="100" w:hanging="503"/>
        <w:spacing w:after="0" w:line="284" w:lineRule="auto"/>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Lease and non-lease components: The Company is required to pay fees for operating expenses in addition to monthly base rent for certain operating leases (non-lease components). The Company has elected the practical expedient which allows non-lease components to be combined with lease components for all asset classes. Variable non-lease components are not included within the lease right-of-use asset and lease liability on the consolidated balance sheet, and instead are reflected as expense in the period they are paid.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lease costs as well as sublease income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costs</w:t>
            </w:r>
          </w:p>
        </w:tc>
        <w:tc>
          <w:tcPr>
            <w:tcW w:w="880" w:type="dxa"/>
            <w:vAlign w:val="bottom"/>
            <w:shd w:val="clear" w:color="auto" w:fill="CFF0FC"/>
          </w:tcPr>
          <w:p>
            <w:pPr>
              <w:jc w:val="right"/>
              <w:ind w:right="67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w w:val="90"/>
              </w:rPr>
              <w:t>18,309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8,415</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4,078</w:t>
            </w:r>
          </w:p>
        </w:tc>
        <w:tc>
          <w:tcPr>
            <w:tcW w:w="8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Variable lease costs</w:t>
            </w:r>
          </w:p>
        </w:tc>
        <w:tc>
          <w:tcPr>
            <w:tcW w:w="88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2,065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929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811</w:t>
            </w:r>
          </w:p>
        </w:tc>
        <w:tc>
          <w:tcPr>
            <w:tcW w:w="80" w:type="dxa"/>
            <w:vAlign w:val="bottom"/>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costs</w:t>
            </w:r>
          </w:p>
        </w:tc>
        <w:tc>
          <w:tcPr>
            <w:tcW w:w="88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1,145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440" w:type="dxa"/>
            <w:vAlign w:val="bottom"/>
            <w:gridSpan w:val="3"/>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w:t>
            </w:r>
          </w:p>
        </w:tc>
        <w:tc>
          <w:tcPr>
            <w:tcW w:w="8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880" w:type="dxa"/>
            <w:vAlign w:val="bottom"/>
          </w:tcPr>
          <w:p>
            <w:pPr>
              <w:spacing w:after="0"/>
              <w:rPr>
                <w:sz w:val="17"/>
                <w:szCs w:val="17"/>
                <w:color w:val="auto"/>
              </w:rPr>
            </w:pPr>
          </w:p>
        </w:tc>
        <w:tc>
          <w:tcPr>
            <w:tcW w:w="7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(110 )</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(51 )</w:t>
            </w:r>
          </w:p>
        </w:tc>
      </w:tr>
      <w:tr>
        <w:trPr>
          <w:trHeight w:val="236"/>
        </w:trPr>
        <w:tc>
          <w:tcPr>
            <w:tcW w:w="6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FF0FC"/>
          </w:tcPr>
          <w:p>
            <w:pPr>
              <w:jc w:val="right"/>
              <w:ind w:right="676"/>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w w:val="90"/>
              </w:rPr>
              <w:t>21,409</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9,344</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4,954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318"/>
        </w:trPr>
        <w:tc>
          <w:tcPr>
            <w:tcW w:w="6560" w:type="dxa"/>
            <w:vAlign w:val="bottom"/>
          </w:tcPr>
          <w:p>
            <w:pPr>
              <w:spacing w:after="0"/>
              <w:rPr>
                <w:sz w:val="20"/>
                <w:szCs w:val="20"/>
                <w:color w:val="auto"/>
              </w:rPr>
            </w:pPr>
            <w:r>
              <w:rPr>
                <w:rFonts w:ascii="Arial" w:cs="Arial" w:eastAsia="Arial" w:hAnsi="Arial"/>
                <w:sz w:val="18"/>
                <w:szCs w:val="18"/>
                <w:color w:val="auto"/>
                <w:w w:val="95"/>
              </w:rPr>
              <w:t>The following table summarizes the lease term and discount rate for operating leases:</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6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4"/>
              </w:rPr>
              <w:t>December 31,</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69"/>
        </w:trPr>
        <w:tc>
          <w:tcPr>
            <w:tcW w:w="6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ind w:left="40"/>
              <w:spacing w:after="0" w:line="196" w:lineRule="exact"/>
              <w:rPr>
                <w:sz w:val="20"/>
                <w:szCs w:val="20"/>
                <w:color w:val="auto"/>
              </w:rPr>
            </w:pPr>
            <w:r>
              <w:rPr>
                <w:rFonts w:ascii="Arial" w:cs="Arial" w:eastAsia="Arial" w:hAnsi="Arial"/>
                <w:sz w:val="18"/>
                <w:szCs w:val="18"/>
                <w:color w:val="auto"/>
              </w:rPr>
              <w:t>11.1 years</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color w:val="auto"/>
              </w:rPr>
              <w:t>11.5 years</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540"/>
              <w:spacing w:after="0"/>
              <w:rPr>
                <w:sz w:val="20"/>
                <w:szCs w:val="20"/>
                <w:color w:val="auto"/>
              </w:rPr>
            </w:pPr>
            <w:r>
              <w:rPr>
                <w:rFonts w:ascii="Arial" w:cs="Arial" w:eastAsia="Arial" w:hAnsi="Arial"/>
                <w:sz w:val="18"/>
                <w:szCs w:val="18"/>
                <w:color w:val="auto"/>
                <w:w w:val="95"/>
              </w:rPr>
              <w:t>7.0 %</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7.4 %</w:t>
            </w:r>
          </w:p>
        </w:tc>
      </w:tr>
      <w:tr>
        <w:trPr>
          <w:trHeight w:val="391"/>
        </w:trPr>
        <w:tc>
          <w:tcPr>
            <w:tcW w:w="6560" w:type="dxa"/>
            <w:vAlign w:val="bottom"/>
          </w:tcPr>
          <w:p>
            <w:pPr>
              <w:ind w:left="5460"/>
              <w:spacing w:after="0"/>
              <w:rPr>
                <w:sz w:val="20"/>
                <w:szCs w:val="20"/>
                <w:color w:val="auto"/>
              </w:rPr>
            </w:pPr>
            <w:r>
              <w:rPr>
                <w:rFonts w:ascii="Arial" w:cs="Arial" w:eastAsia="Arial" w:hAnsi="Arial"/>
                <w:sz w:val="18"/>
                <w:szCs w:val="18"/>
                <w:color w:val="auto"/>
              </w:rPr>
              <w:t>F-21</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2"/>
        </w:trPr>
        <w:tc>
          <w:tcPr>
            <w:tcW w:w="65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-1148080</wp:posOffset>
            </wp:positionV>
            <wp:extent cx="596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-1130935</wp:posOffset>
            </wp:positionV>
            <wp:extent cx="596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342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-1130935</wp:posOffset>
            </wp:positionV>
            <wp:extent cx="342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-1148080</wp:posOffset>
            </wp:positionV>
            <wp:extent cx="51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-1130935</wp:posOffset>
            </wp:positionV>
            <wp:extent cx="514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The following table summarizes the lease costs included in the measurement of lease liabilities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cash flows used for operating leases</w:t>
            </w:r>
          </w:p>
        </w:tc>
        <w:tc>
          <w:tcPr>
            <w:tcW w:w="860" w:type="dxa"/>
            <w:vAlign w:val="bottom"/>
            <w:shd w:val="clear" w:color="auto" w:fill="CFF0FC"/>
          </w:tcPr>
          <w:p>
            <w:pPr>
              <w:jc w:val="right"/>
              <w:ind w:right="67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11,462</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6,911</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4,950</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Operating lease liabilities arising from obtaining ROU assets</w:t>
            </w:r>
          </w:p>
        </w:tc>
        <w:tc>
          <w:tcPr>
            <w:tcW w:w="8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25,925</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74,723</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6,221</w:t>
            </w:r>
          </w:p>
        </w:tc>
      </w:tr>
    </w:tbl>
    <w:p>
      <w:pPr>
        <w:spacing w:after="0" w:line="7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At December 31, 2021, the future minimum lease payments for the Company’s operating leases for each of the next five years and total thereafter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57785</wp:posOffset>
            </wp:positionV>
            <wp:extent cx="14605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146050" cy="571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17,059</w:t>
            </w: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17,733</w:t>
            </w:r>
          </w:p>
        </w:tc>
      </w:tr>
      <w:tr>
        <w:trPr>
          <w:trHeight w:val="203"/>
        </w:trPr>
        <w:tc>
          <w:tcPr>
            <w:tcW w:w="9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18,269</w:t>
            </w: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18,703</w:t>
            </w:r>
          </w:p>
        </w:tc>
      </w:tr>
      <w:tr>
        <w:trPr>
          <w:trHeight w:val="203"/>
        </w:trPr>
        <w:tc>
          <w:tcPr>
            <w:tcW w:w="9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17,143</w:t>
            </w: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115,692</w:t>
            </w:r>
          </w:p>
        </w:tc>
      </w:tr>
      <w:tr>
        <w:trPr>
          <w:trHeight w:val="196"/>
        </w:trPr>
        <w:tc>
          <w:tcPr>
            <w:tcW w:w="9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undiscounted lease payments</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204,599</w:t>
            </w:r>
          </w:p>
        </w:tc>
      </w:tr>
      <w:tr>
        <w:trPr>
          <w:trHeight w:val="203"/>
        </w:trPr>
        <w:tc>
          <w:tcPr>
            <w:tcW w:w="9000" w:type="dxa"/>
            <w:vAlign w:val="bottom"/>
          </w:tcPr>
          <w:p>
            <w:pPr>
              <w:ind w:left="200"/>
              <w:spacing w:after="0" w:line="202" w:lineRule="exact"/>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(62,249 )</w:t>
            </w:r>
          </w:p>
        </w:tc>
      </w:tr>
      <w:tr>
        <w:trPr>
          <w:trHeight w:val="236"/>
        </w:trPr>
        <w:tc>
          <w:tcPr>
            <w:tcW w:w="90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142,350</w:t>
            </w:r>
          </w:p>
        </w:tc>
      </w:tr>
    </w:tbl>
    <w:p>
      <w:pPr>
        <w:spacing w:after="0" w:line="107"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In August 2020, the Company entered into a lease agreement with Alexandria Real Estate Equities, Inc., or the Landlord, to build a 100,000 square foot manufacturing facility in Research Triangle Park, North Carolina, intended to support a broad range of clinical programs. The lease has a term of 15 years following the commencement date and provides the Company the option to extend the lease term for two five-year terms. It is subject to fixed rate escalation increases and also provides up to $20.0 million for reimbursement of tenant improvements. As the lease had not commenced as of December 31, 2021, the Company has not recorded an operating lease ROU asset or lease liability for this lease in the consolidated balance sheets. The lease payments are subject to adjustment following the determination of the total project costs of the landlord. The initial estimate of the minimum amount of undiscounted lease payments due under this lease is $69.0 million. The Company anticipates that the facility will be operational in the first quarter of 2023 and that is when it will begin making rent payments. The tabular disclosure of minimum lease payments above does not include payments due under this lease.</w:t>
      </w:r>
    </w:p>
    <w:p>
      <w:pPr>
        <w:spacing w:after="0" w:line="6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August 2021, the Company executed a lease amendment to its April 2019 lease for office and laboratory space in Cambridge, Massachusetts to occupy additional space. The term of this lease will run concurrent with the term of the April 2019 lease. The initial estimate of the minimum amount of undiscounted lease payments due under this lease is $11.1 million. As the lease had not yet commenced as of December 31, 2021, the Company has not recorded an operating lease ROU asset or lease liability for this lease in the consolidated balance sheets. The tabular disclosure of minimum lease payments above does not include payments due under this lease.</w:t>
      </w:r>
    </w:p>
    <w:p>
      <w:pPr>
        <w:spacing w:after="0" w:line="81"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In October 2021, the Company executed a lease for additional office and laboratory space at an existing facility. The term of this lease will run through December 31, 2025. As part of this lease, the Company took access to the remainder of this space in January 2022 and will record an operating lease ROU asset and lease liability during the first quarter of 2022. The initial estimate of the minimum amount of undiscounted lease payments due under this lease is $2.6 million. Additionally, in February 2022, the Company executed a lease for additional office and laboratory space at this facility with a lease term to run through December 31, 2025. The Company took access to this space in February 2022 and will record an operating lease ROU asset and lease liability during the first quarter of 2022. The initial estimate of the minimum amount of undiscounted lease payments due under this lease is $3.1 million. The tabular disclosure of minimum lease payments above does not include the payments under this segment of the lease.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10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July 2019, the Company sold certain equipment to a leasing company for a total of $3.8 million, and, concurrently, entered into a lease agreement with the leasing company to lease back the equipment for an annual rent of $1.0 million over a term of four years.</w:t>
      </w:r>
    </w:p>
    <w:p>
      <w:pPr>
        <w:spacing w:after="0" w:line="63" w:lineRule="exact"/>
        <w:rPr>
          <w:sz w:val="20"/>
          <w:szCs w:val="20"/>
          <w:color w:val="auto"/>
        </w:rPr>
      </w:pPr>
    </w:p>
    <w:p>
      <w:pPr>
        <w:ind w:right="740"/>
        <w:spacing w:after="0" w:line="291" w:lineRule="auto"/>
        <w:rPr>
          <w:sz w:val="20"/>
          <w:szCs w:val="20"/>
          <w:color w:val="auto"/>
        </w:rPr>
      </w:pPr>
      <w:r>
        <w:rPr>
          <w:rFonts w:ascii="Arial" w:cs="Arial" w:eastAsia="Arial" w:hAnsi="Arial"/>
          <w:sz w:val="17"/>
          <w:szCs w:val="17"/>
          <w:color w:val="auto"/>
        </w:rPr>
        <w:t>In October 2019, the Company sold additional equipment to the leasing company for a total of $2.4 million and, concurrently, entered into a lease agreement with the leasing company to lease back the equipment for an annual rent of $0.7 million over a term of four years.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8" w:name="page159"/>
    <w:bookmarkEnd w:id="158"/>
    <w:p>
      <w:pPr>
        <w:ind w:right="680"/>
        <w:spacing w:after="0" w:line="291" w:lineRule="auto"/>
        <w:rPr>
          <w:sz w:val="20"/>
          <w:szCs w:val="20"/>
          <w:color w:val="auto"/>
        </w:rPr>
      </w:pPr>
      <w:r>
        <w:rPr>
          <w:rFonts w:ascii="Arial" w:cs="Arial" w:eastAsia="Arial" w:hAnsi="Arial"/>
          <w:sz w:val="17"/>
          <w:szCs w:val="17"/>
          <w:color w:val="auto"/>
        </w:rPr>
        <w:t>In February 2020, the Company sold additional equipment to the leasing company for a total of $1.6 million and, concurrently, entered into a lease agreement with the leasing company to lease back the equipment for an annual rent of $0.5 million over a term of four years.</w:t>
      </w:r>
    </w:p>
    <w:p>
      <w:pPr>
        <w:spacing w:after="0" w:line="39"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color w:val="auto"/>
        </w:rPr>
        <w:t>In December 2020, the Company sold additional equipment to the leasing company for a total of $1.6 million and, concurrently, entered into a lease agreement with the leasing company to lease back the equipment for an annual rent of $0.5 million over a term of four years.</w:t>
      </w:r>
    </w:p>
    <w:p>
      <w:pPr>
        <w:spacing w:after="0" w:line="3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equipment leases are being accounted for as financings as the lease terms are for substantially all the remaining economic life of the underlying equipment. The Company concluded that control, including the significant risks and rewards of ownership, did not effectively transfer to the buyer-lessor at the inception of the sale and leaseback transactions. As a result, the transactions are accounted for as failed sale and leasebacks and result in the recognition of financing liabilities.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payments related to the equipment financing obligations for each of the next five years were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2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Amount</w:t>
            </w:r>
          </w:p>
        </w:tc>
      </w:tr>
      <w:tr>
        <w:trPr>
          <w:trHeight w:val="196"/>
        </w:trPr>
        <w:tc>
          <w:tcPr>
            <w:tcW w:w="9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2,663</w:t>
            </w: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2,013</w:t>
            </w:r>
          </w:p>
        </w:tc>
      </w:tr>
      <w:tr>
        <w:trPr>
          <w:trHeight w:val="203"/>
        </w:trPr>
        <w:tc>
          <w:tcPr>
            <w:tcW w:w="9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511</w:t>
            </w:r>
          </w:p>
        </w:tc>
      </w:tr>
      <w:tr>
        <w:trPr>
          <w:trHeight w:val="203"/>
        </w:trPr>
        <w:tc>
          <w:tcPr>
            <w:tcW w:w="900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90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90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5,187</w:t>
            </w:r>
          </w:p>
        </w:tc>
      </w:tr>
      <w:tr>
        <w:trPr>
          <w:trHeight w:val="203"/>
        </w:trPr>
        <w:tc>
          <w:tcPr>
            <w:tcW w:w="9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Less: amounts representing interest at 8.76%</w:t>
            </w: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(568 )</w:t>
            </w:r>
          </w:p>
        </w:tc>
      </w:tr>
      <w:tr>
        <w:trPr>
          <w:trHeight w:val="203"/>
        </w:trPr>
        <w:tc>
          <w:tcPr>
            <w:tcW w:w="9000" w:type="dxa"/>
            <w:vAlign w:val="bottom"/>
          </w:tcPr>
          <w:p>
            <w:pPr>
              <w:ind w:left="200"/>
              <w:spacing w:after="0" w:line="202" w:lineRule="exact"/>
              <w:rPr>
                <w:sz w:val="20"/>
                <w:szCs w:val="20"/>
                <w:color w:val="auto"/>
              </w:rPr>
            </w:pPr>
            <w:r>
              <w:rPr>
                <w:rFonts w:ascii="Arial" w:cs="Arial" w:eastAsia="Arial" w:hAnsi="Arial"/>
                <w:sz w:val="18"/>
                <w:szCs w:val="18"/>
                <w:color w:val="auto"/>
              </w:rPr>
              <w:t>Plus: residual values</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675</w:t>
            </w:r>
          </w:p>
        </w:tc>
      </w:tr>
      <w:tr>
        <w:trPr>
          <w:trHeight w:val="236"/>
        </w:trPr>
        <w:tc>
          <w:tcPr>
            <w:tcW w:w="90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Financing obligations</w:t>
            </w:r>
          </w:p>
        </w:tc>
        <w:tc>
          <w:tcPr>
            <w:tcW w:w="2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5,294</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breakdown of the principal and interest portions of the equipment financing payments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5"/>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Paydown of principal</w:t>
            </w:r>
          </w:p>
        </w:tc>
        <w:tc>
          <w:tcPr>
            <w:tcW w:w="920" w:type="dxa"/>
            <w:vAlign w:val="bottom"/>
            <w:shd w:val="clear" w:color="auto" w:fill="CFF0FC"/>
          </w:tcPr>
          <w:p>
            <w:pPr>
              <w:jc w:val="right"/>
              <w:ind w:right="739"/>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2,118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1,569</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464</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Payment of interest</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Guide acquisition</w:t>
      </w:r>
    </w:p>
    <w:p>
      <w:pPr>
        <w:spacing w:after="0" w:line="10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 xml:space="preserve">On February 23, 2021, the Company entered into the Guide Merger Agreement. Under the Guide Merger Agreement, the Company paid Guide’s former stockholders and optionholders upfront consideration in an aggregate amount of $120.0 million, excluding customary purchase price adjustments and closing costs, in shares of the Company’s common stock, based upon the volume-weighted average price of the Company’s stock over the ten trading-day period ending on February 19, 2021. Pursuant to the Guide Merger Agreement, the Company acquired all of the issued and outstanding shares of Guide. The Company issued a total of 1,087,153 shares of its common stock valued at $120.0 million in connection with the upfront payment to Guide’s former stockholders and optionholders. The Guide transaction resulted in the acquisition of certain know-how and intellectual property assets related to Guide’s proprietary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LNP screening technology and its library of lipids and lipid nanoparticle formulations identified using the screening technology. Management determined that the acquired assets do not meet the definition of a business pursuant to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substantially all of the fair value of the acquired assets is concentrated into one identifiable asset, the LNP screening technology and associated lipid library. As of the date of closing of the transactions contemplated by the Guide Merger Agreement, or the Guide Merger Agreement Date, the asset acquired had no alternative future use and had not reached a stage of technological feasibility. As a result, all share-based and cash payment obligations have been recorded as research and development expense in the consolidated statements of operations and other comprehensive loss in the amount of $155.0 million. The total transaction price was allocated to the assets acquired and liabilities assumed on a relative fair value basis.</w:t>
      </w:r>
    </w:p>
    <w:p>
      <w:pPr>
        <w:spacing w:after="0" w:line="6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Guide’s former stockholders and optionholders are eligible to receive up to an additional $100.0 million in technology milestone payments and $220.0 million in product milestone payments, payable in the Company’s common stock valued using the volume-weighted average price of the Company’s stock over the ten trading-day period ending two trading days prior to the date on which the applicable milestone is received.</w:t>
      </w:r>
    </w:p>
    <w:p>
      <w:pPr>
        <w:spacing w:after="0" w:line="56"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Company determined that all future technology and product milestone payments are classified as contingent consideration liabilities under ASC 480 and therefore the Company recorded a liability for these milestone payments as of the Guide Merger Agreement Date at fair value of $36.5 million. These contingent consideration liabilities are remeasured at fair value each financial reporting period, with the resulting impact reflected in the Company’s consolidated statements of operations and other comprehensive loss, presented within other income (expense).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The transaction price was determined and allocated as follows (in thousands):</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08"/>
        </w:trPr>
        <w:tc>
          <w:tcPr>
            <w:tcW w:w="90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203"/>
        </w:trPr>
        <w:tc>
          <w:tcPr>
            <w:tcW w:w="9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Transaction price</w:t>
            </w:r>
          </w:p>
        </w:tc>
        <w:tc>
          <w:tcPr>
            <w:tcW w:w="7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r>
      <w:tr>
        <w:trPr>
          <w:trHeight w:val="203"/>
        </w:trPr>
        <w:tc>
          <w:tcPr>
            <w:tcW w:w="9060" w:type="dxa"/>
            <w:vAlign w:val="bottom"/>
          </w:tcPr>
          <w:p>
            <w:pPr>
              <w:ind w:left="20"/>
              <w:spacing w:after="0" w:line="202" w:lineRule="exact"/>
              <w:rPr>
                <w:sz w:val="20"/>
                <w:szCs w:val="20"/>
                <w:color w:val="auto"/>
              </w:rPr>
            </w:pPr>
            <w:r>
              <w:rPr>
                <w:rFonts w:ascii="Arial" w:cs="Arial" w:eastAsia="Arial" w:hAnsi="Arial"/>
                <w:sz w:val="18"/>
                <w:szCs w:val="18"/>
                <w:color w:val="auto"/>
              </w:rPr>
              <w:t>Fair value of equity instruments issued</w:t>
            </w:r>
          </w:p>
        </w:tc>
        <w:tc>
          <w:tcPr>
            <w:tcW w:w="700" w:type="dxa"/>
            <w:vAlign w:val="bottom"/>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120,032</w:t>
            </w:r>
          </w:p>
        </w:tc>
        <w:tc>
          <w:tcPr>
            <w:tcW w:w="280" w:type="dxa"/>
            <w:vAlign w:val="bottom"/>
          </w:tcPr>
          <w:p>
            <w:pPr>
              <w:spacing w:after="0"/>
              <w:rPr>
                <w:sz w:val="17"/>
                <w:szCs w:val="17"/>
                <w:color w:val="auto"/>
              </w:rPr>
            </w:pPr>
          </w:p>
        </w:tc>
      </w:tr>
      <w:tr>
        <w:trPr>
          <w:trHeight w:val="203"/>
        </w:trPr>
        <w:tc>
          <w:tcPr>
            <w:tcW w:w="9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Technology and product contingent consideration liabilities</w:t>
            </w:r>
          </w:p>
        </w:tc>
        <w:tc>
          <w:tcPr>
            <w:tcW w:w="7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36,513</w:t>
            </w:r>
          </w:p>
        </w:tc>
        <w:tc>
          <w:tcPr>
            <w:tcW w:w="280" w:type="dxa"/>
            <w:vAlign w:val="bottom"/>
            <w:shd w:val="clear" w:color="auto" w:fill="CFF0FC"/>
          </w:tcPr>
          <w:p>
            <w:pPr>
              <w:spacing w:after="0"/>
              <w:rPr>
                <w:sz w:val="17"/>
                <w:szCs w:val="17"/>
                <w:color w:val="auto"/>
              </w:rPr>
            </w:pPr>
          </w:p>
        </w:tc>
      </w:tr>
      <w:tr>
        <w:trPr>
          <w:trHeight w:val="203"/>
        </w:trPr>
        <w:tc>
          <w:tcPr>
            <w:tcW w:w="9060" w:type="dxa"/>
            <w:vAlign w:val="bottom"/>
          </w:tcPr>
          <w:p>
            <w:pPr>
              <w:ind w:left="20"/>
              <w:spacing w:after="0" w:line="202" w:lineRule="exact"/>
              <w:rPr>
                <w:sz w:val="20"/>
                <w:szCs w:val="20"/>
                <w:color w:val="auto"/>
              </w:rPr>
            </w:pPr>
            <w:r>
              <w:rPr>
                <w:rFonts w:ascii="Arial" w:cs="Arial" w:eastAsia="Arial" w:hAnsi="Arial"/>
                <w:sz w:val="18"/>
                <w:szCs w:val="18"/>
                <w:color w:val="auto"/>
              </w:rPr>
              <w:t>Transaction costs</w:t>
            </w:r>
          </w:p>
        </w:tc>
        <w:tc>
          <w:tcPr>
            <w:tcW w:w="7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2,531</w:t>
            </w:r>
          </w:p>
        </w:tc>
        <w:tc>
          <w:tcPr>
            <w:tcW w:w="280" w:type="dxa"/>
            <w:vAlign w:val="bottom"/>
          </w:tcPr>
          <w:p>
            <w:pPr>
              <w:spacing w:after="0"/>
              <w:rPr>
                <w:sz w:val="17"/>
                <w:szCs w:val="17"/>
                <w:color w:val="auto"/>
              </w:rPr>
            </w:pPr>
          </w:p>
        </w:tc>
      </w:tr>
      <w:tr>
        <w:trPr>
          <w:trHeight w:val="196"/>
        </w:trPr>
        <w:tc>
          <w:tcPr>
            <w:tcW w:w="90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transaction price</w:t>
            </w:r>
          </w:p>
        </w:tc>
        <w:tc>
          <w:tcPr>
            <w:tcW w:w="700" w:type="dxa"/>
            <w:vAlign w:val="bottom"/>
            <w:tcBorders>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159,076</w:t>
            </w:r>
          </w:p>
        </w:tc>
        <w:tc>
          <w:tcPr>
            <w:tcW w:w="280" w:type="dxa"/>
            <w:vAlign w:val="bottom"/>
            <w:tcBorders>
              <w:bottom w:val="single" w:sz="8" w:color="CFF0FC"/>
            </w:tcBorders>
            <w:shd w:val="clear" w:color="auto" w:fill="CFF0FC"/>
          </w:tcPr>
          <w:p>
            <w:pPr>
              <w:spacing w:after="0"/>
              <w:rPr>
                <w:sz w:val="17"/>
                <w:szCs w:val="17"/>
                <w:color w:val="auto"/>
              </w:rPr>
            </w:pPr>
          </w:p>
        </w:tc>
      </w:tr>
      <w:tr>
        <w:trPr>
          <w:trHeight w:val="196"/>
        </w:trPr>
        <w:tc>
          <w:tcPr>
            <w:tcW w:w="90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Transaction price allocated</w:t>
            </w: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9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In-process research and development</w:t>
            </w:r>
          </w:p>
        </w:tc>
        <w:tc>
          <w:tcPr>
            <w:tcW w:w="700" w:type="dxa"/>
            <w:vAlign w:val="bottom"/>
            <w:shd w:val="clear" w:color="auto" w:fill="CFF0FC"/>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154,953</w:t>
            </w:r>
          </w:p>
        </w:tc>
        <w:tc>
          <w:tcPr>
            <w:tcW w:w="280" w:type="dxa"/>
            <w:vAlign w:val="bottom"/>
            <w:shd w:val="clear" w:color="auto" w:fill="CFF0FC"/>
          </w:tcPr>
          <w:p>
            <w:pPr>
              <w:spacing w:after="0"/>
              <w:rPr>
                <w:sz w:val="17"/>
                <w:szCs w:val="17"/>
                <w:color w:val="auto"/>
              </w:rPr>
            </w:pPr>
          </w:p>
        </w:tc>
      </w:tr>
      <w:tr>
        <w:trPr>
          <w:trHeight w:val="203"/>
        </w:trPr>
        <w:tc>
          <w:tcPr>
            <w:tcW w:w="9060" w:type="dxa"/>
            <w:vAlign w:val="bottom"/>
          </w:tcPr>
          <w:p>
            <w:pPr>
              <w:ind w:left="20"/>
              <w:spacing w:after="0" w:line="202" w:lineRule="exact"/>
              <w:rPr>
                <w:sz w:val="20"/>
                <w:szCs w:val="20"/>
                <w:color w:val="auto"/>
              </w:rPr>
            </w:pPr>
            <w:r>
              <w:rPr>
                <w:rFonts w:ascii="Arial" w:cs="Arial" w:eastAsia="Arial" w:hAnsi="Arial"/>
                <w:sz w:val="18"/>
                <w:szCs w:val="18"/>
                <w:color w:val="auto"/>
              </w:rPr>
              <w:t>Cash acquired</w:t>
            </w:r>
          </w:p>
        </w:tc>
        <w:tc>
          <w:tcPr>
            <w:tcW w:w="7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3,151</w:t>
            </w:r>
          </w:p>
        </w:tc>
        <w:tc>
          <w:tcPr>
            <w:tcW w:w="280" w:type="dxa"/>
            <w:vAlign w:val="bottom"/>
          </w:tcPr>
          <w:p>
            <w:pPr>
              <w:spacing w:after="0"/>
              <w:rPr>
                <w:sz w:val="17"/>
                <w:szCs w:val="17"/>
                <w:color w:val="auto"/>
              </w:rPr>
            </w:pPr>
          </w:p>
        </w:tc>
      </w:tr>
      <w:tr>
        <w:trPr>
          <w:trHeight w:val="203"/>
        </w:trPr>
        <w:tc>
          <w:tcPr>
            <w:tcW w:w="9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7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264</w:t>
            </w:r>
          </w:p>
        </w:tc>
        <w:tc>
          <w:tcPr>
            <w:tcW w:w="280" w:type="dxa"/>
            <w:vAlign w:val="bottom"/>
            <w:shd w:val="clear" w:color="auto" w:fill="CFF0FC"/>
          </w:tcPr>
          <w:p>
            <w:pPr>
              <w:spacing w:after="0"/>
              <w:rPr>
                <w:sz w:val="17"/>
                <w:szCs w:val="17"/>
                <w:color w:val="auto"/>
              </w:rPr>
            </w:pPr>
          </w:p>
        </w:tc>
      </w:tr>
      <w:tr>
        <w:trPr>
          <w:trHeight w:val="203"/>
        </w:trPr>
        <w:tc>
          <w:tcPr>
            <w:tcW w:w="906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7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1,835</w:t>
            </w:r>
          </w:p>
        </w:tc>
        <w:tc>
          <w:tcPr>
            <w:tcW w:w="280" w:type="dxa"/>
            <w:vAlign w:val="bottom"/>
          </w:tcPr>
          <w:p>
            <w:pPr>
              <w:spacing w:after="0"/>
              <w:rPr>
                <w:sz w:val="17"/>
                <w:szCs w:val="17"/>
                <w:color w:val="auto"/>
              </w:rPr>
            </w:pPr>
          </w:p>
        </w:tc>
      </w:tr>
      <w:tr>
        <w:trPr>
          <w:trHeight w:val="203"/>
        </w:trPr>
        <w:tc>
          <w:tcPr>
            <w:tcW w:w="90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Assembled workforce</w:t>
            </w:r>
          </w:p>
        </w:tc>
        <w:tc>
          <w:tcPr>
            <w:tcW w:w="7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w:t>
            </w:r>
          </w:p>
        </w:tc>
        <w:tc>
          <w:tcPr>
            <w:tcW w:w="280" w:type="dxa"/>
            <w:vAlign w:val="bottom"/>
            <w:shd w:val="clear" w:color="auto" w:fill="CFF0FC"/>
          </w:tcPr>
          <w:p>
            <w:pPr>
              <w:spacing w:after="0"/>
              <w:rPr>
                <w:sz w:val="17"/>
                <w:szCs w:val="17"/>
                <w:color w:val="auto"/>
              </w:rPr>
            </w:pPr>
          </w:p>
        </w:tc>
      </w:tr>
      <w:tr>
        <w:trPr>
          <w:trHeight w:val="203"/>
        </w:trPr>
        <w:tc>
          <w:tcPr>
            <w:tcW w:w="906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 assumed</w:t>
            </w:r>
          </w:p>
        </w:tc>
        <w:tc>
          <w:tcPr>
            <w:tcW w:w="700" w:type="dxa"/>
            <w:vAlign w:val="bottom"/>
          </w:tcPr>
          <w:p>
            <w:pPr>
              <w:spacing w:after="0"/>
              <w:rPr>
                <w:sz w:val="17"/>
                <w:szCs w:val="17"/>
                <w:color w:val="auto"/>
              </w:rPr>
            </w:pP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(1,427 )</w:t>
            </w:r>
          </w:p>
        </w:tc>
      </w:tr>
      <w:tr>
        <w:trPr>
          <w:trHeight w:val="236"/>
        </w:trPr>
        <w:tc>
          <w:tcPr>
            <w:tcW w:w="90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transaction price</w:t>
            </w:r>
          </w:p>
        </w:tc>
        <w:tc>
          <w:tcPr>
            <w:tcW w:w="700" w:type="dxa"/>
            <w:vAlign w:val="bottom"/>
            <w:tcBorders>
              <w:top w:val="single" w:sz="8" w:color="auto"/>
              <w:bottom w:val="single" w:sz="8" w:color="auto"/>
            </w:tcBorders>
            <w:shd w:val="clear" w:color="auto" w:fill="CFF0F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159,076</w:t>
            </w:r>
          </w:p>
        </w:tc>
        <w:tc>
          <w:tcPr>
            <w:tcW w:w="2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-1068070</wp:posOffset>
            </wp:positionV>
            <wp:extent cx="51435"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514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83" w:lineRule="exact"/>
        <w:rPr>
          <w:sz w:val="20"/>
          <w:szCs w:val="20"/>
          <w:color w:val="auto"/>
        </w:rPr>
      </w:pPr>
    </w:p>
    <w:p>
      <w:pPr>
        <w:ind w:right="9220" w:firstLine="8"/>
        <w:spacing w:after="0" w:line="434" w:lineRule="auto"/>
        <w:tabs>
          <w:tab w:leader="none" w:pos="180" w:val="left"/>
        </w:tabs>
        <w:numPr>
          <w:ilvl w:val="0"/>
          <w:numId w:val="8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License agreements </w:t>
      </w:r>
      <w:r>
        <w:rPr>
          <w:rFonts w:ascii="Arial" w:cs="Arial" w:eastAsia="Arial" w:hAnsi="Arial"/>
          <w:sz w:val="15"/>
          <w:szCs w:val="15"/>
          <w:b w:val="1"/>
          <w:bCs w:val="1"/>
          <w:i w:val="1"/>
          <w:iCs w:val="1"/>
          <w:color w:val="auto"/>
        </w:rPr>
        <w:t>Harvard license agreement</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June 2017, the Company entered into the Harvard License Agreement for certain base editing technology pursuant to which the Company received an exclusive, worldwide, sublicensable, royalty-bearing license under specified patent rights to develop and commercialize licensed products and a nonexclusive, worldwide, sublicensable, royalty-bearing license under certain patent rights to research and develop licensed products. The Company agreed to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exclusivity associated with a licensed product or (iii) a certain period after the first commercial sale of a licensed product, unless terminated earlier by either party under certain provisions.</w:t>
      </w:r>
    </w:p>
    <w:p>
      <w:pPr>
        <w:spacing w:after="0" w:line="6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As partial consideration for the rights granted under the Harvard License Agreement, the Company issued to Harvard 101,363 shares of the Company’s common stock. Additional consideration under the Harvard License Agreement included an Anti-Dilution Issuance Right, which was settled during the year ended December 31, 2018, Financing Milestone Payments related to Series A Preferred and Series B Preferred financings, which were paid and settled in the year ended December 31, 2019, and Success Payments, which are further described below. The Anti-Dilution Issuance Right and Financing Milestone Payments related to Series A Preferred and Series B Preferred financings were both expensed in the year 2018 and prior.</w:t>
      </w:r>
    </w:p>
    <w:p>
      <w:pPr>
        <w:spacing w:after="0" w:line="4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b w:val="1"/>
          <w:bCs w:val="1"/>
          <w:color w:val="auto"/>
        </w:rPr>
        <w:t xml:space="preserve">Success Payments </w:t>
      </w:r>
      <w:r>
        <w:rPr>
          <w:rFonts w:ascii="Arial" w:cs="Arial" w:eastAsia="Arial" w:hAnsi="Arial"/>
          <w:sz w:val="18"/>
          <w:szCs w:val="18"/>
          <w:color w:val="auto"/>
        </w:rPr>
        <w:t>– Under the Harvard License Agreement, Harvard is entitled to receive success payments, in cash or shares of Company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based upon the achievement of specified multiples of the initial weighted average value of the Company’s Series A Preferred at specified valuation dates. The success payments range from $5.0 million to a maximum of $105.0 million and have valuation multiples that range from 5 times to 40 times the initial weighted average value of the Series A Preferred. Subsequent to the Company’s February 2020 IPO, the amount of success payments is based on the market value of the Company's common stock.</w:t>
      </w:r>
    </w:p>
    <w:p>
      <w:pPr>
        <w:spacing w:after="0" w:line="8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Company is required to make success payments to Harvard during a period of time, or the Harvard Success Payment Period, which has been determined to be the later of (1) the ninth anniversary of the Harvard License Agreement or (2) the earlier of (a) the twelfth anniversary of the Harvard License Agreement and (b) the third anniversary of the first date on which a licensed product receives regulatory approval in the United States. During the Harvard Success Payment Period, the Company will perform a calculation of any amounts owed to Harvard on each rolling 90-day period, commencing one year after the Company’s IPO.</w:t>
      </w:r>
    </w:p>
    <w:p>
      <w:pPr>
        <w:spacing w:after="0" w:line="8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May 2021, the first success payment measurement occurred and amounts due to Harvard were calculated to be $15.0 million. The Company elected to make the payment in shares of the Company’s common stock and issued 174,825 shares of the Company’s common stock to settle this liability on June 10, 2021. The Company may owe Harvard success payments of up to an additional $90.0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success payment liability for Harvard (in thousands):</w:t>
      </w:r>
    </w:p>
    <w:p>
      <w:pPr>
        <w:spacing w:after="0" w:line="10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15240</wp:posOffset>
            </wp:positionV>
            <wp:extent cx="22459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8" w:lineRule="exact"/>
        <w:rPr>
          <w:sz w:val="20"/>
          <w:szCs w:val="20"/>
          <w:color w:val="auto"/>
        </w:rPr>
      </w:pPr>
    </w:p>
    <w:p>
      <w:pPr>
        <w:ind w:left="8340"/>
        <w:spacing w:after="0"/>
        <w:tabs>
          <w:tab w:leader="none" w:pos="101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15240</wp:posOffset>
            </wp:positionV>
            <wp:extent cx="22459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 w:lineRule="exact"/>
        <w:rPr>
          <w:sz w:val="20"/>
          <w:szCs w:val="20"/>
          <w:color w:val="auto"/>
        </w:rPr>
      </w:pPr>
    </w:p>
    <w:p>
      <w:pPr>
        <w:ind w:left="20"/>
        <w:spacing w:after="0"/>
        <w:tabs>
          <w:tab w:leader="none" w:pos="7700" w:val="left"/>
          <w:tab w:leader="none" w:pos="8760" w:val="left"/>
          <w:tab w:leader="none" w:pos="9560" w:val="left"/>
          <w:tab w:leader="none" w:pos="10600" w:val="left"/>
        </w:tabs>
        <w:rPr>
          <w:sz w:val="20"/>
          <w:szCs w:val="20"/>
          <w:color w:val="auto"/>
        </w:rPr>
      </w:pPr>
      <w:r>
        <w:rPr>
          <w:rFonts w:ascii="Arial" w:cs="Arial" w:eastAsia="Arial" w:hAnsi="Arial"/>
          <w:sz w:val="18"/>
          <w:szCs w:val="18"/>
          <w:color w:val="auto"/>
        </w:rPr>
        <w:t>Harvard success payment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89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color w:val="auto"/>
        </w:rPr>
        <w:t>The following table summarizes the expense resulting from the change in the fair value of the success payment liability for Harvard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Change in fair value of Harvard success payment liability</w:t>
            </w:r>
          </w:p>
        </w:tc>
        <w:tc>
          <w:tcPr>
            <w:tcW w:w="980" w:type="dxa"/>
            <w:vAlign w:val="bottom"/>
            <w:shd w:val="clear" w:color="auto" w:fill="CFF0FC"/>
          </w:tcPr>
          <w:p>
            <w:pPr>
              <w:jc w:val="right"/>
              <w:ind w:right="779"/>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500</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31,600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2,700</w:t>
            </w:r>
          </w:p>
        </w:tc>
      </w:tr>
    </w:tbl>
    <w:p>
      <w:pPr>
        <w:spacing w:after="0" w:line="103"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b w:val="1"/>
          <w:bCs w:val="1"/>
          <w:color w:val="auto"/>
        </w:rPr>
        <w:t xml:space="preserve">Other Payments </w:t>
      </w:r>
      <w:r>
        <w:rPr>
          <w:rFonts w:ascii="Arial" w:cs="Arial" w:eastAsia="Arial" w:hAnsi="Arial"/>
          <w:sz w:val="17"/>
          <w:szCs w:val="17"/>
          <w:color w:val="auto"/>
        </w:rPr>
        <w:t>– The Company agreed to pay Harvard an annual license maintenance fee ranging from low-to-mid five figures to low six figures,</w:t>
      </w:r>
      <w:r>
        <w:rPr>
          <w:rFonts w:ascii="Arial" w:cs="Arial" w:eastAsia="Arial" w:hAnsi="Arial"/>
          <w:sz w:val="17"/>
          <w:szCs w:val="17"/>
          <w:b w:val="1"/>
          <w:bCs w:val="1"/>
          <w:color w:val="auto"/>
        </w:rPr>
        <w:t xml:space="preserve"> </w:t>
      </w:r>
      <w:r>
        <w:rPr>
          <w:rFonts w:ascii="Arial" w:cs="Arial" w:eastAsia="Arial" w:hAnsi="Arial"/>
          <w:sz w:val="17"/>
          <w:szCs w:val="17"/>
          <w:color w:val="auto"/>
        </w:rPr>
        <w:t>depending on the calendar year. The Company is responsible for the payment of certain patent prosecution and maintenance costs incurred by Harvard related to licensed patents. To the extent achieved, the Company is obligated to pay up to an aggregate of $75.9 million in product development and regulatory approval milestones, or Harvard Product Milestones. If the Company completes a change of control during the term of the Harvard License Agreement, then certain of the milestone payments would be increased. To the extent there are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Harvard License Agreement to a third party and the Company receives non-royalty sublicense income, then Harvard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annual maintenance fees will be recorded as an expense on an annual basis based on the stated amount for the applicable year. Annual patent costs will be expensed as incurred. Upon determination that a Harvard Product Milestone is probable to occur, the amount due will be recorded as research and development expense. The Company will monitor the Harvard Product Milestone payments for this arrangement on an ongoing basis. In November 2021, the Company triggered a regulatory milestone owed under this agreement and recorded expense of $0.1 million for the year ended December 31, 2021. No expense was recorded for these milestones for the years ended December 31, 2020 and 2019. Lastly, to the extent products are commercialized under the Harvard License Agreement, the Company will accrue royalty expense and sublicense nonroyalty payments, as applicable, for the amount it is obligated to pay, with adjustments as sales are made. The Company has incurred $33.7 million of expense related to non-royalty sublicense fees owed to Harvard for the twelve months ended December 31,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 license agreement</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May 2018, the Broad License Agreement was entered into with Broad Institute for certain RNA base editing technology including an RNA editor platform. Under the Broad License Agreement, Broad Institute granted exclusive and non-exclusive worldwide, sublicensable, royalty-bearing licenses under specified patent rights to develop and commercialize licensed product and a nonexclusive, worldwide, sublicensable, royalty-bearing license under certain patent rights to research and develop licensed products. Under the agreement the Company shall use commercially reasonable efforts to develop licensed products in accordance with the development plan, to introduce any licensed products that gain regulatory approval into the commercial market, to market licensed products that have gained regulatory approval following such introduction into the market, and to make licensed products that have gained regulatory approval reasonably available to the public. The license term extends until the later of the expiration of (i) the last to expire licensed patent covering a licensed product, (ii) the period of regulatory exclusivity associated with a licensed product or (iii) a certain period after the first commercial sale of a licensed product unless terminated earlier by either party under certain provisions.</w:t>
      </w:r>
    </w:p>
    <w:p>
      <w:pPr>
        <w:spacing w:after="0" w:line="7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Additional consideration under the Broad License Agreement included an Anti-Dilution Issuance Right, which was paid and settled during the year ended December 31, 2018, Financing Milestone Payments related to Series A Preferred and Series B Preferred financings, which were settled in the year ended December 31, 2019, and Success Payments, which are further described below. The Anti-Dilution Issuance Right and Financing Milestone Payments related to Series A Preferred and Series B Preferred financings were both expensed in the year 2018.</w:t>
      </w:r>
    </w:p>
    <w:p>
      <w:pPr>
        <w:spacing w:after="0" w:line="6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color w:val="auto"/>
        </w:rPr>
        <w:t xml:space="preserve">Success Payments </w:t>
      </w:r>
      <w:r>
        <w:rPr>
          <w:rFonts w:ascii="Arial" w:cs="Arial" w:eastAsia="Arial" w:hAnsi="Arial"/>
          <w:sz w:val="18"/>
          <w:szCs w:val="18"/>
          <w:color w:val="auto"/>
        </w:rPr>
        <w:t>– Under the Broad License Agreement, Broad Institute is entitled to receive success payments, in cash or shares of Company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determined based upon the achievement of specified multiples of the initial weighted average value of the Series A Preferred at specified valuation dates. The success payments range from $5.0 million to a maximum of $105.0 million and have valuation multiples that range from 5 times to 40 times the initial weighted average value of the Series A Preferred. Subsequent to the February 2020 IPO, the amount of success payments is based on the market value of the Company’s common stock. 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calculation of any amounts owed to Broad Institute on each rolling 90-day period, commencing one year after the Company’s IPO.</w:t>
      </w:r>
    </w:p>
    <w:p>
      <w:pPr>
        <w:spacing w:after="0" w:line="8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In May 2021, the first success payment measurement occurred and amounts due to Broad Institute were calculated to be $15.0 million. The Company elected to make the payment in shares of the Company’s common stock and issued 174,825 shares of the Company’s common stock to settle this liability on June 10, 2021. The Company may owe Broad Institute success payments of up to an additional $90.0 million.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The following table summarizes the Company’s success payment liability for Broad Institute (in thousands):</w:t>
      </w:r>
    </w:p>
    <w:p>
      <w:pPr>
        <w:spacing w:after="0" w:line="109"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15240</wp:posOffset>
            </wp:positionV>
            <wp:extent cx="22459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8" w:lineRule="exact"/>
        <w:rPr>
          <w:sz w:val="20"/>
          <w:szCs w:val="20"/>
          <w:color w:val="auto"/>
        </w:rPr>
      </w:pPr>
    </w:p>
    <w:p>
      <w:pPr>
        <w:ind w:left="8340"/>
        <w:spacing w:after="0"/>
        <w:tabs>
          <w:tab w:leader="none" w:pos="101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15240</wp:posOffset>
            </wp:positionV>
            <wp:extent cx="22459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5" w:lineRule="exact"/>
        <w:rPr>
          <w:sz w:val="20"/>
          <w:szCs w:val="20"/>
          <w:color w:val="auto"/>
        </w:rPr>
      </w:pPr>
    </w:p>
    <w:p>
      <w:pPr>
        <w:ind w:left="20"/>
        <w:spacing w:after="0"/>
        <w:tabs>
          <w:tab w:leader="none" w:pos="7700" w:val="left"/>
          <w:tab w:leader="none" w:pos="8760" w:val="left"/>
          <w:tab w:leader="none" w:pos="9560" w:val="left"/>
          <w:tab w:leader="none" w:pos="10600" w:val="left"/>
        </w:tabs>
        <w:rPr>
          <w:sz w:val="20"/>
          <w:szCs w:val="20"/>
          <w:color w:val="auto"/>
        </w:rPr>
      </w:pPr>
      <w:r>
        <w:rPr>
          <w:rFonts w:ascii="Arial" w:cs="Arial" w:eastAsia="Arial" w:hAnsi="Arial"/>
          <w:sz w:val="18"/>
          <w:szCs w:val="18"/>
          <w:color w:val="auto"/>
        </w:rPr>
        <w:t>Broad Institute success payment liability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21,200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35,700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89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expense resulting from the change in the fair value of the success payment liability for Broad Institute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560" w:type="dxa"/>
            <w:vAlign w:val="bottom"/>
          </w:tcPr>
          <w:p>
            <w:pPr>
              <w:spacing w:after="0"/>
              <w:rPr>
                <w:sz w:val="14"/>
                <w:szCs w:val="14"/>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Change in fair value of Broad Institute success payment liability</w:t>
            </w:r>
          </w:p>
        </w:tc>
        <w:tc>
          <w:tcPr>
            <w:tcW w:w="980" w:type="dxa"/>
            <w:vAlign w:val="bottom"/>
            <w:shd w:val="clear" w:color="auto" w:fill="CFF0FC"/>
          </w:tcPr>
          <w:p>
            <w:pPr>
              <w:jc w:val="right"/>
              <w:ind w:right="779"/>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500</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31,800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2,700</w:t>
            </w:r>
          </w:p>
        </w:tc>
      </w:tr>
    </w:tbl>
    <w:p>
      <w:pPr>
        <w:spacing w:after="0" w:line="90"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b w:val="1"/>
          <w:bCs w:val="1"/>
          <w:color w:val="auto"/>
        </w:rPr>
        <w:t xml:space="preserve">Other Payments </w:t>
      </w:r>
      <w:r>
        <w:rPr>
          <w:rFonts w:ascii="Arial" w:cs="Arial" w:eastAsia="Arial" w:hAnsi="Arial"/>
          <w:sz w:val="17"/>
          <w:szCs w:val="17"/>
          <w:color w:val="auto"/>
        </w:rPr>
        <w:t>– The Company agreed to pay Broad Institute an annual license maintenance fee ranging from low-to-mid five figures to low six figures,</w:t>
      </w:r>
      <w:r>
        <w:rPr>
          <w:rFonts w:ascii="Arial" w:cs="Arial" w:eastAsia="Arial" w:hAnsi="Arial"/>
          <w:sz w:val="17"/>
          <w:szCs w:val="17"/>
          <w:b w:val="1"/>
          <w:bCs w:val="1"/>
          <w:color w:val="auto"/>
        </w:rPr>
        <w:t xml:space="preserve"> </w:t>
      </w:r>
      <w:r>
        <w:rPr>
          <w:rFonts w:ascii="Arial" w:cs="Arial" w:eastAsia="Arial" w:hAnsi="Arial"/>
          <w:sz w:val="17"/>
          <w:szCs w:val="17"/>
          <w:color w:val="auto"/>
        </w:rPr>
        <w:t>depending on the particular calendar year. The Company is responsible for the payment of certain patent prosecution and maintenance costs incurred by Broad Institute related to licensed patents. To the extent achieved, the Company is obligated to pay up to an aggregate of $75.9 million in product development and regulatory approval milestones, or Broad Product Milestones. If the Company completes a change of control during the term of the Broad License Agreement, then certain of the milestone payments would be increased. To the extent there are commercial sales of a licensed product, the Company is required to pay low single digit royalties on net sales. The Company is entitled to certain reductions and offsets on these royalties with respect to a licensed product in a given country. If the Company sublicenses its rights to develop or commercialize a licensed product under the Broad License Agreement to a third party and the Company receives non-royalty sublicense income, then Broad Institute is entitled to a percentage of such consideration, ranging from the high single digits to low double digits depending on the date in which such sublicense agreement is executed and the stage of development of the Company’s licensed products at such time.</w:t>
      </w:r>
    </w:p>
    <w:p>
      <w:pPr>
        <w:spacing w:after="0" w:line="76"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annual maintenance fees will be recorded as an expense on an annual basis based on the stated amount for the applicable year. Annual patent costs will be expensed as incurred. Upon determination that a Broad Product Milestone is probable to occur, the amount due will be recorded as research and development expense. The Company will monitor the Broad Product Milestone payments for this arrangement on an ongoing basis. The triggering of these milestone payments was not considered probable as of the acquisition date, and no expense has been recorded for these milestones during the years ended December 31, 2021, 2020 and 2019. Lastly, to the extent products are commercialized under the Broad License Agreement, the Company will accrue royalty expense and sublicense nonroyalty payments, as applicable, for the amount it is obligated to pay, with adjustments as sales are made. The Company has incurred $6.1 million of expense related to non-royalty sublicense fees owed to Broad Institute for the twelve months ended December 31, 2021.</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Editas license agreement</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May 2018, the Company entered into a license agreement, or the Editas License Agreement, with Editas Medicine, Inc., or Editas. Pursuant to the Editas License Agreement, Editas granted to the Company licenses and options to acquire licenses to certain intellectual property rights owned or controlled by Editas, for specified uses. More specifically, Editas granted to the Company a worldwide, exclusive, sublicensable, license (subject to certain exceptions and conditions) under certain intellectual property controlled by Editas for the use of base editing therapies for the treatment of any field of human diseases and conditions, subject to certain exceptions, or the Beam Field, and the licenses granted or to be granted under the Editas License Agreement, or the Editas Development and Commercialization License. Additionally, Editas granted to the Company a royalty-free, non-exclusive license under certain intellectual property owned or controlled by Editas to perform research activities in the Beam Field, or the Editas Research License. Editas provided the Company with an exclusive option to obtain an Editas Development and Commercialization License to three additional groups of intellectual property owned or controlled by Editas, on a group by group basis, during the specified option period, subject to certain exceptions. Pursuant to the Editas License Agreement, the Company will use commercially reasonable efforts to develop a product that includes the rights licensed to the Company within a specified period of time and to commercialize any such products that have received regulatory approval in certain specified countries.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2" w:name="page163"/>
    <w:bookmarkEnd w:id="162"/>
    <w:p>
      <w:pPr>
        <w:spacing w:after="0" w:line="273" w:lineRule="auto"/>
        <w:rPr>
          <w:sz w:val="20"/>
          <w:szCs w:val="20"/>
          <w:color w:val="auto"/>
        </w:rPr>
      </w:pPr>
      <w:r>
        <w:rPr>
          <w:rFonts w:ascii="Arial" w:cs="Arial" w:eastAsia="Arial" w:hAnsi="Arial"/>
          <w:sz w:val="16"/>
          <w:szCs w:val="16"/>
          <w:color w:val="auto"/>
        </w:rPr>
        <w:t>Additional consideration will be due to Editas if the Company elects to exercise its option to obtain an Editas Development and Commercialization License to any of the three categories of intellectual property underlying the Editas Research License, for a fee ranging from a mid-teen million dollar amount to a low to mid-eight digit dollar amount per group, depending on the timing of the option exercise. Additionally, the Company is required to reimburse Editas for certain payments Editas may be obligated to make under existing Editas license agreements related to the intellectual property being licensed to the Company, including (i) development, regulatory and commercial milestone payments and certain sublicense income payments due as a result of the Editas License Agreement and (ii) a percentage of the annual maintenance fees and patent fees due to certain of the Editas’ licensors. In addition, to the extent any products are commercialized under an Editas Development and Commercialization License, the Company would be required to make royalty payments equivalent to the royalties that would be due from Editas to any applicable licensors of Editas related to the sales of such licensed products, plus an additional tiered low- to mid-single digit royalty, depending on whether such licensed product is covered by an Editas-owned patent.</w:t>
      </w:r>
    </w:p>
    <w:p>
      <w:pPr>
        <w:spacing w:after="0" w:line="6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license rights and option rights granted by Editas to the Company are subject to the terms and conditions of the underlying license agreements that Editas is a party to and under which Editas licensed rights or option rights to the Company and the termination of such in-licenses, as applicable. Unless earlier terminated by either party pursuant to the terms of the agreement, the Editas License Agreement will continue in full force and effect and will expire on a licensed product-by licensed product and country-by-country basis upon the later of (i) the last-to-expire royalty term under any applicable institutional license to Editas and (ii) the date at which such product is no longer covered by a valid claim of a licensed Editas-owned patent in such country. The Company has the right, at its sole discretion, at any time to terminate the Editas License Agreement in its entirety or on a group-by-group of intellectual property basis, upon ninety days written notice to Editas. Upon termination of the Editas License Agreement, all rights and licenses granted by Editas to the Company (including the rights to exercise options and obtain such licenses) will immediately terminate and patents within a group of patents will no longer be deemed licensed patents. Expiration or termination of the Editas License Agreement for any reason does not release either party of any obligation or liability which had accrued, or which is attributable to a period prior to such expiration or termination.</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option exercise fees under the agreement will be recorded as research and development expense, if and when the Company exercises such options. To date, no options have been exercised. The annual maintenance fees are recorded as an expense on an annual basis based on the stated amount for the applicable year. Annual patent costs are expensed as incurred. In addition, the Company is required to make certain development, regulatory and commercial milestone payments to Editas upon the achievement of specified milestones. During the twelve months ended December 31, 2021, the Company recognized $0.1 million of expense as it determined that it owed a regulatory milestone payment to Editas under the License Agreement. No expense has been recorded for these milestones during the years ended December 31, 2020 and 2019. To the extent applicable, sublicense income payments will be accrued for the amount the Company is obligated to pay under each applicable in-license as amounts are due to Editas. Lastly, to the extent products are commercialized under the Editas License agreement, the Company will accrue royalty expense for the amount it is obligated to pay, with adjustments as sales are made.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 Palette license agreement</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In March 2019, the Company entered into a license agreement with Bio Palette pursuant to which the Company received an exclusive (even as to Bio Palette), sublicensable license under certain patent rights related to base editing owned or controlled by Bio Palette to exploit products for the treatment of human disease throughout the world, but excluding products in the microbiome field in Asia (the “Bio Palette License Agreement”). In addition, the Company granted Bio Palette an exclusive (even as to the Company) license under certain patent rights related to base editing and gene editing owned or controlled by the Company to exploit products in the microbiome field in Asia. Each party to the agreement retains non-exclusive rights to develop and manufacture products in the microbiome field worldwide for the sole purpose of exploiting those products in its own territory. Each party agrees to certain coordination obligations in the microbiome field if either party determines not to exploit their rights in such field. Unless earlier terminated, the Bio Palette License Agreement will expire on a licensed product-by-licensed product and country-by-country basis upon the expiration of the applicable royalty term for each such licensed product and country. To the extent products are commercialized under the Bio Palette License Agreement, the Company will accrue royalty expense for the amount it is obligated to pay, with adjustments as sales are made.</w:t>
      </w:r>
    </w:p>
    <w:p>
      <w:pPr>
        <w:spacing w:after="0" w:line="7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Company also agreed to pay a royalty at a fraction of a percent on net sales of products that are covered by the patents licensed by Bio Palette to the Company, and Bio Palette agreed to pay a royalty at a fraction of a percent on net sales of products that are covered by the patents licensed by the Company to Bio Palette. The royalty term for a product in a country will terminate on the later of the expiration of (i) patent-based exclusivity with respect to such licensed product in such country or (ii) regulatory exclusivity with respect to such licensed product in such country.</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63" w:name="page164"/>
    <w:bookmarkEnd w:id="163"/>
    <w:p>
      <w:pPr>
        <w:ind w:right="20"/>
        <w:spacing w:after="0"/>
        <w:rPr>
          <w:sz w:val="20"/>
          <w:szCs w:val="20"/>
          <w:color w:val="auto"/>
        </w:rPr>
      </w:pPr>
      <w:r>
        <w:rPr>
          <w:rFonts w:ascii="Arial" w:cs="Arial" w:eastAsia="Arial" w:hAnsi="Arial"/>
          <w:sz w:val="18"/>
          <w:szCs w:val="18"/>
          <w:color w:val="auto"/>
        </w:rPr>
        <w:t>Upon the execution of the Bio Palette License Agreement, the Company paid Bio Palette an upfront fee of $0.5 million and issued to Bio Palette 16,725 shares of its common stock valued at $0.1 million, which were recorded as research and development expense for the year ended December 31, 2019. Upon the issuance of a certain Bio Palette patent in the United States in June 2020, the Company made a milestone payment of $2.0 million and, in July 2020, issued to Bio Palette 175,000 shares of its common stock valued at $0.3 million, which were recognized as research and development expense. The fair value of the common stock issued to Bio Palette under the Bio Palette License Agreement was measured at the inception of arrangement and expensed when the issuance of shares became probable.</w:t>
      </w:r>
    </w:p>
    <w:p>
      <w:pPr>
        <w:spacing w:after="0" w:line="8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Management concluded that the licenses acquired from each transaction above did not meet the accounting definition of a business as inputs, but no processes or outputs were acquired with the licenses, and the licensed technology had not achieved technological feasibility. As the inputs that were acquired along with the licenses do not constitute a “business,” the transactions have been accounted as asset acquisitions. As of the date of each License Agreement, the assets acquired had no alternative future use and the assets had not reached a stage of technological feasibility. As a result, all share-based and cash payment obligations have been recorded as research and development expense in the accompanying consolidated statements of operations and other comprehensive loss.</w:t>
      </w:r>
    </w:p>
    <w:p>
      <w:pPr>
        <w:spacing w:after="0" w:line="77" w:lineRule="exact"/>
        <w:rPr>
          <w:sz w:val="20"/>
          <w:szCs w:val="20"/>
          <w:color w:val="auto"/>
        </w:rPr>
      </w:pPr>
    </w:p>
    <w:p>
      <w:pPr>
        <w:ind w:right="8080" w:firstLine="8"/>
        <w:spacing w:after="0" w:line="362" w:lineRule="auto"/>
        <w:tabs>
          <w:tab w:leader="none" w:pos="27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and license agreements </w:t>
      </w:r>
      <w:r>
        <w:rPr>
          <w:rFonts w:ascii="Arial" w:cs="Arial" w:eastAsia="Arial" w:hAnsi="Arial"/>
          <w:sz w:val="18"/>
          <w:szCs w:val="18"/>
          <w:b w:val="1"/>
          <w:bCs w:val="1"/>
          <w:i w:val="1"/>
          <w:iCs w:val="1"/>
          <w:color w:val="auto"/>
        </w:rPr>
        <w:t>Pfizer</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In December 2021, the Company entered into a research collaboration agreement, or the Pfizer Agreement, with Pfizer Inc., or Pfizer, focused on the use of certain of the Company’s base editing technology to develop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therapies for rare genetic diseases of the liver, muscle, and central nervous system. Under the terms of the Pfizer Agreement, the Company will apply certain of its base editing technology and conduct all research activities through development candidate selection for three base editing programs that target specific genes corresponding to specific diseases that are the subject of such programs. Pfizer will have exclusive rights to license each of the three programs at no additional cost, each an Opt-In Right, and will assume responsibility for subsequent development and commercialization. At the end of the Phase 1/2 studies, the Company may elect to enter into a global co-development and co-commercialization agreement with Pfizer with respect to one program licensed under the collaboration for an option exercise fee equal to a percentage of the applicable development costs incurred by Pfizer, or the Participation Election. In the event the Company elects to exercise its Participation Election, upon the payment of its option exercise fee, Pfizer and the Company would share net profits as well as development and commercialization costs in a 65%/35% (Pfizer/Company) split for such program. The research collaboration will be managed on an overall basis by a Joint Research Committee, or JRC, formed by an equal number of representatives from the Company and Pfizer.</w:t>
      </w:r>
    </w:p>
    <w:p>
      <w:pPr>
        <w:spacing w:after="0" w:line="7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At the inception of the Pfizer Agreement, the Company is entitled to receive a nonrefundable upfront payment of $300.0 million in consideration for the rights granted to Pfizer under the collaboration. Should Pfizer exercise its Opt-In Right for any of the three programs, the Company would be eligible to receive development, regulatory, and commercial milestones of up to $350.0 million per program, for a potential total consideration of up to $1.35 billion, plus royalty payments on global net sales for each licensed program. If Pfizer does not exercise its Opt-In Right for a program, the Company’s rights in such program revert to the Company and the Company will be required to pay Pfizer earn-out payments equal to a low single digit percentage of net sales earned on such program for a ten-year period. As the $300.0 million upfront fee was not received by the Company as of December 31, 2021, the Company recorded a collaboration receivable for $300.0 million with a corresponding deferred revenue liability. The Company received the $300.0 million in January 2022.</w:t>
      </w:r>
    </w:p>
    <w:p>
      <w:pPr>
        <w:spacing w:after="0" w:line="8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During the collaboration term, Pfizer has a one-time option to substitute a disease that is the subject of a specific program with one pre-defined substitute disease. The collaboration has an initial term of four years and may be extended for an additional one year on a program-by-program basis. Pfizer may terminate the Pfizer Agreement for convenience on any or all of the programs by providing 90 days’ prior written notice.</w:t>
      </w:r>
    </w:p>
    <w:p>
      <w:pPr>
        <w:spacing w:after="0" w:line="5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The Company accounts for the Pfizer Agreement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as it includes a customer-vendor relationship as defined under ASC 606 and meets the criteria to be considered a contract.</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overall transaction price as of the inception of the contract was determined to be $300.0 million, which is comprised entirely of the nonrefundable upfront payment. There is no variable consideration included in the transaction price at inception as the future milestone payments are fully constrained and the Company is not required to estimate variable consideration for the royalty payments at contract inception. The Company will re-evaluate the transaction price in each reporting period.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4" w:name="page165"/>
    <w:bookmarkEnd w:id="164"/>
    <w:p>
      <w:pPr>
        <w:ind w:right="40"/>
        <w:spacing w:after="0" w:line="239" w:lineRule="auto"/>
        <w:rPr>
          <w:sz w:val="20"/>
          <w:szCs w:val="20"/>
          <w:color w:val="auto"/>
        </w:rPr>
      </w:pPr>
      <w:r>
        <w:rPr>
          <w:rFonts w:ascii="Arial" w:cs="Arial" w:eastAsia="Arial" w:hAnsi="Arial"/>
          <w:sz w:val="18"/>
          <w:szCs w:val="18"/>
          <w:color w:val="auto"/>
        </w:rPr>
        <w:t>The Company has concluded that the licenses to its base editing technology, including the exclusive development and commercialization rights, are not capable of being distinct from the other performance obligations, and as such the Company has determined that the licenses combined with the other research and development services represent performance obligations and no up-front revenue was recognized for the licenses. The Company plans to recognize revenue for each performance obligation as it is satisfied over time using an input method. As no activities under the Pfizer Agreement had commenced as of December 31, 2021, the entire $300.0 million is recorded as deferred revenue and no revenue was recognized for the twelve months ended December 31, 2021. Based on the current estimated timelines, the deferred revenue is expected to be recognized as revenue over approximately four years from December 31, 2021.</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Sana Biotechnology</w:t>
      </w:r>
    </w:p>
    <w:p>
      <w:pPr>
        <w:spacing w:after="0" w:line="10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In October 2021, the Company entered into an option and license agreement, or the Sana Agreement, with Sana Biotechnology, Inc., or Sana, under which the Company granted Sana a license for non-exclusive rights to its CRISPR Cas12b nuclease system for the development and commercialization of certain engineered cellular therapy programs. In addition to the license, the Company performed an initial technology transfer following the effective date of the Sana Agreement providing Sana with certain know-how, as required under the Sana Agreement. This technology transfer occurred in 2021. Following the license transfer and completion of the initial technology transfer, Sana is responsible, at its sole expense, for the development and commercialization of therapeutic products which must contain either specified CAR antigen targets or pluripotent stem cell, or PSC, product types.</w:t>
      </w:r>
    </w:p>
    <w:p>
      <w:pPr>
        <w:spacing w:after="0" w:line="5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consideration for the license, the Company received an upfront payment of $50.0 million from Sana in October 2021. In addition, the Company may be eligible to receive development, regulatory, and commercial milestones of up to $65.0 million from Sana on any product candidate or product. The Company will also be entitled to receive royalties equal to a low single digit percentage of net sales on any product.</w:t>
      </w:r>
    </w:p>
    <w:p>
      <w:pPr>
        <w:spacing w:after="0" w:line="5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For up to one year following the effective date of the Sana Agreement, Sana has the option to select up to a cumulative total of two additional CAR antigen targets or PSC product types for an additional fee of $10.0 million per additional CAR antigen target and additional PSC product type, or the Option Rights, for an aggregate potential additional consideration of $20.0 million. Further, at any time prior to the third anniversary of the effective date of the Sana Agreement, Sana has a one-time right to substitute, in the aggregate, either one CAR antigen target or one PSC product type at no additional cost, or the Replacement Right. Sana may also select a specified number of additional or replacement genetic targets for each PSC product type at any time prior to the third anniversary of the effective date at no additional cost, or the Genetic Target Nomination Rights. Sana may terminate the Sana Agreement for convenience prior to the first commercial sale of any licensed product by providing 90 days’ prior written notice or upon 180 days’ prior written notice after first commercial sale.</w:t>
      </w:r>
    </w:p>
    <w:p>
      <w:pPr>
        <w:spacing w:after="0" w:line="7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Company accounts for the Sana Agreement under ASC 606 as it includes a customer-vendor relationship as defined under ASC 606 and meets the criteria to be considered a contract. The overall transaction price as of the inception of the contract was determined to be $50.0 million, which is composed entirely of the nonrefundable upfront payment. There is no variable consideration included in the transaction price at inception as the future milestone payments are fully constrained and the Company is not required to estimate variable consideration for the royalty payments at contract inception. The Company will re-evaluate the transaction price in each reporting period.</w:t>
      </w:r>
    </w:p>
    <w:p>
      <w:pPr>
        <w:spacing w:after="0" w:line="8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Company has identified a single performance obligation, which includes (i) the non-exclusive license granted to Sana under the Company’s patent rights and know-how and (ii) the initial technology transfer following the effective date, which occurred in 2021. The Company further concluded that the Option Rights, Replacement Right, and Genetic Target Nomination Rights did not grant Sana a material right. As the Company only identified one performance obligation, no allocation of the transaction price is required.</w:t>
      </w:r>
    </w:p>
    <w:p>
      <w:pPr>
        <w:spacing w:after="0" w:line="8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Company recognized revenue for the performance obligation at a point in time upon the transfer of the license to Sana and completion of the initial technology transfer, which occurred in October 2021. For the twelve-month period ended December 31, 2021, the Company has recognized $50.0 million of revenue under the Sana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Apellis Pharmaceuticals</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June 2021, the Company entered into a research collaboration agreement, or the Apellis Agreement, with Apellis Pharmaceuticals, Inc., or Apellis, focused on the use of certain of the Company’s base editing technology to discover new treatments for complement system-driven diseases. Under the terms of the Apellis Agreement, the Company will conduct preclinical research on up to six base editing programs that target specific genes within the complement system in various organs, including the eye, liver, and brain. Apellis has an exclusive option to license any or all of the six programs, or in each case, an Opt-In Right, and will assume responsibility for subsequent development. The Company may elect to enter into a 50-50 U.S. co-development and co-commercialization agreement with Apellis with respect to one program instead of a license. The collaboration is managed on an overall basis by an alliance steering committee formed by an equal number of representatives from the Company and Apellis.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165" w:name="page166"/>
    <w:bookmarkEnd w:id="165"/>
    <w:p>
      <w:pPr>
        <w:ind w:right="40"/>
        <w:spacing w:after="0" w:line="238" w:lineRule="auto"/>
        <w:rPr>
          <w:sz w:val="20"/>
          <w:szCs w:val="20"/>
          <w:color w:val="auto"/>
        </w:rPr>
      </w:pPr>
      <w:r>
        <w:rPr>
          <w:rFonts w:ascii="Arial" w:cs="Arial" w:eastAsia="Arial" w:hAnsi="Arial"/>
          <w:sz w:val="18"/>
          <w:szCs w:val="18"/>
          <w:color w:val="auto"/>
        </w:rPr>
        <w:t>As part of the collaboration, the Company is eligible to receive a total of $75.0 million in upfront and near-term milestones from Apellis, which is comprised of $50.0 million received upon signing and an additional $25.0 million payment on June 30, 2022, the one-year anniversary of the effective date of the Apellis Agreement, or the First Anniversary Payment. Following any exercise of an Opt-In Right for any of the six programs, the Company will be eligible to receive development, regulatory, and sales milestones from Apellis, as well as royalty payments on sales. The collaboration has an initial term of five years and may be extended up to two years on a per year and program-by-program basis. During the collaboration term, Apellis may, subject to certain limitations, substitute a specific complement gene and/or organ for any of the initial base editing programs. Apellis may terminate the Apellis Agreement for convenience on any or all of the programs by providing prior written notice. The Company received the $50.0 million upfront payment from Apellis in July 2021.</w:t>
      </w:r>
    </w:p>
    <w:p>
      <w:pPr>
        <w:spacing w:after="0" w:line="8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Company accounts for the Apellis Agreement under ASC 606 as it includes a customer-vendor relationship as defined under ASC 606 and meets the criteria to be considered a contract.</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overall transaction price as of the inception of the contract was determined to be $75.0 million, which is composed of the upfront payment of $50.0 million and the First Anniversary Payment of $25.0 million. The Company will re-evaluate the transaction price in each reporting period. The $25.0 million for the First Anniversary Payment represents both a contract asset and a contract liability and the Company has presented these amounts net in accordance with ASC 606 guidance for contract assets and liabilities.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Company concluded that each of the six base editing programs combined with the research and development service, licenses, substitution rights and governance participation were material promises that were both capable of being distinct and were distinct within the context of the Apellis Agreement and represented separate performance obligations. Therefore, the Company did not recognize any upfront revenue related to the license. The Company further concluded that the Opt-In Rights and option to extend the collaboration term did not grant Apellis a material right. The Company determined that the term of the contract is five years, as this is the period during which both parties have enforceable rights.</w:t>
      </w:r>
    </w:p>
    <w:p>
      <w:pPr>
        <w:spacing w:after="0" w:line="66"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The selling price of each performance obligation was determined based on the Company’s estimated standalone selling price, or the ESSP. The Company developed the ESSP for all of the performance obligations included in the Apellis Agreement with the objective of determining the price at which it would sell such an item if it were to be sold regularly on a standalone basis. The Company allocated the stand-alone selling price to the performance obligations based on the relative standalone selling price method.</w:t>
      </w:r>
    </w:p>
    <w:p>
      <w:pPr>
        <w:spacing w:after="0" w:line="8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 recognizes revenue for each performance obligation as it is satisfied over the five-year term using an input method. The Company allocated the transaction price of $75.0 million to each of the six performance obligations, which includes each of the six base editing programs combined with the research and development service, licenses, substitution rights and governance participation, and is being recognized using an input method based on the actual costs incurred as a percentage of total budgeted costs towards satisfying the performance obligation as this method provides the most faithful depiction of the entity’s performance in transferring control of the goods and services promised to Apellis and represents the Company’s best estimate of the period of the obligation. For the twelve months ended December 31, 2021, the Company recognized $1.8 million of revenue related to the Apellis Agreement. As of December 31, 2021, there is $14.7 million and $33.5 million of current and long-term deferred revenue, respectively, related to the Apellis Agreement.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Medicine</w:t>
      </w:r>
    </w:p>
    <w:p>
      <w:pPr>
        <w:spacing w:after="0" w:line="10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In September 2019, the Company entered into a collaboration and license agreement with Prime Medicine to research and develop a novel gene editing technology developed by one of the Company’s founders. Under the terms of the agreement, the Company granted Prime Medicine a non-exclusive license to certain of its CRISPR technology (including Cas12b), delivery technology and certain other technology controlled by the Company to develop and commercialize gene editing products for the treatment of human diseases. Prime Medicine granted the Company an exclusive license to develop and commercialize prime gene editing technology for the creation or modification of any single base transition mutations, as well as any edits made for the treatment of sickle cell disease. The Company is not currently using the intellectual property licensed from Prime Medicine in any of its current programs, but it is required to use commercially reasonable efforts to develop new product candidates using the intellectual property licensed from Prime Medicine. Additionally, each party granted to the other party certain exclusive and non-exclusive licenses to certain technology developed after the effective date of the agreement and controlled by the granting party or jointly owned by the parties. Each party has an obligation to assign rights in certain technology developed under the collaboration to the other party.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6" w:name="page167"/>
    <w:bookmarkEnd w:id="166"/>
    <w:p>
      <w:pPr>
        <w:ind w:right="40"/>
        <w:spacing w:after="0" w:line="271" w:lineRule="auto"/>
        <w:rPr>
          <w:sz w:val="20"/>
          <w:szCs w:val="20"/>
          <w:color w:val="auto"/>
        </w:rPr>
      </w:pPr>
      <w:r>
        <w:rPr>
          <w:rFonts w:ascii="Arial" w:cs="Arial" w:eastAsia="Arial" w:hAnsi="Arial"/>
          <w:sz w:val="16"/>
          <w:szCs w:val="16"/>
          <w:color w:val="auto"/>
        </w:rPr>
        <w:t>For products that use technology licensed from Prime Medicine, the Company is required to make milestone payments to Prime Medicine upon the achievement of certain clinical, regulatory and commercial events. It is also required to use commercially reasonable efforts to develop and seek regulatory approval for two products that use licensed technology from Prime Medicine in certain specified countries and to commercialize any such product(s) for which approval has been obtained in certain specified countries. Prime Medicine and the Company are each required to use commercially reasonable efforts to conduct the activities for which they are responsible under any development plan(s) under the agreement. Prime Medicine has an option to jointly develop and commercialize, and share expenses and revenue for, certain products that use technology licensed from Prime Medicine in the United States. Royalty payments may become due by either party to the other based on the net sales of commercialized products under the agreement. In addition, certain of the rights licensed under the agreement are sublicensed from third parties, and the Company or Prime Medicine may be required to make certain payments to such third parties to the extent the Company or Prime Medicine develop and commercialize products under such rights.</w:t>
      </w:r>
    </w:p>
    <w:p>
      <w:pPr>
        <w:spacing w:after="0" w:line="6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 had an obligation to issue $5.0 million in shares of its common stock to Prime Medicine, and Prime Medicine had an obligation to issue 5,000,000 shares of its common stock to the Company, should the Company elect to extend the collaboration beyond one year. In September 2020, the Company elected to continue the collaboration and, in October 2020, issued 200,307 shares of the Company’s common stock to Prime Medicine. The Company recognized $5.5 million, which represented the fair value of the Company's common stock issued to Prime Medicine, as research and development expense within the accompanying consolidated statements of operations and other comprehensive loss for the year ended December 31, 2020. Additionally, in October 2020, the Company received 5,000,000 shares of Prime Medicine’s common stock and recognized $0.1 million as an offset to research and development expense within the accompanying consolidated statements of operations and other comprehensive loss for the year ended December 31, 2020.</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Company provided immaterial interim management and startup services to Prime Medicine through March 2021.</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the Company determined that future milestones and royalties under the agreement were not probable of recognition.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Verve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April 2019, the Company entered into a collaboration and license agreement with Verve, or the Verve License Agreement, to investigate gene editing strategies to modify genes associated with an increased risk of coronary diseases. Under the terms of the agreement, the Company granted Verve an exclusive license to certain base editor technology and certain delivery technology and Verve granted the Company a non-exclusive license under certain know-how and patents controlled by Verve, an interest in joint collaboration technology and an exclusive license (except as to Verve) under certain delivery technology. Verve is responsible for all costs associated with the research and development activities under the Verve License agreement. The Company has the option to share in the future development of certain products, with no associated fee at the time the right is exercised. Upon exercise of the Company’s option, the profits and expenses of such product will be shared, as defined in the agreement. To date, the Company has not exercised its option.</w:t>
      </w:r>
    </w:p>
    <w:p>
      <w:pPr>
        <w:spacing w:after="0" w:line="5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connection with the Verve License Agreement, Verve issued the Company 2.6 million shares of its common stock as partial consideration for the licenses granted, having a fair value of $0.5 million. The fair value of the Verve common stock was determined by management with the assistance of a third-party valuation specialist. In addition, to the extent certain clinical, regulatory, and commercial milestones are met with respect to licensed products, Verve will be required to pay to the Company certain amounts, as defined in the agreement. Either party may owe the other party other milestone payments for certain clinical and regulatory events related to the delivery technology products. Royalty payments may become due by either party to the other based on the net sales of any delivery technology products under the agreement. Lastly, to the extent there are sales of a licensed product, Verve is obligated to pay the Company royalties, as defined in the agreement. The term of the agreement commenced in April 2019 and, unless earlier terminated in accordance with the terms of the agreement, will continue until the last to expire royalty term for any licensed product.</w:t>
      </w:r>
    </w:p>
    <w:p>
      <w:pPr>
        <w:spacing w:after="0" w:line="56"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The Company also purchased shares of Verve's Series A preferred stock during the twelve months ended December 31, 2020. During June 2021, Verve completed an initial public offering of its common stock. In connection with Verve’s IPO, Verve effected a one-for-9.2592 reverse stock split and also converted all shares of its preferred stock into shares of common stock. As of December 31, 2021 the Company owned 546,970 shares of Verve's common stock valued at $20.2 million as of December 31, 2021.</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7" w:name="page168"/>
    <w:bookmarkEnd w:id="167"/>
    <w:p>
      <w:pPr>
        <w:spacing w:after="0" w:line="236" w:lineRule="auto"/>
        <w:rPr>
          <w:sz w:val="20"/>
          <w:szCs w:val="20"/>
          <w:color w:val="auto"/>
        </w:rPr>
      </w:pPr>
      <w:r>
        <w:rPr>
          <w:rFonts w:ascii="Arial" w:cs="Arial" w:eastAsia="Arial" w:hAnsi="Arial"/>
          <w:sz w:val="17"/>
          <w:szCs w:val="17"/>
          <w:color w:val="auto"/>
        </w:rPr>
        <w:t>Management determined that the performance obligations associated with the Verve License Agreement are the combined licenses and improvements related to the licensed technology. All other items promised to Verve are immaterial in the context of the agreement. The fair value of the shares issued by Verve to the Company were considered a fixed upfront payment of $0.5 million in the form of non-cash consideration. The Company determined that its performance obligations associated with the Verve License Agreement at contract inception were not distinct and represented a single performance obligation, and that the obligations would be completed over the performance period of the agreement. Accordingly, the upfront payment will be recognized as revenue using a time-based proportional performance model over the contract term (April 2019 through 2038) of the collaboration, as license revenue. For the years ended December 31, 2021, 2020, and 2019, the Company recognized approximately $24,000, $24,000 and $18,000, respectively, of license revenue and has recorded approximately $0.4 million of deferred revenue at December 31, 2021. To date, no commercial milestone payments or royalties are due. The remaining fees that may be paid under the agreement are considered variable consideration and will be constrained until it is probable that a significant revenue reversal would not occur. To date, the Company has not exercised its option to opt-in to a licensed product and no milestones or royalties have been achieved.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Preferred stock and common stock</w:t>
      </w:r>
    </w:p>
    <w:p>
      <w:pPr>
        <w:spacing w:after="0" w:line="108"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color w:val="auto"/>
        </w:rPr>
        <w:t>In January 2020, the Company authorized the designation of 25,000,000 shares of preferred stock and increased its authorized common stock to 250,000,000 shares, each with a par value of $0.01 per share.</w:t>
      </w:r>
    </w:p>
    <w:p>
      <w:pPr>
        <w:spacing w:after="0" w:line="6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offering expenses payable by the Company. In connection with the IPO, all outstanding shares of the Company’s redeemable convertible preferred stock converted into 29,127,523 shares of the Company’s common stock.</w:t>
      </w:r>
    </w:p>
    <w:p>
      <w:pPr>
        <w:spacing w:after="0" w:line="8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October 2020, the Company issued and sold 5,750,000 shares of its common stock, including 750,000 shares pursuant to the full exercise of the underwriters’ option to purchase additional shares, at a public offering price of $23.50 per share, for aggregate gross proceeds of $135.1 million. The Company received approximately $126.6 million in net proceeds after deducting underwriting discounts and offering expenses payable by the Company.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 October 2020, due to its election to continue the Prime Agreement, the Company issued 200,307 shares of its common stock to Prime Medicine.</w:t>
      </w:r>
    </w:p>
    <w:p>
      <w:pPr>
        <w:spacing w:after="0" w:line="115"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In January 2021, the Company issued and sold 2,795,700 shares of its common stock in a private placement at an offering price of $93.00 per share for aggregate gross proceeds of $260.0 million. The Company received $252.0 million in net proceeds after deducting fees to the placement agents and offering expenses payable by the Company.</w:t>
      </w:r>
    </w:p>
    <w:p>
      <w:pPr>
        <w:spacing w:after="0" w:line="7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 April 2021, the Company entered into the Sales Agreement with Jefferies, pursuant to which the Company was entitled to offer and sell, from time to time at prevailing market prices, shares of the Company’s common stock having aggregate gross proceeds of up to $300.0 million. The Company agreed to pay Jefferies a commission of up to 3.0% of the aggregate gross sale proceeds of any shares sold by Jefferies under the Sales Agreement. As of December 31, 2021, the Company has sold 2,908,009 shares of its common stock under the Sales Agreement at an average price of $103.16 per share for aggregate gross proceeds of $300.0 million, before deducting commissions and offering expenses payable by the Company.</w:t>
      </w:r>
    </w:p>
    <w:p>
      <w:pPr>
        <w:spacing w:after="0" w:line="5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July 2021, the Company and Jefferies entered into an amendment to the Sales Agreement to provide for an increase in the aggregate offering amount under the Sales Agreement, such that as of July 7, 2021, the Company may offer and sell shares of common stock having an aggregate offering price of an additional $500.0 million. As of December 31, 2021, the Company has sold 1,999,186 additional shares of its common stock under the amended Sales Agreement at an average price of $105.65 per share for aggregate gross proceeds of $211.2 million, before deducting commissions and offering expenses payable by the Company, resulting in an aggregate of $511.2 million in gross proceeds received under the Sales Agreement, as amended, as of December 31, 2021.</w:t>
      </w:r>
    </w:p>
    <w:p>
      <w:pPr>
        <w:spacing w:after="0" w:line="8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 May 2021, the first success payment measurements under each of the Harvard and Broad License Agreements occurred and success payments to Harvard and Broad Institute were calculated to be $15.0 million and $15.0 million, respectively. The Company elected to make each payment in shares of the Company’s common stock and issued 174,825 shares of the Company’s common stock to each of Harvard and Broad Institute to settle these liabilities in June 2021.</w:t>
      </w:r>
    </w:p>
    <w:p>
      <w:pPr>
        <w:spacing w:after="0" w:line="8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holders of the Company’s common stock are entitled to one vote for each share of common stock. Subject to the payment in full of all preferential dividends to which the holders of the Company’s preferred stock are entitled, the holders of the Company’s common stock shall be entitled to receive ratably dividends out of funds legally available. In the event of any voluntary or involuntary liquidation, dissolution, or winding up of the Company, after the payment or provision for payment of all debts and liabilities of the Company and all preferential amounts to which the holders of Company’s preferred stock are entitled with respect to the distribution of assets in liquidation, the holders of common stock shall be entitled to share ratably in the remaining assets of the Company available for distribution.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68" w:name="page169"/>
    <w:bookmarkEnd w:id="168"/>
    <w:p>
      <w:pPr>
        <w:jc w:val="both"/>
        <w:ind w:right="8780" w:firstLine="8"/>
        <w:spacing w:after="0" w:line="434" w:lineRule="auto"/>
        <w:tabs>
          <w:tab w:leader="none" w:pos="27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 option and grant plan </w:t>
      </w:r>
      <w:r>
        <w:rPr>
          <w:rFonts w:ascii="Arial" w:cs="Arial" w:eastAsia="Arial" w:hAnsi="Arial"/>
          <w:sz w:val="15"/>
          <w:szCs w:val="15"/>
          <w:b w:val="1"/>
          <w:bCs w:val="1"/>
          <w:i w:val="1"/>
          <w:iCs w:val="1"/>
          <w:color w:val="auto"/>
        </w:rPr>
        <w:t>2017 stock option and grant plan</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In June 2017, the Company’s board of directors adopted the Beam Therapeutics Inc. 2017 Stock Option and Grant Plan, or the 2017 Plan, which provided for the grant of qualified incentive stock options and nonqualified stock options, restricted stock or other awards to the Company’s employees, officers, directors, advisors, and outside consultants for the issuance or purchase of shares of the Company’s common stock. In May 2019, the 2017 Plan was amended to provide up to 8,078,681 shares of common stock for the issuance of stock options and restricted stock.</w:t>
      </w:r>
    </w:p>
    <w:p>
      <w:pPr>
        <w:spacing w:after="0" w:line="64" w:lineRule="exact"/>
        <w:rPr>
          <w:sz w:val="20"/>
          <w:szCs w:val="20"/>
          <w:color w:val="auto"/>
        </w:rPr>
      </w:pPr>
    </w:p>
    <w:p>
      <w:pPr>
        <w:jc w:val="both"/>
        <w:ind w:right="40"/>
        <w:spacing w:after="0" w:line="255" w:lineRule="auto"/>
        <w:rPr>
          <w:sz w:val="20"/>
          <w:szCs w:val="20"/>
          <w:color w:val="auto"/>
        </w:rPr>
      </w:pPr>
      <w:r>
        <w:rPr>
          <w:rFonts w:ascii="Arial" w:cs="Arial" w:eastAsia="Arial" w:hAnsi="Arial"/>
          <w:sz w:val="17"/>
          <w:szCs w:val="17"/>
          <w:color w:val="auto"/>
        </w:rPr>
        <w:t>The 2017 Plan is administered by the board of directors. The exercise prices, vesting and other restrictions are determined at the discretion of the board of directors, except that the exercise price per share of stock options may not be less than 100% of the fair market value of the common stock on the date of grant. Stock options awarded under the 2017 Plan expire 10 years after the grant date, unless the board of directors sets a shorter term. Vesting periods for awards under the 2017 Plan are determined at the discretion of the board of directors. Incentive stock options granted to employees and shares of restricted stock granted to officers, founders and consultants of the Company typically vest over four years. Certain options provide for accelerated vesting if there is a change in control, as defined in the 2017 Plan. Non-statutory options granted to employees, officers, members of the board of directors and consultants of the Company typically vest over four years.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plan</w:t>
      </w:r>
    </w:p>
    <w:p>
      <w:pPr>
        <w:spacing w:after="0" w:line="10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In October 2019, the Company’s board of directors adopted the Beam Therapeutics Inc. 2019 Equity Incentive Plan, or the 2019 Plan, and, following the IPO, all equity-based awards are granted under the 2019 Plan. The 2019 Plan provides for the grant of qualified and nonqualified stock options, stock appreciation rights, restricted and unrestricted stock and stock units, performance awards, and other share-based awards to the Company’s employees, officers, directors, advisors, and outside consultants.</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maximum number of shares of the Company’s common stock that may be issued under the 2019 Plan was initially 3,700,000 shares, or the Share Pool, plus the number of shares of the Company’s common stock underlying awards under the 2017 Plan, not to exceed 5,639,818 shares, that become available again for grant under the 2017 Plan in accordance with its terms. The Share Pool will automatically increase on January 1st of each year from 2021 to 2029 by the lesser of (i) four percent of the number of shares of the Company’s common stock outstanding as of the close of business on the immediately preceding December 31st and (ii) the number of shares determined by the Company’s board of directors on or prior to such date for such year.</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the Company had 8,792,459 shares reserved and 1,823,887 shares available for future issuance under the 2019 Plan.</w:t>
      </w:r>
    </w:p>
    <w:p>
      <w:pPr>
        <w:spacing w:after="0" w:line="11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Stock-based compensation expense recorded as research and development and general and administrative expenses in the consolidated statements of operations and other comprehensive loss is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20" w:type="dxa"/>
            <w:vAlign w:val="bottom"/>
            <w:gridSpan w:val="4"/>
          </w:tcPr>
          <w:p>
            <w:pPr>
              <w:ind w:left="80"/>
              <w:spacing w:after="0"/>
              <w:rPr>
                <w:sz w:val="20"/>
                <w:szCs w:val="20"/>
                <w:color w:val="auto"/>
              </w:rPr>
            </w:pPr>
            <w:r>
              <w:rPr>
                <w:rFonts w:ascii="Arial" w:cs="Arial" w:eastAsia="Arial" w:hAnsi="Arial"/>
                <w:sz w:val="14"/>
                <w:szCs w:val="14"/>
                <w:b w:val="1"/>
                <w:bCs w:val="1"/>
                <w:color w:val="auto"/>
                <w:w w:val="95"/>
              </w:rPr>
              <w:t>Years Ended December 31,</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65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FF0FC"/>
          </w:tcPr>
          <w:p>
            <w:pPr>
              <w:jc w:val="right"/>
              <w:ind w:right="69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26,644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11,199</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4,236</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16,926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4,181</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2,792</w:t>
            </w:r>
          </w:p>
        </w:tc>
        <w:tc>
          <w:tcPr>
            <w:tcW w:w="60" w:type="dxa"/>
            <w:vAlign w:val="bottom"/>
          </w:tcPr>
          <w:p>
            <w:pPr>
              <w:spacing w:after="0"/>
              <w:rPr>
                <w:sz w:val="17"/>
                <w:szCs w:val="17"/>
                <w:color w:val="auto"/>
              </w:rPr>
            </w:pPr>
          </w:p>
        </w:tc>
      </w:tr>
      <w:tr>
        <w:trPr>
          <w:trHeight w:val="236"/>
        </w:trPr>
        <w:tc>
          <w:tcPr>
            <w:tcW w:w="65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stock-based compensation expense</w:t>
            </w:r>
          </w:p>
        </w:tc>
        <w:tc>
          <w:tcPr>
            <w:tcW w:w="880" w:type="dxa"/>
            <w:vAlign w:val="bottom"/>
            <w:tcBorders>
              <w:bottom w:val="single" w:sz="8" w:color="auto"/>
            </w:tcBorders>
            <w:shd w:val="clear" w:color="auto" w:fill="CFF0FC"/>
          </w:tcPr>
          <w:p>
            <w:pPr>
              <w:jc w:val="right"/>
              <w:ind w:right="69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43,570</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15,380</w:t>
            </w:r>
          </w:p>
        </w:tc>
        <w:tc>
          <w:tcPr>
            <w:tcW w:w="2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7,028</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431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431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342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3429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Black-Scholes option-pricing model for stock options granted were: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5"/>
        </w:trPr>
        <w:tc>
          <w:tcPr>
            <w:tcW w:w="4160" w:type="dxa"/>
            <w:vAlign w:val="bottom"/>
          </w:tcPr>
          <w:p>
            <w:pPr>
              <w:spacing w:after="0"/>
              <w:rPr>
                <w:sz w:val="16"/>
                <w:szCs w:val="16"/>
                <w:color w:val="auto"/>
              </w:rPr>
            </w:pPr>
          </w:p>
        </w:tc>
        <w:tc>
          <w:tcPr>
            <w:tcW w:w="36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r>
      <w:tr>
        <w:trPr>
          <w:trHeight w:val="196"/>
        </w:trPr>
        <w:tc>
          <w:tcPr>
            <w:tcW w:w="4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volatility</w:t>
            </w:r>
          </w:p>
        </w:tc>
        <w:tc>
          <w:tcPr>
            <w:tcW w:w="238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71.4-76.7%</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75.6-82.6%</w:t>
            </w:r>
          </w:p>
        </w:tc>
        <w:tc>
          <w:tcPr>
            <w:tcW w:w="36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86.4-87.6%</w:t>
            </w:r>
          </w:p>
        </w:tc>
        <w:tc>
          <w:tcPr>
            <w:tcW w:w="220" w:type="dxa"/>
            <w:vAlign w:val="bottom"/>
            <w:shd w:val="clear" w:color="auto" w:fill="CFF0FC"/>
          </w:tcPr>
          <w:p>
            <w:pPr>
              <w:spacing w:after="0"/>
              <w:rPr>
                <w:sz w:val="17"/>
                <w:szCs w:val="17"/>
                <w:color w:val="auto"/>
              </w:rPr>
            </w:pPr>
          </w:p>
        </w:tc>
      </w:tr>
      <w:tr>
        <w:trPr>
          <w:trHeight w:val="203"/>
        </w:trPr>
        <w:tc>
          <w:tcPr>
            <w:tcW w:w="416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risk-free interest rate</w:t>
            </w:r>
          </w:p>
        </w:tc>
        <w:tc>
          <w:tcPr>
            <w:tcW w:w="3800" w:type="dxa"/>
            <w:vAlign w:val="bottom"/>
            <w:gridSpan w:val="3"/>
          </w:tcPr>
          <w:p>
            <w:pPr>
              <w:ind w:left="3300"/>
              <w:spacing w:after="0" w:line="202" w:lineRule="exact"/>
              <w:rPr>
                <w:sz w:val="20"/>
                <w:szCs w:val="20"/>
                <w:color w:val="auto"/>
              </w:rPr>
            </w:pPr>
            <w:r>
              <w:rPr>
                <w:rFonts w:ascii="Arial" w:cs="Arial" w:eastAsia="Arial" w:hAnsi="Arial"/>
                <w:sz w:val="18"/>
                <w:szCs w:val="18"/>
                <w:color w:val="auto"/>
                <w:w w:val="85"/>
              </w:rPr>
              <w:t>1.11 %</w:t>
            </w:r>
          </w:p>
        </w:tc>
        <w:tc>
          <w:tcPr>
            <w:tcW w:w="1840" w:type="dxa"/>
            <w:vAlign w:val="bottom"/>
            <w:gridSpan w:val="3"/>
          </w:tcPr>
          <w:p>
            <w:pPr>
              <w:ind w:left="1140"/>
              <w:spacing w:after="0" w:line="202" w:lineRule="exact"/>
              <w:rPr>
                <w:sz w:val="20"/>
                <w:szCs w:val="20"/>
                <w:color w:val="auto"/>
              </w:rPr>
            </w:pPr>
            <w:r>
              <w:rPr>
                <w:rFonts w:ascii="Arial" w:cs="Arial" w:eastAsia="Arial" w:hAnsi="Arial"/>
                <w:sz w:val="18"/>
                <w:szCs w:val="18"/>
                <w:color w:val="auto"/>
              </w:rPr>
              <w:t>1.07 %</w:t>
            </w:r>
          </w:p>
        </w:tc>
        <w:tc>
          <w:tcPr>
            <w:tcW w:w="1440" w:type="dxa"/>
            <w:vAlign w:val="bottom"/>
            <w:gridSpan w:val="2"/>
          </w:tcPr>
          <w:p>
            <w:pPr>
              <w:ind w:left="900"/>
              <w:spacing w:after="0" w:line="202" w:lineRule="exact"/>
              <w:rPr>
                <w:sz w:val="20"/>
                <w:szCs w:val="20"/>
                <w:color w:val="auto"/>
              </w:rPr>
            </w:pPr>
            <w:r>
              <w:rPr>
                <w:rFonts w:ascii="Arial" w:cs="Arial" w:eastAsia="Arial" w:hAnsi="Arial"/>
                <w:sz w:val="18"/>
                <w:szCs w:val="18"/>
                <w:color w:val="auto"/>
                <w:w w:val="92"/>
              </w:rPr>
              <w:t>2.17 %</w:t>
            </w:r>
          </w:p>
        </w:tc>
      </w:tr>
      <w:tr>
        <w:trPr>
          <w:trHeight w:val="203"/>
        </w:trPr>
        <w:tc>
          <w:tcPr>
            <w:tcW w:w="4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3800" w:type="dxa"/>
            <w:vAlign w:val="bottom"/>
            <w:gridSpan w:val="3"/>
            <w:shd w:val="clear" w:color="auto" w:fill="CFF0FC"/>
          </w:tcPr>
          <w:p>
            <w:pPr>
              <w:ind w:left="3300"/>
              <w:spacing w:after="0" w:line="202" w:lineRule="exact"/>
              <w:rPr>
                <w:sz w:val="20"/>
                <w:szCs w:val="20"/>
                <w:color w:val="auto"/>
              </w:rPr>
            </w:pPr>
            <w:r>
              <w:rPr>
                <w:rFonts w:ascii="Arial" w:cs="Arial" w:eastAsia="Arial" w:hAnsi="Arial"/>
                <w:sz w:val="18"/>
                <w:szCs w:val="18"/>
                <w:color w:val="auto"/>
                <w:w w:val="85"/>
              </w:rPr>
              <w:t>0.00 %</w:t>
            </w:r>
          </w:p>
        </w:tc>
        <w:tc>
          <w:tcPr>
            <w:tcW w:w="1840" w:type="dxa"/>
            <w:vAlign w:val="bottom"/>
            <w:gridSpan w:val="3"/>
            <w:shd w:val="clear" w:color="auto" w:fill="CFF0FC"/>
          </w:tcPr>
          <w:p>
            <w:pPr>
              <w:ind w:left="1140"/>
              <w:spacing w:after="0" w:line="202" w:lineRule="exact"/>
              <w:rPr>
                <w:sz w:val="20"/>
                <w:szCs w:val="20"/>
                <w:color w:val="auto"/>
              </w:rPr>
            </w:pPr>
            <w:r>
              <w:rPr>
                <w:rFonts w:ascii="Arial" w:cs="Arial" w:eastAsia="Arial" w:hAnsi="Arial"/>
                <w:sz w:val="18"/>
                <w:szCs w:val="18"/>
                <w:color w:val="auto"/>
              </w:rPr>
              <w:t>0.00 %</w:t>
            </w:r>
          </w:p>
        </w:tc>
        <w:tc>
          <w:tcPr>
            <w:tcW w:w="1440" w:type="dxa"/>
            <w:vAlign w:val="bottom"/>
            <w:gridSpan w:val="2"/>
            <w:shd w:val="clear" w:color="auto" w:fill="CFF0FC"/>
          </w:tcPr>
          <w:p>
            <w:pPr>
              <w:ind w:left="900"/>
              <w:spacing w:after="0" w:line="202" w:lineRule="exact"/>
              <w:rPr>
                <w:sz w:val="20"/>
                <w:szCs w:val="20"/>
                <w:color w:val="auto"/>
              </w:rPr>
            </w:pPr>
            <w:r>
              <w:rPr>
                <w:rFonts w:ascii="Arial" w:cs="Arial" w:eastAsia="Arial" w:hAnsi="Arial"/>
                <w:sz w:val="18"/>
                <w:szCs w:val="18"/>
                <w:color w:val="auto"/>
                <w:w w:val="92"/>
              </w:rPr>
              <w:t>0.00 %</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620" w:type="dxa"/>
            <w:vAlign w:val="bottom"/>
            <w:gridSpan w:val="2"/>
          </w:tcPr>
          <w:p>
            <w:pPr>
              <w:ind w:left="3300"/>
              <w:spacing w:after="0"/>
              <w:rPr>
                <w:sz w:val="20"/>
                <w:szCs w:val="20"/>
                <w:color w:val="auto"/>
              </w:rPr>
            </w:pPr>
            <w:r>
              <w:rPr>
                <w:rFonts w:ascii="Arial" w:cs="Arial" w:eastAsia="Arial" w:hAnsi="Arial"/>
                <w:sz w:val="18"/>
                <w:szCs w:val="18"/>
                <w:color w:val="auto"/>
                <w:w w:val="85"/>
              </w:rPr>
              <w:t>6.12</w:t>
            </w:r>
          </w:p>
        </w:tc>
        <w:tc>
          <w:tcPr>
            <w:tcW w:w="180" w:type="dxa"/>
            <w:vAlign w:val="bottom"/>
          </w:tcPr>
          <w:p>
            <w:pPr>
              <w:spacing w:after="0"/>
              <w:rPr>
                <w:sz w:val="20"/>
                <w:szCs w:val="20"/>
                <w:color w:val="auto"/>
              </w:rPr>
            </w:pPr>
          </w:p>
        </w:tc>
        <w:tc>
          <w:tcPr>
            <w:tcW w:w="1480" w:type="dxa"/>
            <w:vAlign w:val="bottom"/>
            <w:gridSpan w:val="2"/>
          </w:tcPr>
          <w:p>
            <w:pPr>
              <w:ind w:left="1140"/>
              <w:spacing w:after="0"/>
              <w:rPr>
                <w:sz w:val="20"/>
                <w:szCs w:val="20"/>
                <w:color w:val="auto"/>
              </w:rPr>
            </w:pPr>
            <w:r>
              <w:rPr>
                <w:rFonts w:ascii="Arial" w:cs="Arial" w:eastAsia="Arial" w:hAnsi="Arial"/>
                <w:sz w:val="18"/>
                <w:szCs w:val="18"/>
                <w:color w:val="auto"/>
                <w:w w:val="91"/>
              </w:rPr>
              <w:t>6.24</w:t>
            </w:r>
          </w:p>
        </w:tc>
        <w:tc>
          <w:tcPr>
            <w:tcW w:w="360" w:type="dxa"/>
            <w:vAlign w:val="bottom"/>
          </w:tcPr>
          <w:p>
            <w:pPr>
              <w:spacing w:after="0"/>
              <w:rPr>
                <w:sz w:val="20"/>
                <w:szCs w:val="20"/>
                <w:color w:val="auto"/>
              </w:rPr>
            </w:pPr>
          </w:p>
        </w:tc>
        <w:tc>
          <w:tcPr>
            <w:tcW w:w="1220" w:type="dxa"/>
            <w:vAlign w:val="bottom"/>
          </w:tcPr>
          <w:p>
            <w:pPr>
              <w:ind w:left="900"/>
              <w:spacing w:after="0"/>
              <w:rPr>
                <w:sz w:val="20"/>
                <w:szCs w:val="20"/>
                <w:color w:val="auto"/>
              </w:rPr>
            </w:pPr>
            <w:r>
              <w:rPr>
                <w:rFonts w:ascii="Arial" w:cs="Arial" w:eastAsia="Arial" w:hAnsi="Arial"/>
                <w:sz w:val="18"/>
                <w:szCs w:val="18"/>
                <w:color w:val="auto"/>
                <w:w w:val="85"/>
              </w:rPr>
              <w:t>6.25</w:t>
            </w:r>
          </w:p>
        </w:tc>
        <w:tc>
          <w:tcPr>
            <w:tcW w:w="220" w:type="dxa"/>
            <w:vAlign w:val="bottom"/>
          </w:tcPr>
          <w:p>
            <w:pPr>
              <w:spacing w:after="0"/>
              <w:rPr>
                <w:sz w:val="20"/>
                <w:szCs w:val="20"/>
                <w:color w:val="auto"/>
              </w:rPr>
            </w:pPr>
          </w:p>
        </w:tc>
      </w:tr>
      <w:tr>
        <w:trPr>
          <w:trHeight w:val="391"/>
        </w:trPr>
        <w:tc>
          <w:tcPr>
            <w:tcW w:w="4160" w:type="dxa"/>
            <w:vAlign w:val="bottom"/>
          </w:tcPr>
          <w:p>
            <w:pPr>
              <w:spacing w:after="0"/>
              <w:rPr>
                <w:sz w:val="24"/>
                <w:szCs w:val="24"/>
                <w:color w:val="auto"/>
              </w:rPr>
            </w:pPr>
          </w:p>
        </w:tc>
        <w:tc>
          <w:tcPr>
            <w:tcW w:w="3800" w:type="dxa"/>
            <w:vAlign w:val="bottom"/>
            <w:gridSpan w:val="3"/>
          </w:tcPr>
          <w:p>
            <w:pPr>
              <w:ind w:left="1300"/>
              <w:spacing w:after="0"/>
              <w:rPr>
                <w:sz w:val="20"/>
                <w:szCs w:val="20"/>
                <w:color w:val="auto"/>
              </w:rPr>
            </w:pPr>
            <w:r>
              <w:rPr>
                <w:rFonts w:ascii="Arial" w:cs="Arial" w:eastAsia="Arial" w:hAnsi="Arial"/>
                <w:sz w:val="18"/>
                <w:szCs w:val="18"/>
                <w:color w:val="auto"/>
              </w:rPr>
              <w:t>F-33</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1"/>
        </w:trPr>
        <w:tc>
          <w:tcPr>
            <w:tcW w:w="416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A summary of option activity under the Company’s equity award plans: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center"/>
              <w:ind w:right="217"/>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240" w:type="dxa"/>
            <w:vAlign w:val="bottom"/>
          </w:tcPr>
          <w:p>
            <w:pPr>
              <w:jc w:val="center"/>
              <w:ind w:right="45"/>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89"/>
              </w:rPr>
              <w:t>exercise</w:t>
            </w:r>
          </w:p>
        </w:tc>
        <w:tc>
          <w:tcPr>
            <w:tcW w:w="140" w:type="dxa"/>
            <w:vAlign w:val="bottom"/>
          </w:tcPr>
          <w:p>
            <w:pPr>
              <w:spacing w:after="0"/>
              <w:rPr>
                <w:sz w:val="12"/>
                <w:szCs w:val="12"/>
                <w:color w:val="auto"/>
              </w:rPr>
            </w:pPr>
          </w:p>
        </w:tc>
        <w:tc>
          <w:tcPr>
            <w:tcW w:w="124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value (1)</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2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of options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89"/>
              </w:rPr>
              <w:t>price</w:t>
            </w:r>
          </w:p>
        </w:tc>
        <w:tc>
          <w:tcPr>
            <w:tcW w:w="140" w:type="dxa"/>
            <w:vAlign w:val="bottom"/>
          </w:tcPr>
          <w:p>
            <w:pPr>
              <w:spacing w:after="0"/>
              <w:rPr>
                <w:sz w:val="16"/>
                <w:szCs w:val="16"/>
                <w:color w:val="auto"/>
              </w:rPr>
            </w:pPr>
          </w:p>
        </w:tc>
        <w:tc>
          <w:tcPr>
            <w:tcW w:w="12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1"/>
              </w:rPr>
              <w:t>life (years)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2020</w:t>
            </w:r>
          </w:p>
        </w:tc>
        <w:tc>
          <w:tcPr>
            <w:tcW w:w="12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5,336,441</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9.70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5"/>
              <w:spacing w:after="0" w:line="196" w:lineRule="exact"/>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383,901</w:t>
            </w:r>
          </w:p>
        </w:tc>
        <w:tc>
          <w:tcPr>
            <w:tcW w:w="0" w:type="dxa"/>
            <w:vAlign w:val="bottom"/>
          </w:tcPr>
          <w:p>
            <w:pPr>
              <w:spacing w:after="0"/>
              <w:rPr>
                <w:sz w:val="1"/>
                <w:szCs w:val="1"/>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1,790,476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88.15</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(974,662 )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9.88</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Forfeitures</w:t>
            </w: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(118,063 )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37"/>
              <w:spacing w:after="0" w:line="202" w:lineRule="exact"/>
              <w:rPr>
                <w:sz w:val="20"/>
                <w:szCs w:val="20"/>
                <w:color w:val="auto"/>
              </w:rPr>
            </w:pPr>
            <w:r>
              <w:rPr>
                <w:rFonts w:ascii="Arial" w:cs="Arial" w:eastAsia="Arial" w:hAnsi="Arial"/>
                <w:sz w:val="18"/>
                <w:szCs w:val="18"/>
                <w:color w:val="auto"/>
              </w:rPr>
              <w:t>37.65</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as of December 31, 2021</w:t>
            </w:r>
          </w:p>
        </w:tc>
        <w:tc>
          <w:tcPr>
            <w:tcW w:w="128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6,034,192</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jc w:val="right"/>
              <w:ind w:right="37"/>
              <w:spacing w:after="0" w:line="182" w:lineRule="exact"/>
              <w:rPr>
                <w:sz w:val="20"/>
                <w:szCs w:val="20"/>
                <w:color w:val="auto"/>
              </w:rPr>
            </w:pPr>
            <w:r>
              <w:rPr>
                <w:rFonts w:ascii="Arial" w:cs="Arial" w:eastAsia="Arial" w:hAnsi="Arial"/>
                <w:sz w:val="18"/>
                <w:szCs w:val="18"/>
                <w:color w:val="auto"/>
              </w:rPr>
              <w:t>32.40</w:t>
            </w:r>
          </w:p>
        </w:tc>
        <w:tc>
          <w:tcPr>
            <w:tcW w:w="1380" w:type="dxa"/>
            <w:vAlign w:val="bottom"/>
            <w:tcBorders>
              <w:bottom w:val="single" w:sz="8" w:color="CFF0FC"/>
            </w:tcBorders>
            <w:gridSpan w:val="2"/>
            <w:shd w:val="clear" w:color="auto" w:fill="CFF0FC"/>
          </w:tcPr>
          <w:p>
            <w:pPr>
              <w:jc w:val="right"/>
              <w:ind w:right="45"/>
              <w:spacing w:after="0" w:line="182" w:lineRule="exact"/>
              <w:rPr>
                <w:sz w:val="20"/>
                <w:szCs w:val="20"/>
                <w:color w:val="auto"/>
              </w:rPr>
            </w:pPr>
            <w:r>
              <w:rPr>
                <w:rFonts w:ascii="Arial" w:cs="Arial" w:eastAsia="Arial" w:hAnsi="Arial"/>
                <w:sz w:val="18"/>
                <w:szCs w:val="18"/>
                <w:color w:val="auto"/>
              </w:rPr>
              <w:t>7.9</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ind w:right="40"/>
              <w:spacing w:after="0" w:line="182" w:lineRule="exact"/>
              <w:rPr>
                <w:sz w:val="20"/>
                <w:szCs w:val="20"/>
                <w:color w:val="auto"/>
              </w:rPr>
            </w:pPr>
            <w:r>
              <w:rPr>
                <w:rFonts w:ascii="Arial" w:cs="Arial" w:eastAsia="Arial" w:hAnsi="Arial"/>
                <w:sz w:val="18"/>
                <w:szCs w:val="18"/>
                <w:color w:val="auto"/>
              </w:rPr>
              <w:t>300,560</w:t>
            </w: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line="182" w:lineRule="exact"/>
              <w:rPr>
                <w:sz w:val="20"/>
                <w:szCs w:val="20"/>
                <w:color w:val="auto"/>
              </w:rPr>
            </w:pPr>
            <w:r>
              <w:rPr>
                <w:rFonts w:ascii="Arial" w:cs="Arial" w:eastAsia="Arial" w:hAnsi="Arial"/>
                <w:sz w:val="18"/>
                <w:szCs w:val="18"/>
                <w:color w:val="auto"/>
              </w:rPr>
              <w:t>Exercisable as of December 31, 2021</w:t>
            </w:r>
          </w:p>
        </w:tc>
        <w:tc>
          <w:tcPr>
            <w:tcW w:w="1280" w:type="dxa"/>
            <w:vAlign w:val="bottom"/>
            <w:tcBorders>
              <w:bottom w:val="single" w:sz="8" w:color="auto"/>
            </w:tcBorders>
          </w:tcPr>
          <w:p>
            <w:pPr>
              <w:jc w:val="right"/>
              <w:ind w:right="35"/>
              <w:spacing w:after="0" w:line="182" w:lineRule="exact"/>
              <w:rPr>
                <w:sz w:val="20"/>
                <w:szCs w:val="20"/>
                <w:color w:val="auto"/>
              </w:rPr>
            </w:pPr>
            <w:r>
              <w:rPr>
                <w:rFonts w:ascii="Arial" w:cs="Arial" w:eastAsia="Arial" w:hAnsi="Arial"/>
                <w:sz w:val="18"/>
                <w:szCs w:val="18"/>
                <w:color w:val="auto"/>
              </w:rPr>
              <w:t>2,305,895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7"/>
              <w:spacing w:after="0" w:line="182" w:lineRule="exact"/>
              <w:rPr>
                <w:sz w:val="20"/>
                <w:szCs w:val="20"/>
                <w:color w:val="auto"/>
              </w:rPr>
            </w:pPr>
            <w:r>
              <w:rPr>
                <w:rFonts w:ascii="Arial" w:cs="Arial" w:eastAsia="Arial" w:hAnsi="Arial"/>
                <w:sz w:val="18"/>
                <w:szCs w:val="18"/>
                <w:color w:val="auto"/>
              </w:rPr>
              <w:t>11.44</w:t>
            </w:r>
          </w:p>
        </w:tc>
        <w:tc>
          <w:tcPr>
            <w:tcW w:w="1380" w:type="dxa"/>
            <w:vAlign w:val="bottom"/>
            <w:gridSpan w:val="2"/>
          </w:tcPr>
          <w:p>
            <w:pPr>
              <w:jc w:val="right"/>
              <w:ind w:right="45"/>
              <w:spacing w:after="0" w:line="182" w:lineRule="exact"/>
              <w:rPr>
                <w:sz w:val="20"/>
                <w:szCs w:val="20"/>
                <w:color w:val="auto"/>
              </w:rPr>
            </w:pPr>
            <w:r>
              <w:rPr>
                <w:rFonts w:ascii="Arial" w:cs="Arial" w:eastAsia="Arial" w:hAnsi="Arial"/>
                <w:sz w:val="18"/>
                <w:szCs w:val="18"/>
                <w:color w:val="auto"/>
              </w:rPr>
              <w:t>7.2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40"/>
              <w:spacing w:after="0" w:line="182" w:lineRule="exact"/>
              <w:rPr>
                <w:sz w:val="20"/>
                <w:szCs w:val="20"/>
                <w:color w:val="auto"/>
              </w:rPr>
            </w:pPr>
            <w:r>
              <w:rPr>
                <w:rFonts w:ascii="Arial" w:cs="Arial" w:eastAsia="Arial" w:hAnsi="Arial"/>
                <w:sz w:val="18"/>
                <w:szCs w:val="18"/>
                <w:color w:val="auto"/>
              </w:rPr>
              <w:t>157,633</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-179070</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-162560</wp:posOffset>
            </wp:positionV>
            <wp:extent cx="857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20" w:right="160" w:hanging="512"/>
        <w:spacing w:after="0" w:line="261" w:lineRule="auto"/>
        <w:tabs>
          <w:tab w:leader="none" w:pos="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as of December 31, 2021 and 2020.</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Company has granted stock options to certain employees to purchase shares of common stock that contain certain performance-based vesting criteria, primarily related to the achievement of certain development milestones related to editing applications, and the closing price of the Company’s common stock following an IPO.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 The expense related to performance-based stock options was immaterial for the years ended December 31, 2021 and 2020 and no expense was recognized for the year ended December 31, 2019.</w:t>
      </w:r>
    </w:p>
    <w:p>
      <w:pPr>
        <w:spacing w:after="0" w:line="67"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weighted-average grant date fair value per share of stock options granted during the years ended December 31, 2021, 2020 and 2019, was $58.56, $15.32 and $6.64, respectively. The aggregate intrinsic value of stock options exercised during the years ended December 31, 2021, 2020 and 2019 was $85.1 million, $29.9 million and $1.6 million, respectively. The weighted-average exercise price of stock options exercised for the years ended December 31, 2021, 2020 and 2019 was $9.88, $3.67 and $1.00, respectively.</w:t>
      </w:r>
    </w:p>
    <w:p>
      <w:pPr>
        <w:spacing w:after="0" w:line="80"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As of December 31, 2021, there was $104.8 million of unrecognized compensation cost related to unvested stock options, which is expected to be recognized over a weighted-average period of approximately 2.3 years.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0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Company issued shares of restricted common stock during the year ended December 31, 2021, which consisted only of restricted stock units. The Company issued shares of restricted common stock during the year ended December 31, 2020, which consisted only of restricted stock awards. Restricted common stock issued generally vests over a period of two to four years.</w:t>
      </w:r>
    </w:p>
    <w:p>
      <w:pPr>
        <w:spacing w:after="0" w:line="74"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Under the 2017 Plan, the Company granted restricted common stock awards with service conditions. In 2018, the Company issued shares of restricted common stock to certain of the Company’s scientific founders and a portion of these issued shares are subject to vesting over a period of four years, with the commencement of vesting of the remaining shares upon the achievement of certain financing milestones, and in certain instances continued service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after the milestones are achieved.</w:t>
      </w:r>
    </w:p>
    <w:p>
      <w:pPr>
        <w:spacing w:after="0" w:line="116"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If the holders of restricted common stock cease to have a business relationship with the Company, the Company may reacquire any unvested shares of common stock held by these individuals for the original purchase price, and in certain instances for no consideration. The amounts received to date for the purchase price of restricted stock are immaterial. The unvested shares of restricted common stock are not considered outstanding shares for accounting purposes until the shares vest.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restricted stock activity: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23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68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5"/>
              </w:rPr>
              <w:t>date fair</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as of December 31, 2020</w:t>
            </w:r>
          </w:p>
        </w:tc>
        <w:tc>
          <w:tcPr>
            <w:tcW w:w="168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1,275,338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Issued</w:t>
            </w:r>
          </w:p>
        </w:tc>
        <w:tc>
          <w:tcPr>
            <w:tcW w:w="1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885,680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(1,020,887 )</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Canceled</w:t>
            </w: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(13,925 )</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as of December 31, 2021</w:t>
            </w:r>
          </w:p>
        </w:tc>
        <w:tc>
          <w:tcPr>
            <w:tcW w:w="168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1,126,206</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4"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The aggregate fair value of restricted shares that vested during the years ended December 31, 2021, 2020 and 2019 was $6.4 million, $6.9 million and $3.6 million, respectively.</w:t>
      </w:r>
    </w:p>
    <w:p>
      <w:pPr>
        <w:spacing w:after="0" w:line="63" w:lineRule="exact"/>
        <w:rPr>
          <w:sz w:val="20"/>
          <w:szCs w:val="20"/>
          <w:color w:val="auto"/>
        </w:rPr>
      </w:pPr>
    </w:p>
    <w:p>
      <w:pPr>
        <w:ind w:right="600"/>
        <w:spacing w:after="0" w:line="291" w:lineRule="auto"/>
        <w:rPr>
          <w:sz w:val="20"/>
          <w:szCs w:val="20"/>
          <w:color w:val="auto"/>
        </w:rPr>
      </w:pPr>
      <w:r>
        <w:rPr>
          <w:rFonts w:ascii="Arial" w:cs="Arial" w:eastAsia="Arial" w:hAnsi="Arial"/>
          <w:sz w:val="17"/>
          <w:szCs w:val="17"/>
          <w:color w:val="auto"/>
        </w:rPr>
        <w:t>At December 31, 2021, there was approximately $73.2 million of unrecognized stock-based compensation expense related to restricted stock that is expected to vest. These costs are expected to be recognized over a weighted-average remaining vesting period of 2.9 years.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0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In February 2020, the Company’s board of directors adopted the Beam Therapeutics Inc. 2019 Employee Stock Purchase Plan, or ESPP, which was approved by the Company’s stockholders. Pursuant to the ESPP, certain employees of the Company, excluding consultants and non-employee directors, are eligible to purchase common stock of the Company at a reduced rate during offering periods. The ESPP permits participants to purchase common stock using funds contributed through payroll deductions, subject to a calendar year limit of $25,000 and at a purchase price of 85% of the lower of the fair market value of the Company’s common stock on the first trading day of the offering period or on the applicable purchase date, which will be the final trading day of the applicable purchase period. The first offering period commenced on October 1, 2021 and no shares have been issued yet under the ESPP.</w:t>
      </w:r>
    </w:p>
    <w:p>
      <w:pPr>
        <w:spacing w:after="0" w:line="5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 used the Black-Scholes option valuation model to estimate the fair value of the purchase right under the ESPP on the date of grant using the following assumptions: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288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For the Offering Period</w:t>
            </w:r>
          </w:p>
        </w:tc>
      </w:tr>
      <w:tr>
        <w:trPr>
          <w:trHeight w:val="185"/>
        </w:trPr>
        <w:tc>
          <w:tcPr>
            <w:tcW w:w="8360" w:type="dxa"/>
            <w:vAlign w:val="bottom"/>
          </w:tcPr>
          <w:p>
            <w:pPr>
              <w:spacing w:after="0"/>
              <w:rPr>
                <w:sz w:val="16"/>
                <w:szCs w:val="16"/>
                <w:color w:val="auto"/>
              </w:rPr>
            </w:pPr>
          </w:p>
        </w:tc>
        <w:tc>
          <w:tcPr>
            <w:tcW w:w="28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October 1, 2021 - March 31, 2022</w:t>
            </w:r>
          </w:p>
        </w:tc>
      </w:tr>
      <w:tr>
        <w:trPr>
          <w:trHeight w:val="196"/>
        </w:trPr>
        <w:tc>
          <w:tcPr>
            <w:tcW w:w="8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volatility</w:t>
            </w:r>
          </w:p>
        </w:tc>
        <w:tc>
          <w:tcPr>
            <w:tcW w:w="2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73.07</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8"/>
                <w:szCs w:val="18"/>
                <w:color w:val="auto"/>
              </w:rPr>
              <w:t>Weighted-average risk-free interest rate</w:t>
            </w:r>
          </w:p>
        </w:tc>
        <w:tc>
          <w:tcPr>
            <w:tcW w:w="2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0.05 %</w:t>
            </w:r>
          </w:p>
        </w:tc>
      </w:tr>
      <w:tr>
        <w:trPr>
          <w:trHeight w:val="203"/>
        </w:trPr>
        <w:tc>
          <w:tcPr>
            <w:tcW w:w="8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28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0.00 %</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660" w:type="dxa"/>
            <w:vAlign w:val="bottom"/>
          </w:tcPr>
          <w:p>
            <w:pPr>
              <w:jc w:val="right"/>
              <w:spacing w:after="0"/>
              <w:rPr>
                <w:sz w:val="20"/>
                <w:szCs w:val="20"/>
                <w:color w:val="auto"/>
              </w:rPr>
            </w:pPr>
            <w:r>
              <w:rPr>
                <w:rFonts w:ascii="Arial" w:cs="Arial" w:eastAsia="Arial" w:hAnsi="Arial"/>
                <w:sz w:val="18"/>
                <w:szCs w:val="18"/>
                <w:color w:val="auto"/>
              </w:rPr>
              <w:t>0.50</w:t>
            </w:r>
          </w:p>
        </w:tc>
        <w:tc>
          <w:tcPr>
            <w:tcW w:w="220" w:type="dxa"/>
            <w:vAlign w:val="bottom"/>
          </w:tcPr>
          <w:p>
            <w:pPr>
              <w:spacing w:after="0"/>
              <w:rPr>
                <w:sz w:val="20"/>
                <w:szCs w:val="20"/>
                <w:color w:val="auto"/>
              </w:rPr>
            </w:pPr>
          </w:p>
        </w:tc>
      </w:tr>
    </w:tbl>
    <w:p>
      <w:pPr>
        <w:spacing w:after="0" w:line="6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Expected volatility is based on the historical volatility of the Company's common stock for a period of years corresponding with the expected life of the option. The risk-free interest rate is based on the U.S Treasury yield curve at the time of grant for securities with a maturity period similar to the expected life of the option. The expected life is based on the term of the purchase period for the grants made under the ESPP. The Company uses the straight-line attribution approach to record the expense over the offering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for the ESPP for the year ended December 31, 2021 was $0.3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had 1,049,460 shares available for issuance under the ESPP.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10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As noted above, 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because including them would have had an anti-dilutive effect: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175"/>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5"/>
        </w:trPr>
        <w:tc>
          <w:tcPr>
            <w:tcW w:w="6560" w:type="dxa"/>
            <w:vAlign w:val="bottom"/>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600" w:type="dxa"/>
            <w:vAlign w:val="bottom"/>
            <w:gridSpan w:val="2"/>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62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Redeemable convertible preferred stock</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29,127,523</w:t>
            </w:r>
          </w:p>
        </w:tc>
        <w:tc>
          <w:tcPr>
            <w:tcW w:w="6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Unvested restricted stock</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1,126,206</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1,275,338</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2,655,806</w:t>
            </w:r>
          </w:p>
        </w:tc>
        <w:tc>
          <w:tcPr>
            <w:tcW w:w="60" w:type="dxa"/>
            <w:vAlign w:val="bottom"/>
          </w:tcPr>
          <w:p>
            <w:pPr>
              <w:spacing w:after="0"/>
              <w:rPr>
                <w:sz w:val="17"/>
                <w:szCs w:val="17"/>
                <w:color w:val="auto"/>
              </w:rPr>
            </w:pPr>
          </w:p>
        </w:tc>
      </w:tr>
      <w:tr>
        <w:trPr>
          <w:trHeight w:val="203"/>
        </w:trPr>
        <w:tc>
          <w:tcPr>
            <w:tcW w:w="6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Outstanding options to purchase common stock</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6,034,192</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5,336,441</w:t>
            </w: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4,791,047</w:t>
            </w:r>
          </w:p>
        </w:tc>
        <w:tc>
          <w:tcPr>
            <w:tcW w:w="60" w:type="dxa"/>
            <w:vAlign w:val="bottom"/>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ESPP</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19,379</w:t>
            </w:r>
          </w:p>
        </w:tc>
        <w:tc>
          <w:tcPr>
            <w:tcW w:w="2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6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7,179,777</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6,611,779</w:t>
            </w: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36,574,376</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-24765</wp:posOffset>
            </wp:positionV>
            <wp:extent cx="431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431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431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431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8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(370,638 )</w:t>
            </w:r>
          </w:p>
        </w:tc>
        <w:tc>
          <w:tcPr>
            <w:tcW w:w="5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(194,592 )</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(78,326 )</w:t>
            </w:r>
          </w:p>
        </w:tc>
        <w:tc>
          <w:tcPr>
            <w:tcW w:w="0" w:type="dxa"/>
            <w:vAlign w:val="bottom"/>
          </w:tcPr>
          <w:p>
            <w:pPr>
              <w:spacing w:after="0"/>
              <w:rPr>
                <w:sz w:val="1"/>
                <w:szCs w:val="1"/>
                <w:color w:val="auto"/>
              </w:rPr>
            </w:pPr>
          </w:p>
        </w:tc>
      </w:tr>
      <w:tr>
        <w:trPr>
          <w:trHeight w:val="162"/>
        </w:trPr>
        <w:tc>
          <w:tcPr>
            <w:tcW w:w="65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6"/>
              </w:rPr>
              <w:t>Accretion of redeemable convertible preferred stock to redemption value, including</w:t>
            </w:r>
          </w:p>
        </w:tc>
        <w:tc>
          <w:tcPr>
            <w:tcW w:w="340" w:type="dxa"/>
            <w:vAlign w:val="bottom"/>
            <w:shd w:val="clear" w:color="auto" w:fill="CFF0FC"/>
          </w:tcPr>
          <w:p>
            <w:pPr>
              <w:spacing w:after="0"/>
              <w:rPr>
                <w:sz w:val="14"/>
                <w:szCs w:val="14"/>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(1,277 )</w:t>
            </w:r>
          </w:p>
        </w:tc>
        <w:tc>
          <w:tcPr>
            <w:tcW w:w="32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(12,714 )</w:t>
            </w: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dividends on preferred stock</w:t>
            </w:r>
          </w:p>
        </w:tc>
        <w:tc>
          <w:tcPr>
            <w:tcW w:w="34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tcPr>
          <w:p>
            <w:pPr>
              <w:ind w:left="200"/>
              <w:spacing w:after="0" w:line="196" w:lineRule="exact"/>
              <w:rPr>
                <w:sz w:val="20"/>
                <w:szCs w:val="20"/>
                <w:color w:val="auto"/>
              </w:rPr>
            </w:pPr>
            <w:r>
              <w:rPr>
                <w:rFonts w:ascii="Arial" w:cs="Arial" w:eastAsia="Arial" w:hAnsi="Arial"/>
                <w:sz w:val="18"/>
                <w:szCs w:val="18"/>
                <w:color w:val="auto"/>
              </w:rPr>
              <w:t>Net loss attributable to common stockholders</w:t>
            </w:r>
          </w:p>
        </w:tc>
        <w:tc>
          <w:tcPr>
            <w:tcW w:w="34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(370,638 )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(195,869 )</w:t>
            </w:r>
          </w:p>
        </w:tc>
        <w:tc>
          <w:tcPr>
            <w:tcW w:w="3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(91,040 )</w:t>
            </w:r>
          </w:p>
        </w:tc>
        <w:tc>
          <w:tcPr>
            <w:tcW w:w="0" w:type="dxa"/>
            <w:vAlign w:val="bottom"/>
          </w:tcPr>
          <w:p>
            <w:pPr>
              <w:spacing w:after="0"/>
              <w:rPr>
                <w:sz w:val="1"/>
                <w:szCs w:val="1"/>
                <w:color w:val="auto"/>
              </w:rPr>
            </w:pPr>
          </w:p>
        </w:tc>
      </w:tr>
      <w:tr>
        <w:trPr>
          <w:trHeight w:val="203"/>
        </w:trPr>
        <w:tc>
          <w:tcPr>
            <w:tcW w:w="6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Denominator:</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Weighted average number of common shares, basic and diluted</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64,227,676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46,733,221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6,479,591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8"/>
              </w:rPr>
              <w:t>Net loss per common share attributable to common stockholders, basic and diluted</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(5.77</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(14.05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99"/>
        </w:trPr>
        <w:tc>
          <w:tcPr>
            <w:tcW w:w="6540" w:type="dxa"/>
            <w:vAlign w:val="bottom"/>
          </w:tcPr>
          <w:p>
            <w:pPr>
              <w:ind w:left="5460"/>
              <w:spacing w:after="0"/>
              <w:rPr>
                <w:sz w:val="20"/>
                <w:szCs w:val="20"/>
                <w:color w:val="auto"/>
              </w:rPr>
            </w:pPr>
            <w:r>
              <w:rPr>
                <w:rFonts w:ascii="Arial" w:cs="Arial" w:eastAsia="Arial" w:hAnsi="Arial"/>
                <w:sz w:val="18"/>
                <w:szCs w:val="18"/>
                <w:color w:val="auto"/>
              </w:rPr>
              <w:t>F-35</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5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-896620</wp:posOffset>
            </wp:positionV>
            <wp:extent cx="60325"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-896620</wp:posOffset>
            </wp:positionV>
            <wp:extent cx="5143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-896620</wp:posOffset>
            </wp:positionV>
            <wp:extent cx="51435"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-367665</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-350520</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-367665</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-350520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-367665</wp:posOffset>
            </wp:positionV>
            <wp:extent cx="514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-350520</wp:posOffset>
            </wp:positionV>
            <wp:extent cx="514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14.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income tax expense computed using the federal statutory income tax rate to the Company’s effective income tax rate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5"/>
        </w:trPr>
        <w:tc>
          <w:tcPr>
            <w:tcW w:w="7380" w:type="dxa"/>
            <w:vAlign w:val="bottom"/>
            <w:gridSpan w:val="2"/>
          </w:tcPr>
          <w:p>
            <w:pPr>
              <w:ind w:left="7040"/>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rate</w:t>
            </w:r>
          </w:p>
        </w:tc>
        <w:tc>
          <w:tcPr>
            <w:tcW w:w="8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21.0</w:t>
            </w:r>
          </w:p>
        </w:tc>
        <w:tc>
          <w:tcPr>
            <w:tcW w:w="380" w:type="dxa"/>
            <w:vAlign w:val="bottom"/>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36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7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5.1</w:t>
            </w:r>
          </w:p>
        </w:tc>
        <w:tc>
          <w:tcPr>
            <w:tcW w:w="38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20" w:type="dxa"/>
            <w:vAlign w:val="bottom"/>
          </w:tcPr>
          <w:p>
            <w:pPr>
              <w:spacing w:after="0"/>
              <w:rPr>
                <w:sz w:val="17"/>
                <w:szCs w:val="17"/>
                <w:color w:val="auto"/>
              </w:rPr>
            </w:pPr>
          </w:p>
        </w:tc>
      </w:tr>
      <w:tr>
        <w:trPr>
          <w:trHeight w:val="203"/>
        </w:trPr>
        <w:tc>
          <w:tcPr>
            <w:tcW w:w="73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 tax credits</w:t>
            </w:r>
          </w:p>
        </w:tc>
        <w:tc>
          <w:tcPr>
            <w:tcW w:w="4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w:t>
            </w:r>
          </w:p>
        </w:tc>
        <w:tc>
          <w:tcPr>
            <w:tcW w:w="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7"/>
                <w:szCs w:val="17"/>
                <w:color w:val="auto"/>
              </w:rPr>
            </w:pPr>
          </w:p>
        </w:tc>
      </w:tr>
      <w:tr>
        <w:trPr>
          <w:trHeight w:val="203"/>
        </w:trPr>
        <w:tc>
          <w:tcPr>
            <w:tcW w:w="7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Nondeductible/ nontaxable permanent items</w:t>
            </w: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0.7</w:t>
            </w:r>
          </w:p>
        </w:tc>
        <w:tc>
          <w:tcPr>
            <w:tcW w:w="38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(1.8 )</w:t>
            </w:r>
          </w:p>
        </w:tc>
      </w:tr>
      <w:tr>
        <w:trPr>
          <w:trHeight w:val="203"/>
        </w:trPr>
        <w:tc>
          <w:tcPr>
            <w:tcW w:w="73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IPR&amp;D Guide Acquisition</w:t>
            </w:r>
          </w:p>
        </w:tc>
        <w:tc>
          <w:tcPr>
            <w:tcW w:w="820" w:type="dxa"/>
            <w:vAlign w:val="bottom"/>
            <w:gridSpan w:val="3"/>
            <w:shd w:val="clear" w:color="auto" w:fill="CFF0FC"/>
          </w:tcPr>
          <w:p>
            <w:pPr>
              <w:jc w:val="right"/>
              <w:ind w:right="236"/>
              <w:spacing w:after="0" w:line="202" w:lineRule="exact"/>
              <w:rPr>
                <w:sz w:val="20"/>
                <w:szCs w:val="20"/>
                <w:color w:val="auto"/>
              </w:rPr>
            </w:pPr>
            <w:r>
              <w:rPr>
                <w:rFonts w:ascii="Arial" w:cs="Arial" w:eastAsia="Arial" w:hAnsi="Arial"/>
                <w:sz w:val="18"/>
                <w:szCs w:val="18"/>
                <w:color w:val="auto"/>
              </w:rPr>
              <w:t>(8.8 )</w:t>
            </w:r>
          </w:p>
        </w:tc>
        <w:tc>
          <w:tcPr>
            <w:tcW w:w="136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r>
      <w:tr>
        <w:trPr>
          <w:trHeight w:val="203"/>
        </w:trPr>
        <w:tc>
          <w:tcPr>
            <w:tcW w:w="7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Change in valuation allowance</w:t>
            </w:r>
          </w:p>
        </w:tc>
        <w:tc>
          <w:tcPr>
            <w:tcW w:w="820" w:type="dxa"/>
            <w:vAlign w:val="bottom"/>
            <w:gridSpan w:val="3"/>
          </w:tcPr>
          <w:p>
            <w:pPr>
              <w:jc w:val="right"/>
              <w:ind w:right="236"/>
              <w:spacing w:after="0" w:line="202" w:lineRule="exact"/>
              <w:rPr>
                <w:sz w:val="20"/>
                <w:szCs w:val="20"/>
                <w:color w:val="auto"/>
              </w:rPr>
            </w:pPr>
            <w:r>
              <w:rPr>
                <w:rFonts w:ascii="Arial" w:cs="Arial" w:eastAsia="Arial" w:hAnsi="Arial"/>
                <w:sz w:val="18"/>
                <w:szCs w:val="18"/>
                <w:color w:val="auto"/>
                <w:w w:val="92"/>
              </w:rPr>
              <w:t>(20.6 )</w:t>
            </w:r>
          </w:p>
        </w:tc>
        <w:tc>
          <w:tcPr>
            <w:tcW w:w="1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(31.1 )</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(29.7 )</w:t>
            </w:r>
          </w:p>
        </w:tc>
      </w:tr>
      <w:tr>
        <w:trPr>
          <w:trHeight w:val="236"/>
        </w:trPr>
        <w:tc>
          <w:tcPr>
            <w:tcW w:w="6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0.0</w:t>
            </w:r>
          </w:p>
        </w:tc>
        <w:tc>
          <w:tcPr>
            <w:tcW w:w="380" w:type="dxa"/>
            <w:vAlign w:val="bottom"/>
            <w:tcBorders>
              <w:bottom w:val="single" w:sz="8" w:color="CFF0FC"/>
            </w:tcBorders>
            <w:shd w:val="clear" w:color="auto" w:fill="CFF0FC"/>
          </w:tcPr>
          <w:p>
            <w:pPr>
              <w:jc w:val="right"/>
              <w:ind w:right="136"/>
              <w:spacing w:after="0" w:line="196" w:lineRule="exact"/>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0.0</w:t>
            </w:r>
          </w:p>
        </w:tc>
        <w:tc>
          <w:tcPr>
            <w:tcW w:w="360" w:type="dxa"/>
            <w:vAlign w:val="bottom"/>
            <w:tcBorders>
              <w:bottom w:val="single" w:sz="8" w:color="CFF0FC"/>
            </w:tcBorders>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w:t>
            </w:r>
          </w:p>
        </w:tc>
        <w:tc>
          <w:tcPr>
            <w:tcW w:w="2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304"/>
        </w:trPr>
        <w:tc>
          <w:tcPr>
            <w:tcW w:w="7380" w:type="dxa"/>
            <w:vAlign w:val="bottom"/>
            <w:gridSpan w:val="2"/>
          </w:tcPr>
          <w:p>
            <w:pPr>
              <w:spacing w:after="0"/>
              <w:rPr>
                <w:sz w:val="20"/>
                <w:szCs w:val="20"/>
                <w:color w:val="auto"/>
              </w:rPr>
            </w:pPr>
            <w:r>
              <w:rPr>
                <w:rFonts w:ascii="Arial" w:cs="Arial" w:eastAsia="Arial" w:hAnsi="Arial"/>
                <w:sz w:val="18"/>
                <w:szCs w:val="18"/>
                <w:color w:val="auto"/>
              </w:rPr>
              <w:t>The components of the Company’s deferred taxes are as follows (in thousands):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3"/>
        </w:trPr>
        <w:tc>
          <w:tcPr>
            <w:tcW w:w="6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69"/>
        </w:trPr>
        <w:tc>
          <w:tcPr>
            <w:tcW w:w="6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r>
      <w:tr>
        <w:trPr>
          <w:trHeight w:val="196"/>
        </w:trPr>
        <w:tc>
          <w:tcPr>
            <w:tcW w:w="73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7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4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103,868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7"/>
                <w:szCs w:val="17"/>
                <w:color w:val="auto"/>
              </w:rPr>
            </w:pP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58,338</w:t>
            </w:r>
          </w:p>
        </w:tc>
      </w:tr>
      <w:tr>
        <w:trPr>
          <w:trHeight w:val="203"/>
        </w:trPr>
        <w:tc>
          <w:tcPr>
            <w:tcW w:w="73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 tax credits</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23,745</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8,756</w:t>
            </w:r>
          </w:p>
        </w:tc>
      </w:tr>
      <w:tr>
        <w:trPr>
          <w:trHeight w:val="203"/>
        </w:trPr>
        <w:tc>
          <w:tcPr>
            <w:tcW w:w="7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Accrued expenses and other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2,810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1,445</w:t>
            </w:r>
          </w:p>
        </w:tc>
      </w:tr>
      <w:tr>
        <w:trPr>
          <w:trHeight w:val="203"/>
        </w:trPr>
        <w:tc>
          <w:tcPr>
            <w:tcW w:w="73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Derivative liabilities</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11,483</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19,421</w:t>
            </w:r>
          </w:p>
        </w:tc>
      </w:tr>
      <w:tr>
        <w:trPr>
          <w:trHeight w:val="203"/>
        </w:trPr>
        <w:tc>
          <w:tcPr>
            <w:tcW w:w="7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5,489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1,975</w:t>
            </w:r>
          </w:p>
        </w:tc>
      </w:tr>
      <w:tr>
        <w:trPr>
          <w:trHeight w:val="203"/>
        </w:trPr>
        <w:tc>
          <w:tcPr>
            <w:tcW w:w="73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20,754</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2,079</w:t>
            </w:r>
          </w:p>
        </w:tc>
      </w:tr>
      <w:tr>
        <w:trPr>
          <w:trHeight w:val="203"/>
        </w:trPr>
        <w:tc>
          <w:tcPr>
            <w:tcW w:w="7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Lease liability</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38,734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ind w:right="30"/>
              <w:spacing w:after="0" w:line="202" w:lineRule="exact"/>
              <w:rPr>
                <w:sz w:val="20"/>
                <w:szCs w:val="20"/>
                <w:color w:val="auto"/>
              </w:rPr>
            </w:pPr>
            <w:r>
              <w:rPr>
                <w:rFonts w:ascii="Arial" w:cs="Arial" w:eastAsia="Arial" w:hAnsi="Arial"/>
                <w:sz w:val="18"/>
                <w:szCs w:val="18"/>
                <w:color w:val="auto"/>
              </w:rPr>
              <w:t>27,340</w:t>
            </w:r>
          </w:p>
        </w:tc>
      </w:tr>
      <w:tr>
        <w:trPr>
          <w:trHeight w:val="196"/>
        </w:trPr>
        <w:tc>
          <w:tcPr>
            <w:tcW w:w="73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 deferred tax assets</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206,883</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119,354</w:t>
            </w:r>
          </w:p>
        </w:tc>
      </w:tr>
      <w:tr>
        <w:trPr>
          <w:trHeight w:val="203"/>
        </w:trPr>
        <w:tc>
          <w:tcPr>
            <w:tcW w:w="7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ROU asset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(27,950 )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(23,692 )</w:t>
            </w:r>
          </w:p>
        </w:tc>
      </w:tr>
      <w:tr>
        <w:trPr>
          <w:trHeight w:val="203"/>
        </w:trPr>
        <w:tc>
          <w:tcPr>
            <w:tcW w:w="73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(1,868 )</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(558 )</w:t>
            </w:r>
          </w:p>
        </w:tc>
      </w:tr>
      <w:tr>
        <w:trPr>
          <w:trHeight w:val="203"/>
        </w:trPr>
        <w:tc>
          <w:tcPr>
            <w:tcW w:w="73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(4,954 )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(141 )</w:t>
            </w:r>
          </w:p>
        </w:tc>
      </w:tr>
      <w:tr>
        <w:trPr>
          <w:trHeight w:val="203"/>
        </w:trPr>
        <w:tc>
          <w:tcPr>
            <w:tcW w:w="738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Less: valuation allowance</w:t>
            </w: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(172,111 )</w:t>
            </w: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(94,963 )</w:t>
            </w:r>
          </w:p>
        </w:tc>
      </w:tr>
      <w:tr>
        <w:trPr>
          <w:trHeight w:val="196"/>
        </w:trPr>
        <w:tc>
          <w:tcPr>
            <w:tcW w:w="73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Deferred tax assets, net</w:t>
            </w:r>
          </w:p>
        </w:tc>
        <w:tc>
          <w:tcPr>
            <w:tcW w:w="4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360" w:type="dxa"/>
            <w:vAlign w:val="bottom"/>
            <w:gridSpan w:val="3"/>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7"/>
                <w:szCs w:val="17"/>
                <w:color w:val="auto"/>
              </w:rPr>
            </w:pPr>
          </w:p>
        </w:tc>
        <w:tc>
          <w:tcPr>
            <w:tcW w:w="12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20"/>
        </w:trPr>
        <w:tc>
          <w:tcPr>
            <w:tcW w:w="6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-2382520</wp:posOffset>
            </wp:positionV>
            <wp:extent cx="14605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-2365375</wp:posOffset>
            </wp:positionV>
            <wp:extent cx="1460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-2382520</wp:posOffset>
            </wp:positionV>
            <wp:extent cx="137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-2365375</wp:posOffset>
            </wp:positionV>
            <wp:extent cx="137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-2382520</wp:posOffset>
            </wp:positionV>
            <wp:extent cx="1371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-2365375</wp:posOffset>
            </wp:positionV>
            <wp:extent cx="137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-159385</wp:posOffset>
            </wp:positionV>
            <wp:extent cx="11112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3">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74"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The Company had no income tax expense due to the operating losses incurred for the years ended December 31, 2021, 2020, and 2019. Management has evaluated the positive and negative evidence bearing upon the realizability of the Company’s net deferred tax assets and has determined that it is more likely than not that the Company will not recognize the benefits of the net deferred tax assets. As a result, the Company has recorded a full valuation allowance at December 31, 2021 and 2020. The valuation allowance increased by $77.1 million in 2021, due to the increase in deferred tax assets, primarily due to net operating loss carryforwards, and research and development tax credits, amortization expenses and the fair value of the derivative liability. The valuation allowance increased by $58.5 million in 2020.</w:t>
      </w:r>
    </w:p>
    <w:p>
      <w:pPr>
        <w:spacing w:after="0" w:line="6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of December 31, 2021, the Company had $386.0 million of federal and $360.9 million of state net operating loss carryforwards. If not utilized, both the federal and state net operating loss carryforwards expire starting in 2037. Included in the $386.0 million federal net operating loss carryforwards is $382.6 million of net operating loss generated in 2018 through 2021 that will not expire. Additionally, as of December 31, 2021, the Company had $17.1 million of federal and $8.4 million of Massachusetts tax credits that expire starting in 2038 and 2033, respectively.</w:t>
      </w:r>
    </w:p>
    <w:p>
      <w:pPr>
        <w:spacing w:after="0" w:line="64" w:lineRule="exact"/>
        <w:rPr>
          <w:sz w:val="20"/>
          <w:szCs w:val="20"/>
          <w:color w:val="auto"/>
        </w:rPr>
      </w:pPr>
    </w:p>
    <w:p>
      <w:pPr>
        <w:jc w:val="both"/>
        <w:ind w:right="300"/>
        <w:spacing w:after="0" w:line="248" w:lineRule="auto"/>
        <w:rPr>
          <w:sz w:val="20"/>
          <w:szCs w:val="20"/>
          <w:color w:val="auto"/>
        </w:rPr>
      </w:pPr>
      <w:r>
        <w:rPr>
          <w:rFonts w:ascii="Arial" w:cs="Arial" w:eastAsia="Arial" w:hAnsi="Arial"/>
          <w:sz w:val="18"/>
          <w:szCs w:val="18"/>
          <w:color w:val="auto"/>
        </w:rPr>
        <w:t>As of December 31, 2021, and 2020, the Company had no uncertain tax positions. The Company recognizes both interest and penalties associated with unrecognized tax benefits as a component of income tax expense. The Company has not recorded any interest or penalties for unrecognized tax benefits since its inception.</w:t>
      </w:r>
    </w:p>
    <w:p>
      <w:pPr>
        <w:spacing w:after="0" w:line="74"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Company filed income tax returns in the United States and the Commonwealth of Massachusetts in all tax years since inception. Tax years beginning in 2017 remain open to examination in these jurisdictions, as carryforward attributes generated in past years may be adjusted in a future period. The IRS has not made any assessments as of December 31, 2021.</w:t>
      </w:r>
    </w:p>
    <w:p>
      <w:pPr>
        <w:spacing w:after="0" w:line="70" w:lineRule="exact"/>
        <w:rPr>
          <w:sz w:val="20"/>
          <w:szCs w:val="20"/>
          <w:color w:val="auto"/>
        </w:rPr>
      </w:pPr>
    </w:p>
    <w:p>
      <w:pPr>
        <w:ind w:right="8920" w:firstLine="8"/>
        <w:spacing w:after="0" w:line="362" w:lineRule="auto"/>
        <w:tabs>
          <w:tab w:leader="none" w:pos="27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b w:val="1"/>
          <w:bCs w:val="1"/>
          <w:i w:val="1"/>
          <w:iCs w:val="1"/>
          <w:color w:val="auto"/>
        </w:rPr>
        <w:t>Founders</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For the years ended December 31, 2021, 2020 and 2019, the Company made payments of $0.5 million, $0.5 million and $0.5 million, respectively, to its three founder shareholders for scientific consulting and other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Verve are parties to a collaboration and license agreement and have a common board member.</w:t>
      </w:r>
    </w:p>
    <w:p>
      <w:pPr>
        <w:spacing w:after="0" w:line="10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72" w:name="page173"/>
    <w:bookmarkEnd w:id="172"/>
    <w:p>
      <w:pPr>
        <w:ind w:right="40"/>
        <w:spacing w:after="0" w:line="239" w:lineRule="auto"/>
        <w:rPr>
          <w:sz w:val="20"/>
          <w:szCs w:val="20"/>
          <w:color w:val="auto"/>
        </w:rPr>
      </w:pPr>
      <w:r>
        <w:rPr>
          <w:rFonts w:ascii="Arial" w:cs="Arial" w:eastAsia="Arial" w:hAnsi="Arial"/>
          <w:sz w:val="18"/>
          <w:szCs w:val="18"/>
          <w:color w:val="auto"/>
        </w:rPr>
        <w:t>Prior to Verve’s initial public offering in June 2021, the Company owned both common and preferred shares of Verve and valued such investment based on the cost of the equity securities adjusted for any observable market transactions. Following the initial public offering, and the conversion to common stock and the stock split, the equity securities have a readily determinable fair value and the Company owned 546,970 shares of Verve's common stock, the value of which is included in marketable securities in the consolidated balance sheet. The Company recorded the investment at fair value as of December 31, 2021, which resulted in the recognition of $17.7 million of other income for the twelve months ended December 31, 2021. The value of this investment as of December 31, 2021 is $20.2 million. During the year ended December 31, 2020, the Company recognized unrealized gains of $0.5 million on its investment in Verve preferred stock.</w:t>
      </w:r>
    </w:p>
    <w:p>
      <w:pPr>
        <w:spacing w:after="0" w:line="83"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color w:val="auto"/>
        </w:rPr>
        <w:t>During the years ended December 31, 2020 and 2019, the Company purchased shares of Verve series A preferred stock valued at $0.8 million and $0.4 million, respectively. These shares were converted into shares of Verve common stock in connection with Verve’s initial public offering.</w:t>
      </w:r>
    </w:p>
    <w:p>
      <w:pPr>
        <w:spacing w:after="0" w:line="39"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 Company purchased certain materials from Verve amounting to $0.2 million and $0.4 million, which is recorded as research and development expenses within the accompanying consolidated statements of operations and other comprehensive loss for the years ended December 31, 2021 and 2020, respectively. The Company also sold certain materials to Verve amounting to $0.2 million, which is recorded as interest and other income (expense), net within the accompanying consolidated statements of operations and other comprehensive loss for the year ended December 31, 2020.</w:t>
      </w:r>
    </w:p>
    <w:p>
      <w:pPr>
        <w:spacing w:after="0" w:line="47"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October 2021, the Company entered into an agreement pursuant to which Verve subleased 12,000 square feet of the Company’s existing office and laboratory space for a term of one year which began in December 2021. Verve is expected to pay approximately $1.4 million in rental payments over the term of the sublease, as well as its proportionate costs for the landlord’s operating expense, insurance, property taxes, and utilities. The Company recorded $0.1 million of sublease income related to this sublease within the accompanying consolidated statements of operations and other comprehensive loss for the year ended December 31,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Medicine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Prime Medicine are parties to a collaboration and license agreement and have a common founder and common board member.</w:t>
      </w:r>
    </w:p>
    <w:p>
      <w:pPr>
        <w:spacing w:after="0" w:line="14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 September 2020, the Company elected to continue its collaboration with Prime Medicine and, in October 2020, as required by the terms under its collaboration and license agreement with Prime Medicine, issued 200,307 shares of the Company’s common stock to Prime Medicine. The Company recognized $5.5 million, which represents the fair value of the Company's common stock issued to Prime Medicine, as research and development expense within the accompanying consolidated statements of operations and other comprehensive loss for the year ended December 31, 2020. Additionally, in October 2020, the Company received 5,000,000 shares of Prime Medicine’s common stock and recognized $0.1 million as an offset to research and development expense within the accompanying consolidated statements of operations and other comprehensive loss for the year ended December 31, 2020.</w:t>
      </w:r>
    </w:p>
    <w:p>
      <w:pPr>
        <w:spacing w:after="0" w:line="5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Management services provided to the Company by Prime Medicine were immaterial for the year ended December 31, 2021. Additionally, in September 2019, in connection with the Company’s collaboration and license agreement with Prime Medicine, the Company executed a letter agreement, as amended, to provide certain interim management and startup services to Prime Medicine through March 2021. Prime Medicine is obligated to reimburse the Company’s out-of-pocket costs incurred in connection with performing the services and, beginning in October 2020 and ending March 2021, paid the Company a $30,000 monthly service fee. For the years ended December 31, 2021 and 2020, the Company recognized $0.1 million and $0.1 million, respectively, for performing such services in interest and other income (expense), net, within the accompanying consolidated statements of operations and other comprehensive loss.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benefits</w:t>
      </w:r>
    </w:p>
    <w:p>
      <w:pPr>
        <w:spacing w:after="0" w:line="10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2018, the Company established a defined-contribution plan under Section 401(k) of the Internal Revenue Code, or the 401(k) Plan. The 401(k) Plan covers all employees who meet defined minimum age and service requirements and allows participants to defer a portion of their annual compensation on a pre-tax basis. Beginning January 1, 2020, the Company made matching contributions equal to 50% of the employee’s contributions, subject to a maximum of 6% of eligible compensation. The Company made matching contributions of $1.1 million for the year ended December 31, 2021.</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10.27</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BEAM THERAPEUTICS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AMENDED AND RESTATED 2019 EMPLOYEE STOCK PURCHASE PLAN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1.</w:t>
      </w:r>
      <w:r>
        <w:rPr>
          <w:rFonts w:ascii="Arial" w:cs="Arial" w:eastAsia="Arial" w:hAnsi="Arial"/>
          <w:sz w:val="22"/>
          <w:szCs w:val="22"/>
          <w:b w:val="1"/>
          <w:bCs w:val="1"/>
          <w:color w:val="auto"/>
        </w:rPr>
        <w:t>Defined Terms</w:t>
      </w:r>
    </w:p>
    <w:p>
      <w:pPr>
        <w:spacing w:after="0" w:line="212" w:lineRule="exact"/>
        <w:rPr>
          <w:sz w:val="20"/>
          <w:szCs w:val="20"/>
          <w:color w:val="auto"/>
        </w:rPr>
      </w:pPr>
    </w:p>
    <w:p>
      <w:pPr>
        <w:ind w:right="100" w:firstLine="749"/>
        <w:spacing w:after="0" w:line="250" w:lineRule="auto"/>
        <w:rPr>
          <w:sz w:val="20"/>
          <w:szCs w:val="20"/>
          <w:color w:val="auto"/>
        </w:rPr>
      </w:pPr>
      <w:r>
        <w:rPr>
          <w:rFonts w:ascii="Arial" w:cs="Arial" w:eastAsia="Arial" w:hAnsi="Arial"/>
          <w:sz w:val="22"/>
          <w:szCs w:val="22"/>
          <w:color w:val="auto"/>
        </w:rPr>
        <w:t>Exhibit A, which is incorporated by reference, defines the terms used in the Plan and sets forth certain operational rules related to those terms.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b w:val="1"/>
          <w:bCs w:val="1"/>
          <w:color w:val="auto"/>
        </w:rPr>
        <w:t>Purpose of Plan</w:t>
      </w:r>
    </w:p>
    <w:p>
      <w:pPr>
        <w:spacing w:after="0" w:line="212" w:lineRule="exact"/>
        <w:rPr>
          <w:sz w:val="20"/>
          <w:szCs w:val="20"/>
          <w:color w:val="auto"/>
        </w:rPr>
      </w:pPr>
    </w:p>
    <w:p>
      <w:pPr>
        <w:ind w:right="120" w:firstLine="749"/>
        <w:spacing w:after="0" w:line="238" w:lineRule="auto"/>
        <w:rPr>
          <w:sz w:val="20"/>
          <w:szCs w:val="20"/>
          <w:color w:val="auto"/>
        </w:rPr>
      </w:pPr>
      <w:r>
        <w:rPr>
          <w:rFonts w:ascii="Arial" w:cs="Arial" w:eastAsia="Arial" w:hAnsi="Arial"/>
          <w:sz w:val="22"/>
          <w:szCs w:val="22"/>
          <w:color w:val="auto"/>
        </w:rPr>
        <w:t>The Plan is intended to enable Eligible Employees to use payroll deductions to purchase shares of Stock in offerings under the Plan, and thereby acquire an interest in the Company. The Plan is intended to qualify as an “employee stock purchase plan” under Section 423 and to be exempt from the application and requirements of Section 409A of the Code, and is to be construed accordingly.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3.</w:t>
      </w:r>
      <w:r>
        <w:rPr>
          <w:rFonts w:ascii="Arial" w:cs="Arial" w:eastAsia="Arial" w:hAnsi="Arial"/>
          <w:sz w:val="22"/>
          <w:szCs w:val="22"/>
          <w:b w:val="1"/>
          <w:bCs w:val="1"/>
          <w:color w:val="auto"/>
        </w:rPr>
        <w:t>Options to Purchase Stock</w:t>
      </w:r>
    </w:p>
    <w:p>
      <w:pPr>
        <w:spacing w:after="0" w:line="212" w:lineRule="exact"/>
        <w:rPr>
          <w:sz w:val="20"/>
          <w:szCs w:val="20"/>
          <w:color w:val="auto"/>
        </w:rPr>
      </w:pPr>
    </w:p>
    <w:p>
      <w:pPr>
        <w:ind w:right="20" w:firstLine="749"/>
        <w:spacing w:after="0" w:line="256" w:lineRule="auto"/>
        <w:rPr>
          <w:sz w:val="20"/>
          <w:szCs w:val="20"/>
          <w:color w:val="auto"/>
        </w:rPr>
      </w:pPr>
      <w:r>
        <w:rPr>
          <w:rFonts w:ascii="Arial" w:cs="Arial" w:eastAsia="Arial" w:hAnsi="Arial"/>
          <w:sz w:val="20"/>
          <w:szCs w:val="20"/>
          <w:color w:val="auto"/>
        </w:rPr>
        <w:t>Subject to adjustment pursuant to Section 16 of the Plan, the maximum aggregate number of shares of Stock available for purchase pursuant to the exercise of Options granted under the Plan will be 465,000 shares (the “</w:t>
      </w:r>
      <w:r>
        <w:rPr>
          <w:rFonts w:ascii="Arial" w:cs="Arial" w:eastAsia="Arial" w:hAnsi="Arial"/>
          <w:sz w:val="20"/>
          <w:szCs w:val="20"/>
          <w:b w:val="1"/>
          <w:bCs w:val="1"/>
          <w:color w:val="auto"/>
        </w:rPr>
        <w:t>Initial Share Pool</w:t>
      </w:r>
      <w:r>
        <w:rPr>
          <w:rFonts w:ascii="Arial" w:cs="Arial" w:eastAsia="Arial" w:hAnsi="Arial"/>
          <w:sz w:val="20"/>
          <w:szCs w:val="20"/>
          <w:color w:val="auto"/>
        </w:rPr>
        <w:t>”). The Initial Share Pool will automatically increase on January 1</w:t>
      </w:r>
      <w:r>
        <w:rPr>
          <w:rFonts w:ascii="Arial" w:cs="Arial" w:eastAsia="Arial" w:hAnsi="Arial"/>
          <w:sz w:val="13"/>
          <w:szCs w:val="13"/>
          <w:color w:val="auto"/>
        </w:rPr>
        <w:t>st</w:t>
      </w:r>
      <w:r>
        <w:rPr>
          <w:rFonts w:ascii="Arial" w:cs="Arial" w:eastAsia="Arial" w:hAnsi="Arial"/>
          <w:sz w:val="20"/>
          <w:szCs w:val="20"/>
          <w:color w:val="auto"/>
        </w:rPr>
        <w:t xml:space="preserve"> of each year from 2020 to 2029 by the lesser of (i) one percent of the number of shares of Stock outstanding as of the close of business on the immediately preceding December 31</w:t>
      </w:r>
      <w:r>
        <w:rPr>
          <w:rFonts w:ascii="Arial" w:cs="Arial" w:eastAsia="Arial" w:hAnsi="Arial"/>
          <w:sz w:val="13"/>
          <w:szCs w:val="13"/>
          <w:color w:val="auto"/>
        </w:rPr>
        <w:t>st</w:t>
      </w:r>
      <w:r>
        <w:rPr>
          <w:rFonts w:ascii="Arial" w:cs="Arial" w:eastAsia="Arial" w:hAnsi="Arial"/>
          <w:sz w:val="20"/>
          <w:szCs w:val="20"/>
          <w:color w:val="auto"/>
        </w:rPr>
        <w:t xml:space="preserve"> and (ii) the number of shares of Stock determined by the Board on or prior to such date for such year up to a maximum of 5,083,204 shares in the aggregate (the Initial Share Pool, as it may be so increased, the “</w:t>
      </w:r>
      <w:r>
        <w:rPr>
          <w:rFonts w:ascii="Arial" w:cs="Arial" w:eastAsia="Arial" w:hAnsi="Arial"/>
          <w:sz w:val="20"/>
          <w:szCs w:val="20"/>
          <w:b w:val="1"/>
          <w:bCs w:val="1"/>
          <w:color w:val="auto"/>
        </w:rPr>
        <w:t>Share Pool</w:t>
      </w:r>
      <w:r>
        <w:rPr>
          <w:rFonts w:ascii="Arial" w:cs="Arial" w:eastAsia="Arial" w:hAnsi="Arial"/>
          <w:sz w:val="20"/>
          <w:szCs w:val="20"/>
          <w:color w:val="auto"/>
        </w:rPr>
        <w:t>”). The shares of Stock to be delivered upon exercise of Options under the Plan may be either shares of authorized but unissued Stock, treasury Stock, or previously issued Stock acquired by the Company. If any Option granted under the Plan expires or terminates for any reason without having been exercised in full or ceases for any reason to be exercisable in whole or in part, the unpurchased shares of Stock subject to such Option will not reduce the Share Pool and will again be available for purchase under the Plan. If, on an Exercise Date, the total number of shares of Stock that would otherwise be subject to Options granted under the Plan exceeds the number of shares then available in the Share Pool, the Administrator shall make a pro rata allocation of the shares remaining available for purchase under the Plan in as uniform a manner as is practicable and as it determines to be equitable. In such event, the Administrator shall notify each Participant of such reduction and of the effect on the Participant’s Options and may reduce the rate of a Participant’s payroll deductions,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b w:val="1"/>
          <w:bCs w:val="1"/>
          <w:color w:val="auto"/>
        </w:rPr>
        <w:t>Eligibility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174" w:name="page175"/>
    <w:bookmarkEnd w:id="174"/>
    <w:p>
      <w:pPr>
        <w:ind w:right="340" w:firstLine="757"/>
        <w:spacing w:after="0" w:line="279" w:lineRule="auto"/>
        <w:tabs>
          <w:tab w:leader="none" w:pos="1498" w:val="left"/>
        </w:tabs>
        <w:numPr>
          <w:ilvl w:val="0"/>
          <w:numId w:val="90"/>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Eligibility Requirements. </w:t>
      </w:r>
      <w:r>
        <w:rPr>
          <w:rFonts w:ascii="Arial" w:cs="Arial" w:eastAsia="Arial" w:hAnsi="Arial"/>
          <w:sz w:val="19"/>
          <w:szCs w:val="19"/>
          <w:color w:val="auto"/>
        </w:rPr>
        <w:t>Subject to Section 13 of the Plan, and the exceptions and limitations set forth in</w:t>
      </w:r>
      <w:r>
        <w:rPr>
          <w:rFonts w:ascii="Arial" w:cs="Arial" w:eastAsia="Arial" w:hAnsi="Arial"/>
          <w:sz w:val="19"/>
          <w:szCs w:val="19"/>
          <w:i w:val="1"/>
          <w:iCs w:val="1"/>
          <w:color w:val="auto"/>
        </w:rPr>
        <w:t xml:space="preserve"> </w:t>
      </w:r>
      <w:r>
        <w:rPr>
          <w:rFonts w:ascii="Arial" w:cs="Arial" w:eastAsia="Arial" w:hAnsi="Arial"/>
          <w:sz w:val="19"/>
          <w:szCs w:val="19"/>
          <w:color w:val="auto"/>
        </w:rPr>
        <w:t>Section 4(b), Section 4(c), and Section 6 of the Plan, or as may be provided elsewhere in the Plan, each Employee (i) who has been continuously employed by the Company or a Designated Subsidiary, as applicable, for a period of at least ninety (90) calendar days as of the first day of an Option Period, (ii) whose customary Employment with the Company or a Designated Subsidiary, as applicable, is for more than five (5) months per calendar year, (iii) who customarily works twenty (20) hours or more per week, and (iv) who satisfies the requirements set forth in the Plan will be an Eligible Employee.</w:t>
      </w:r>
    </w:p>
    <w:p>
      <w:pPr>
        <w:spacing w:after="0" w:line="150" w:lineRule="exact"/>
        <w:rPr>
          <w:rFonts w:ascii="Arial" w:cs="Arial" w:eastAsia="Arial" w:hAnsi="Arial"/>
          <w:sz w:val="19"/>
          <w:szCs w:val="19"/>
          <w:i w:val="1"/>
          <w:iCs w:val="1"/>
          <w:color w:val="auto"/>
        </w:rPr>
      </w:pPr>
    </w:p>
    <w:p>
      <w:pPr>
        <w:ind w:right="60" w:firstLine="757"/>
        <w:spacing w:after="0" w:line="238" w:lineRule="auto"/>
        <w:tabs>
          <w:tab w:leader="none" w:pos="1498" w:val="left"/>
        </w:tabs>
        <w:numPr>
          <w:ilvl w:val="0"/>
          <w:numId w:val="90"/>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Five Percent Shareholders. </w:t>
      </w:r>
      <w:r>
        <w:rPr>
          <w:rFonts w:ascii="Arial" w:cs="Arial" w:eastAsia="Arial" w:hAnsi="Arial"/>
          <w:sz w:val="22"/>
          <w:szCs w:val="22"/>
          <w:color w:val="auto"/>
        </w:rPr>
        <w:t>No Employee may be granted an Option under the Plan if, immediately after the</w:t>
      </w:r>
      <w:r>
        <w:rPr>
          <w:rFonts w:ascii="Arial" w:cs="Arial" w:eastAsia="Arial" w:hAnsi="Arial"/>
          <w:sz w:val="22"/>
          <w:szCs w:val="22"/>
          <w:i w:val="1"/>
          <w:iCs w:val="1"/>
          <w:color w:val="auto"/>
        </w:rPr>
        <w:t xml:space="preserve"> </w:t>
      </w:r>
      <w:r>
        <w:rPr>
          <w:rFonts w:ascii="Arial" w:cs="Arial" w:eastAsia="Arial" w:hAnsi="Arial"/>
          <w:sz w:val="22"/>
          <w:szCs w:val="22"/>
          <w:color w:val="auto"/>
        </w:rPr>
        <w:t>Option is granted, the Employee would own (or pursuant to Section 424(d) of the Code would be deemed to own) stock possessing five percent (5%) or more of the total combined voting power or value of all classes of stock of the Company or of its Parent or Subsidiaries, if any.</w:t>
      </w:r>
    </w:p>
    <w:p>
      <w:pPr>
        <w:spacing w:after="0" w:line="184" w:lineRule="exact"/>
        <w:rPr>
          <w:rFonts w:ascii="Arial" w:cs="Arial" w:eastAsia="Arial" w:hAnsi="Arial"/>
          <w:sz w:val="22"/>
          <w:szCs w:val="22"/>
          <w:i w:val="1"/>
          <w:iCs w:val="1"/>
          <w:color w:val="auto"/>
        </w:rPr>
      </w:pPr>
    </w:p>
    <w:p>
      <w:pPr>
        <w:jc w:val="both"/>
        <w:ind w:right="200" w:firstLine="757"/>
        <w:spacing w:after="0"/>
        <w:tabs>
          <w:tab w:leader="none" w:pos="1498" w:val="left"/>
        </w:tabs>
        <w:numPr>
          <w:ilvl w:val="0"/>
          <w:numId w:val="90"/>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Additional Requirements. </w:t>
      </w:r>
      <w:r>
        <w:rPr>
          <w:rFonts w:ascii="Arial" w:cs="Arial" w:eastAsia="Arial" w:hAnsi="Arial"/>
          <w:sz w:val="22"/>
          <w:szCs w:val="22"/>
          <w:color w:val="auto"/>
        </w:rPr>
        <w:t>The Administrator may, for Option Periods that have not yet commenced, establish</w:t>
      </w:r>
      <w:r>
        <w:rPr>
          <w:rFonts w:ascii="Arial" w:cs="Arial" w:eastAsia="Arial" w:hAnsi="Arial"/>
          <w:sz w:val="22"/>
          <w:szCs w:val="22"/>
          <w:i w:val="1"/>
          <w:iCs w:val="1"/>
          <w:color w:val="auto"/>
        </w:rPr>
        <w:t xml:space="preserve"> </w:t>
      </w:r>
      <w:r>
        <w:rPr>
          <w:rFonts w:ascii="Arial" w:cs="Arial" w:eastAsia="Arial" w:hAnsi="Arial"/>
          <w:sz w:val="22"/>
          <w:szCs w:val="22"/>
          <w:color w:val="auto"/>
        </w:rPr>
        <w:t>additional or other eligibility requirements, or amend the eligibility requirements set forth in subsection (a) above, in each case, consistent with the requirements of Section 423.</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5.</w:t>
      </w:r>
      <w:r>
        <w:rPr>
          <w:rFonts w:ascii="Arial" w:cs="Arial" w:eastAsia="Arial" w:hAnsi="Arial"/>
          <w:sz w:val="22"/>
          <w:szCs w:val="22"/>
          <w:b w:val="1"/>
          <w:bCs w:val="1"/>
          <w:color w:val="auto"/>
        </w:rPr>
        <w:t>Option Periods</w:t>
      </w:r>
    </w:p>
    <w:p>
      <w:pPr>
        <w:spacing w:after="0" w:line="206" w:lineRule="exact"/>
        <w:rPr>
          <w:sz w:val="20"/>
          <w:szCs w:val="20"/>
          <w:color w:val="auto"/>
        </w:rPr>
      </w:pPr>
    </w:p>
    <w:p>
      <w:pPr>
        <w:ind w:firstLine="749"/>
        <w:spacing w:after="0" w:line="234" w:lineRule="auto"/>
        <w:rPr>
          <w:sz w:val="20"/>
          <w:szCs w:val="20"/>
          <w:color w:val="auto"/>
        </w:rPr>
      </w:pPr>
      <w:r>
        <w:rPr>
          <w:rFonts w:ascii="Arial" w:cs="Arial" w:eastAsia="Arial" w:hAnsi="Arial"/>
          <w:sz w:val="22"/>
          <w:szCs w:val="22"/>
          <w:color w:val="auto"/>
        </w:rPr>
        <w:t>The Plan will generally be implemented by a series of separate offerings referred to as “</w:t>
      </w:r>
      <w:r>
        <w:rPr>
          <w:rFonts w:ascii="Arial" w:cs="Arial" w:eastAsia="Arial" w:hAnsi="Arial"/>
          <w:sz w:val="22"/>
          <w:szCs w:val="22"/>
          <w:b w:val="1"/>
          <w:bCs w:val="1"/>
          <w:color w:val="auto"/>
        </w:rPr>
        <w:t>Option Periods</w:t>
      </w:r>
      <w:r>
        <w:rPr>
          <w:rFonts w:ascii="Arial" w:cs="Arial" w:eastAsia="Arial" w:hAnsi="Arial"/>
          <w:sz w:val="22"/>
          <w:szCs w:val="22"/>
          <w:color w:val="auto"/>
        </w:rPr>
        <w:t>”. Unless otherwise determined by the Administrator, the Option Periods will be successive periods of approximately six (6) months commencing on the first Business Day in January and July of each year, anticipated to be on or around January 1 and July 1, and ending approximately six months later on the last Business Day in June or December, as applicable, of each year, anticipated to be on or around June 30 and January 31. The last Business Day of each Option Period will be an “</w:t>
      </w:r>
      <w:r>
        <w:rPr>
          <w:rFonts w:ascii="Arial" w:cs="Arial" w:eastAsia="Arial" w:hAnsi="Arial"/>
          <w:sz w:val="22"/>
          <w:szCs w:val="22"/>
          <w:b w:val="1"/>
          <w:bCs w:val="1"/>
          <w:color w:val="auto"/>
        </w:rPr>
        <w:t>Exercise Date</w:t>
      </w:r>
      <w:r>
        <w:rPr>
          <w:rFonts w:ascii="Arial" w:cs="Arial" w:eastAsia="Arial" w:hAnsi="Arial"/>
          <w:sz w:val="22"/>
          <w:szCs w:val="22"/>
          <w:color w:val="auto"/>
        </w:rPr>
        <w:t xml:space="preserve">”. The Administrator may change the Exercise Date, the commencement date, the ending date and the duration of each Option Period, in each case, to the extent permitted by Section 423;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no Option may be exercised after 27 months from its grant date.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b w:val="1"/>
          <w:bCs w:val="1"/>
          <w:color w:val="auto"/>
        </w:rPr>
        <w:t>Option Grant</w:t>
      </w:r>
    </w:p>
    <w:p>
      <w:pPr>
        <w:spacing w:after="0" w:line="212" w:lineRule="exact"/>
        <w:rPr>
          <w:sz w:val="20"/>
          <w:szCs w:val="20"/>
          <w:color w:val="auto"/>
        </w:rPr>
      </w:pPr>
    </w:p>
    <w:p>
      <w:pPr>
        <w:ind w:right="120" w:firstLine="749"/>
        <w:spacing w:after="0" w:line="277" w:lineRule="auto"/>
        <w:rPr>
          <w:sz w:val="20"/>
          <w:szCs w:val="20"/>
          <w:color w:val="auto"/>
        </w:rPr>
      </w:pPr>
      <w:r>
        <w:rPr>
          <w:rFonts w:ascii="Arial" w:cs="Arial" w:eastAsia="Arial" w:hAnsi="Arial"/>
          <w:sz w:val="19"/>
          <w:szCs w:val="19"/>
          <w:color w:val="auto"/>
        </w:rPr>
        <w:t xml:space="preserve">Subject to the limitations set forth in Sections 4 and 10 of the Plan and the Maximum Share Limit, on the first day of an Option Period, each Participant automatically will be granted an Option to purchase shares of Stock on the Exercise Date;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no Participant will be granted an Option under the Plan that permits the Participant’s right to purchase</w:t>
      </w:r>
      <w:r>
        <w:rPr>
          <w:rFonts w:ascii="Arial" w:cs="Arial" w:eastAsia="Arial" w:hAnsi="Arial"/>
          <w:sz w:val="19"/>
          <w:szCs w:val="19"/>
          <w:i w:val="1"/>
          <w:iCs w:val="1"/>
          <w:color w:val="auto"/>
        </w:rPr>
        <w:t xml:space="preserve"> </w:t>
      </w:r>
      <w:r>
        <w:rPr>
          <w:rFonts w:ascii="Arial" w:cs="Arial" w:eastAsia="Arial" w:hAnsi="Arial"/>
          <w:sz w:val="19"/>
          <w:szCs w:val="19"/>
          <w:color w:val="auto"/>
        </w:rPr>
        <w:t>shares of Stock under the Plan and under all other employee stock purchase plans of the Company and its Parent and Subsidiaries, if any, to accrue at a rate that exceeds $25,000 in Fair Market Value (or such other maximum as may be prescribed from time to time by the Code) for each calendar year during which any Option granted to such Participant is outstanding at any time, as determined in accordance with Section 423(b)(8) of the Code.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7.</w:t>
      </w:r>
      <w:r>
        <w:rPr>
          <w:rFonts w:ascii="Arial" w:cs="Arial" w:eastAsia="Arial" w:hAnsi="Arial"/>
          <w:sz w:val="22"/>
          <w:szCs w:val="22"/>
          <w:b w:val="1"/>
          <w:bCs w:val="1"/>
          <w:color w:val="auto"/>
        </w:rPr>
        <w:t>Method of Participation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75" w:name="page176"/>
    <w:bookmarkEnd w:id="175"/>
    <w:p>
      <w:pPr>
        <w:ind w:right="40" w:firstLine="757"/>
        <w:spacing w:after="0" w:line="277" w:lineRule="auto"/>
        <w:tabs>
          <w:tab w:leader="none" w:pos="1498" w:val="left"/>
        </w:tabs>
        <w:numPr>
          <w:ilvl w:val="0"/>
          <w:numId w:val="91"/>
        </w:numPr>
        <w:rPr>
          <w:rFonts w:ascii="Arial" w:cs="Arial" w:eastAsia="Arial" w:hAnsi="Arial"/>
          <w:sz w:val="19"/>
          <w:szCs w:val="19"/>
          <w:i w:val="1"/>
          <w:iCs w:val="1"/>
          <w:color w:val="auto"/>
        </w:rPr>
      </w:pPr>
      <w:r>
        <w:rPr>
          <w:rFonts w:ascii="Arial" w:cs="Arial" w:eastAsia="Arial" w:hAnsi="Arial"/>
          <w:sz w:val="19"/>
          <w:szCs w:val="19"/>
          <w:i w:val="1"/>
          <w:iCs w:val="1"/>
          <w:color w:val="auto"/>
        </w:rPr>
        <w:t>Payroll Deduction and Participation Authorization</w:t>
      </w:r>
      <w:r>
        <w:rPr>
          <w:rFonts w:ascii="Arial" w:cs="Arial" w:eastAsia="Arial" w:hAnsi="Arial"/>
          <w:sz w:val="19"/>
          <w:szCs w:val="19"/>
          <w:color w:val="auto"/>
        </w:rPr>
        <w:t>. To participate in an Option Period, an Eligible Employee</w:t>
      </w:r>
      <w:r>
        <w:rPr>
          <w:rFonts w:ascii="Arial" w:cs="Arial" w:eastAsia="Arial" w:hAnsi="Arial"/>
          <w:sz w:val="19"/>
          <w:szCs w:val="19"/>
          <w:i w:val="1"/>
          <w:iCs w:val="1"/>
          <w:color w:val="auto"/>
        </w:rPr>
        <w:t xml:space="preserve"> </w:t>
      </w:r>
      <w:r>
        <w:rPr>
          <w:rFonts w:ascii="Arial" w:cs="Arial" w:eastAsia="Arial" w:hAnsi="Arial"/>
          <w:sz w:val="19"/>
          <w:szCs w:val="19"/>
          <w:color w:val="auto"/>
        </w:rPr>
        <w:t>must execute and deliver to the Administrator a payroll deduction and participation authorization form in accordance with the procedures prescribed by, and in a form acceptable to, the Administrator and, in so doing, the Eligible Employee will thereby become a Participant as of the first day of such Option Period. Such an Eligible Employee will remain a Participant with respect to subsequent Option Periods until his or her participation in the Plan is terminated as provided herein. Such payroll deduction and participation authorization must be delivered not later than fourteen (14) calendar days prior to the first day of an Option Period, or such other time as specified by the Administrator.</w:t>
      </w:r>
    </w:p>
    <w:p>
      <w:pPr>
        <w:spacing w:after="0" w:line="151" w:lineRule="exact"/>
        <w:rPr>
          <w:rFonts w:ascii="Arial" w:cs="Arial" w:eastAsia="Arial" w:hAnsi="Arial"/>
          <w:sz w:val="19"/>
          <w:szCs w:val="19"/>
          <w:i w:val="1"/>
          <w:iCs w:val="1"/>
          <w:color w:val="auto"/>
        </w:rPr>
      </w:pPr>
    </w:p>
    <w:p>
      <w:pPr>
        <w:ind w:right="60" w:firstLine="757"/>
        <w:spacing w:after="0" w:line="287" w:lineRule="auto"/>
        <w:tabs>
          <w:tab w:leader="none" w:pos="1498" w:val="left"/>
        </w:tabs>
        <w:numPr>
          <w:ilvl w:val="0"/>
          <w:numId w:val="91"/>
        </w:numPr>
        <w:rPr>
          <w:rFonts w:ascii="Arial" w:cs="Arial" w:eastAsia="Arial" w:hAnsi="Arial"/>
          <w:sz w:val="19"/>
          <w:szCs w:val="19"/>
          <w:i w:val="1"/>
          <w:iCs w:val="1"/>
          <w:color w:val="auto"/>
        </w:rPr>
      </w:pPr>
      <w:r>
        <w:rPr>
          <w:rFonts w:ascii="Arial" w:cs="Arial" w:eastAsia="Arial" w:hAnsi="Arial"/>
          <w:sz w:val="19"/>
          <w:szCs w:val="19"/>
          <w:i w:val="1"/>
          <w:iCs w:val="1"/>
          <w:color w:val="auto"/>
        </w:rPr>
        <w:t>Changes to Payroll Deduction Authorization for Subsequent Option Periods</w:t>
      </w:r>
      <w:r>
        <w:rPr>
          <w:rFonts w:ascii="Arial" w:cs="Arial" w:eastAsia="Arial" w:hAnsi="Arial"/>
          <w:sz w:val="19"/>
          <w:szCs w:val="19"/>
          <w:color w:val="auto"/>
        </w:rPr>
        <w:t>. A Participant’s payroll deduction</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authorization will remain in effect for subsequent Option Periods unless the Participant files a new authorization not later than fourteen (14) calendar days prior to the first day of the subsequent Option Period (or such other time as specified by the Administrator) or the Participant’s Option is cancelled pursuant to Section 13 or Section 14 of the Plan.</w:t>
      </w:r>
    </w:p>
    <w:p>
      <w:pPr>
        <w:spacing w:after="0" w:line="142" w:lineRule="exact"/>
        <w:rPr>
          <w:rFonts w:ascii="Arial" w:cs="Arial" w:eastAsia="Arial" w:hAnsi="Arial"/>
          <w:sz w:val="19"/>
          <w:szCs w:val="19"/>
          <w:i w:val="1"/>
          <w:iCs w:val="1"/>
          <w:color w:val="auto"/>
        </w:rPr>
      </w:pPr>
    </w:p>
    <w:p>
      <w:pPr>
        <w:ind w:right="160" w:firstLine="757"/>
        <w:spacing w:after="0" w:line="287" w:lineRule="auto"/>
        <w:tabs>
          <w:tab w:leader="none" w:pos="1498" w:val="left"/>
        </w:tabs>
        <w:numPr>
          <w:ilvl w:val="0"/>
          <w:numId w:val="9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Changes to Payroll Deduction Authorization for Current Option Period. </w:t>
      </w:r>
      <w:r>
        <w:rPr>
          <w:rFonts w:ascii="Arial" w:cs="Arial" w:eastAsia="Arial" w:hAnsi="Arial"/>
          <w:sz w:val="19"/>
          <w:szCs w:val="19"/>
          <w:color w:val="auto"/>
        </w:rPr>
        <w:t>During an Option Period, a</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Participant’s payroll deduction authorization (i) may not be increased, but (ii) may be decreased on the terms and subject to the conditions established by the Administrator. A Participant may terminate his or her payroll deduction authorization at any time during an Option Period by canceling his or her Option in accordance with Section 13 of the Plan.</w:t>
      </w:r>
    </w:p>
    <w:p>
      <w:pPr>
        <w:spacing w:after="0" w:line="142" w:lineRule="exact"/>
        <w:rPr>
          <w:rFonts w:ascii="Arial" w:cs="Arial" w:eastAsia="Arial" w:hAnsi="Arial"/>
          <w:sz w:val="19"/>
          <w:szCs w:val="19"/>
          <w:i w:val="1"/>
          <w:iCs w:val="1"/>
          <w:color w:val="auto"/>
        </w:rPr>
      </w:pPr>
    </w:p>
    <w:p>
      <w:pPr>
        <w:ind w:right="400" w:firstLine="757"/>
        <w:spacing w:after="0" w:line="238" w:lineRule="auto"/>
        <w:tabs>
          <w:tab w:leader="none" w:pos="1498" w:val="left"/>
        </w:tabs>
        <w:numPr>
          <w:ilvl w:val="0"/>
          <w:numId w:val="91"/>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Payroll Deduction Percentage. </w:t>
      </w:r>
      <w:r>
        <w:rPr>
          <w:rFonts w:ascii="Arial" w:cs="Arial" w:eastAsia="Arial" w:hAnsi="Arial"/>
          <w:sz w:val="22"/>
          <w:szCs w:val="22"/>
          <w:color w:val="auto"/>
        </w:rPr>
        <w:t>Each payroll deduction authorization will authorize payroll deductions as a</w:t>
      </w:r>
      <w:r>
        <w:rPr>
          <w:rFonts w:ascii="Arial" w:cs="Arial" w:eastAsia="Arial" w:hAnsi="Arial"/>
          <w:sz w:val="22"/>
          <w:szCs w:val="22"/>
          <w:i w:val="1"/>
          <w:iCs w:val="1"/>
          <w:color w:val="auto"/>
        </w:rPr>
        <w:t xml:space="preserve"> </w:t>
      </w:r>
      <w:r>
        <w:rPr>
          <w:rFonts w:ascii="Arial" w:cs="Arial" w:eastAsia="Arial" w:hAnsi="Arial"/>
          <w:sz w:val="22"/>
          <w:szCs w:val="22"/>
          <w:color w:val="auto"/>
        </w:rPr>
        <w:t>whole percentage from 1% up to 20% of the employee’s Eligible Compensation per payroll period, with the high end of the permitted payroll deduction percentage subject to reduction by the Administrator on or prior to the beginning of an Option Period.</w:t>
      </w:r>
    </w:p>
    <w:p>
      <w:pPr>
        <w:spacing w:after="0" w:line="184" w:lineRule="exact"/>
        <w:rPr>
          <w:rFonts w:ascii="Arial" w:cs="Arial" w:eastAsia="Arial" w:hAnsi="Arial"/>
          <w:sz w:val="22"/>
          <w:szCs w:val="22"/>
          <w:i w:val="1"/>
          <w:iCs w:val="1"/>
          <w:color w:val="auto"/>
        </w:rPr>
      </w:pPr>
    </w:p>
    <w:p>
      <w:pPr>
        <w:jc w:val="both"/>
        <w:ind w:right="500" w:firstLine="757"/>
        <w:spacing w:after="0"/>
        <w:tabs>
          <w:tab w:leader="none" w:pos="1498" w:val="left"/>
        </w:tabs>
        <w:numPr>
          <w:ilvl w:val="0"/>
          <w:numId w:val="91"/>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Payroll Deduction Account. </w:t>
      </w:r>
      <w:r>
        <w:rPr>
          <w:rFonts w:ascii="Arial" w:cs="Arial" w:eastAsia="Arial" w:hAnsi="Arial"/>
          <w:sz w:val="22"/>
          <w:szCs w:val="22"/>
          <w:color w:val="auto"/>
        </w:rPr>
        <w:t>All payroll deductions made pursuant to this Section 7 will be credited to the</w:t>
      </w:r>
      <w:r>
        <w:rPr>
          <w:rFonts w:ascii="Arial" w:cs="Arial" w:eastAsia="Arial" w:hAnsi="Arial"/>
          <w:sz w:val="22"/>
          <w:szCs w:val="22"/>
          <w:i w:val="1"/>
          <w:iCs w:val="1"/>
          <w:color w:val="auto"/>
        </w:rPr>
        <w:t xml:space="preserve"> </w:t>
      </w:r>
      <w:r>
        <w:rPr>
          <w:rFonts w:ascii="Arial" w:cs="Arial" w:eastAsia="Arial" w:hAnsi="Arial"/>
          <w:sz w:val="22"/>
          <w:szCs w:val="22"/>
          <w:color w:val="auto"/>
        </w:rPr>
        <w:t>Participant’s Account. Amounts credited to a Participant’s Account will not be required to be set aside in trust or otherwise segregated from the Company’s general assets.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b w:val="1"/>
          <w:bCs w:val="1"/>
          <w:color w:val="auto"/>
        </w:rPr>
        <w:t>Method of Payment</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A Participant must pay for shares of Stock purchased under the Plan with accumulated payroll deductions credited to the Participant’s Account.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9.</w:t>
      </w:r>
      <w:r>
        <w:rPr>
          <w:rFonts w:ascii="Arial" w:cs="Arial" w:eastAsia="Arial" w:hAnsi="Arial"/>
          <w:sz w:val="22"/>
          <w:szCs w:val="22"/>
          <w:b w:val="1"/>
          <w:bCs w:val="1"/>
          <w:color w:val="auto"/>
        </w:rPr>
        <w:t>Purchase Price</w:t>
      </w:r>
    </w:p>
    <w:p>
      <w:pPr>
        <w:spacing w:after="0" w:line="212" w:lineRule="exact"/>
        <w:rPr>
          <w:sz w:val="20"/>
          <w:szCs w:val="20"/>
          <w:color w:val="auto"/>
        </w:rPr>
      </w:pPr>
    </w:p>
    <w:p>
      <w:pPr>
        <w:ind w:right="20" w:firstLine="749"/>
        <w:spacing w:after="0" w:line="249" w:lineRule="auto"/>
        <w:rPr>
          <w:sz w:val="20"/>
          <w:szCs w:val="20"/>
          <w:color w:val="auto"/>
        </w:rPr>
      </w:pPr>
      <w:r>
        <w:rPr>
          <w:rFonts w:ascii="Arial" w:cs="Arial" w:eastAsia="Arial" w:hAnsi="Arial"/>
          <w:sz w:val="21"/>
          <w:szCs w:val="21"/>
          <w:color w:val="auto"/>
        </w:rPr>
        <w:t>The Purchase Price of shares of Stock issued pursuant to the exercise of an Option on each Exercise Date will be eighty-five percent (85%) (or such greater percentage specified by the Administrator to the extent permitted under Section 423) of the lesser of (a) the Fair Market Value of a share of Stock on the date on which the Option was granted pursuant to Section 6 of the Plan (</w:t>
      </w:r>
      <w:r>
        <w:rPr>
          <w:rFonts w:ascii="Arial" w:cs="Arial" w:eastAsia="Arial" w:hAnsi="Arial"/>
          <w:sz w:val="21"/>
          <w:szCs w:val="21"/>
          <w:i w:val="1"/>
          <w:iCs w:val="1"/>
          <w:color w:val="auto"/>
        </w:rPr>
        <w:t>i.e.</w:t>
      </w:r>
      <w:r>
        <w:rPr>
          <w:rFonts w:ascii="Arial" w:cs="Arial" w:eastAsia="Arial" w:hAnsi="Arial"/>
          <w:sz w:val="21"/>
          <w:szCs w:val="21"/>
          <w:color w:val="auto"/>
        </w:rPr>
        <w:t>, the first day of the Option Period) and (b) the Fair Market Value of a share of Stock on the date on which the Option is deemed exercised pursuant to Section 10 of the Plan (</w:t>
      </w:r>
      <w:r>
        <w:rPr>
          <w:rFonts w:ascii="Arial" w:cs="Arial" w:eastAsia="Arial" w:hAnsi="Arial"/>
          <w:sz w:val="21"/>
          <w:szCs w:val="21"/>
          <w:i w:val="1"/>
          <w:iCs w:val="1"/>
          <w:color w:val="auto"/>
        </w:rPr>
        <w:t>i.e.</w:t>
      </w:r>
      <w:r>
        <w:rPr>
          <w:rFonts w:ascii="Arial" w:cs="Arial" w:eastAsia="Arial" w:hAnsi="Arial"/>
          <w:sz w:val="21"/>
          <w:szCs w:val="21"/>
          <w:color w:val="auto"/>
        </w:rPr>
        <w:t>, the Exercise Date).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10.</w:t>
      </w:r>
      <w:r>
        <w:rPr>
          <w:rFonts w:ascii="Arial" w:cs="Arial" w:eastAsia="Arial" w:hAnsi="Arial"/>
          <w:sz w:val="22"/>
          <w:szCs w:val="22"/>
          <w:b w:val="1"/>
          <w:bCs w:val="1"/>
          <w:color w:val="auto"/>
        </w:rPr>
        <w:t>Exercise of Options</w:t>
      </w:r>
    </w:p>
    <w:p>
      <w:pPr>
        <w:spacing w:after="0" w:line="212" w:lineRule="exact"/>
        <w:rPr>
          <w:sz w:val="20"/>
          <w:szCs w:val="20"/>
          <w:color w:val="auto"/>
        </w:rPr>
      </w:pPr>
    </w:p>
    <w:p>
      <w:pPr>
        <w:ind w:right="20" w:firstLine="757"/>
        <w:spacing w:after="0" w:line="244" w:lineRule="auto"/>
        <w:tabs>
          <w:tab w:leader="none" w:pos="1498" w:val="left"/>
        </w:tabs>
        <w:numPr>
          <w:ilvl w:val="0"/>
          <w:numId w:val="92"/>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Purchase of Shares. </w:t>
      </w:r>
      <w:r>
        <w:rPr>
          <w:rFonts w:ascii="Arial" w:cs="Arial" w:eastAsia="Arial" w:hAnsi="Arial"/>
          <w:sz w:val="21"/>
          <w:szCs w:val="21"/>
          <w:color w:val="auto"/>
        </w:rPr>
        <w:t>Subject to the limitations set forth in Section 6 of the Plan and this Section 10, with respect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to each Option Period, on the applicable Exercise Date, each Participant will be deemed to have exercised his or her Option and the accumulated payroll deductions in the Participant’s Account will be applied to purchase the greatest number of shares of Stock (rounded down to the nearest whole share) that can be purchased with such Account balance at the applicable Purchase Price;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no more than 5,000 shares of Stock may be purchased by a Participant on any Exercise Date, or such lesser number as the Administrator may prescribe in accordance with Section 423 (the “</w:t>
      </w:r>
      <w:r>
        <w:rPr>
          <w:rFonts w:ascii="Arial" w:cs="Arial" w:eastAsia="Arial" w:hAnsi="Arial"/>
          <w:sz w:val="21"/>
          <w:szCs w:val="21"/>
          <w:b w:val="1"/>
          <w:bCs w:val="1"/>
          <w:color w:val="auto"/>
        </w:rPr>
        <w:t>Maximum Share Limit</w:t>
      </w:r>
      <w:r>
        <w:rPr>
          <w:rFonts w:ascii="Arial" w:cs="Arial" w:eastAsia="Arial" w:hAnsi="Arial"/>
          <w:sz w:val="21"/>
          <w:szCs w:val="21"/>
          <w:color w:val="auto"/>
        </w:rPr>
        <w:t>”). As soon as practicable thereafter, shares of Stock so purchased will be placed, in book-entry form, into a record keeping account in the name of the Participant. No fractional shares will be purchased pursuant to the exercise of an Option under the Plan; any accumulated payroll deductions in a Participant’s Account that are not sufficient to purchase a whole share will be retained in the Participant’s Account for the subsequent Option Period, subject to earlier withdrawal by the Participant as provided in Section 13 hereof.</w:t>
      </w:r>
    </w:p>
    <w:p>
      <w:pPr>
        <w:spacing w:after="0" w:line="188" w:lineRule="exact"/>
        <w:rPr>
          <w:rFonts w:ascii="Arial" w:cs="Arial" w:eastAsia="Arial" w:hAnsi="Arial"/>
          <w:sz w:val="21"/>
          <w:szCs w:val="21"/>
          <w:i w:val="1"/>
          <w:iCs w:val="1"/>
          <w:color w:val="auto"/>
        </w:rPr>
      </w:pPr>
    </w:p>
    <w:p>
      <w:pPr>
        <w:ind w:firstLine="757"/>
        <w:spacing w:after="0" w:line="274" w:lineRule="auto"/>
        <w:tabs>
          <w:tab w:leader="none" w:pos="1498" w:val="left"/>
        </w:tabs>
        <w:numPr>
          <w:ilvl w:val="0"/>
          <w:numId w:val="92"/>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Return of Account Balance. </w:t>
      </w:r>
      <w:r>
        <w:rPr>
          <w:rFonts w:ascii="Arial" w:cs="Arial" w:eastAsia="Arial" w:hAnsi="Arial"/>
          <w:sz w:val="19"/>
          <w:szCs w:val="19"/>
          <w:color w:val="auto"/>
        </w:rPr>
        <w:t>Except as provided in Section 10(a) above with respect to fractional shares, any</w:t>
      </w:r>
      <w:r>
        <w:rPr>
          <w:rFonts w:ascii="Arial" w:cs="Arial" w:eastAsia="Arial" w:hAnsi="Arial"/>
          <w:sz w:val="19"/>
          <w:szCs w:val="19"/>
          <w:i w:val="1"/>
          <w:iCs w:val="1"/>
          <w:color w:val="auto"/>
        </w:rPr>
        <w:t xml:space="preserve"> </w:t>
      </w:r>
      <w:r>
        <w:rPr>
          <w:rFonts w:ascii="Arial" w:cs="Arial" w:eastAsia="Arial" w:hAnsi="Arial"/>
          <w:sz w:val="19"/>
          <w:szCs w:val="19"/>
          <w:color w:val="auto"/>
        </w:rPr>
        <w:t>accumulated amount of payroll deductions in a Participant’s Account for an Option Period that are not used for the purchase of shares of Stock, whether because of the Participant’s withdrawal from participation in an Option Period or for any other reason, will be returned to the Participant (or his or her designated beneficiary or legal representative, as applicable), without interest, as soon as administratively practicable after such withdrawal or other event, as applicable. If the Participant’s accumulated payroll deductions on the Exercise Date of an Option Period would otherwise enable the Participant to purchase shares of Stock in excess of the Maximum Share Limit or the maximum Fair Market Value set forth in Section 6 of the Plan, the excess of the amount of the accumulated payroll deductions over the aggregate Purchase Price of the shares of Stock actually purchased will be returned to the Participant, without interest, as soon as administratively practicable after such Exercise Date.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11.</w:t>
      </w:r>
      <w:r>
        <w:rPr>
          <w:rFonts w:ascii="Arial" w:cs="Arial" w:eastAsia="Arial" w:hAnsi="Arial"/>
          <w:sz w:val="22"/>
          <w:szCs w:val="22"/>
          <w:b w:val="1"/>
          <w:bCs w:val="1"/>
          <w:color w:val="auto"/>
        </w:rPr>
        <w:t>Interest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 interest will accrue or be payable on any amount held in the Account of any Participant.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12.</w:t>
      </w:r>
      <w:r>
        <w:rPr>
          <w:rFonts w:ascii="Arial" w:cs="Arial" w:eastAsia="Arial" w:hAnsi="Arial"/>
          <w:sz w:val="22"/>
          <w:szCs w:val="22"/>
          <w:b w:val="1"/>
          <w:bCs w:val="1"/>
          <w:color w:val="auto"/>
        </w:rPr>
        <w:t>Taxes</w:t>
      </w:r>
    </w:p>
    <w:p>
      <w:pPr>
        <w:spacing w:after="0" w:line="212" w:lineRule="exact"/>
        <w:rPr>
          <w:sz w:val="20"/>
          <w:szCs w:val="20"/>
          <w:color w:val="auto"/>
        </w:rPr>
      </w:pPr>
    </w:p>
    <w:p>
      <w:pPr>
        <w:ind w:right="20" w:firstLine="749"/>
        <w:spacing w:after="0" w:line="234" w:lineRule="auto"/>
        <w:rPr>
          <w:sz w:val="20"/>
          <w:szCs w:val="20"/>
          <w:color w:val="auto"/>
        </w:rPr>
      </w:pPr>
      <w:r>
        <w:rPr>
          <w:rFonts w:ascii="Arial" w:cs="Arial" w:eastAsia="Arial" w:hAnsi="Arial"/>
          <w:sz w:val="22"/>
          <w:szCs w:val="22"/>
          <w:color w:val="auto"/>
        </w:rPr>
        <w:t>Payroll deductions will be made on an after-tax basis. The Administrator will have the right to make such provision as it deems necessary for, and may condition the exercise of an Option on, the satisfaction of its obligations to withhold federal, state, local income or other taxes incurred by reason of the purchase or disposition of shares of Stock under the Plan. In the Administrator’s discretion and subject to applicable law, such tax obligations may be satisfied in whole or in part by delivery of shares of Stock to the Company, including shares of Stock purchased under the Plan, valued at Fair Market Value, but not in excess of the maximum withholding amount consistent with the award being subject to equity accounting treatment under the Accounting Rules.</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13.</w:t>
      </w:r>
      <w:r>
        <w:rPr>
          <w:rFonts w:ascii="Arial" w:cs="Arial" w:eastAsia="Arial" w:hAnsi="Arial"/>
          <w:sz w:val="22"/>
          <w:szCs w:val="22"/>
          <w:b w:val="1"/>
          <w:bCs w:val="1"/>
          <w:color w:val="auto"/>
        </w:rPr>
        <w:t>Cancellation and Withdrawal</w:t>
      </w:r>
    </w:p>
    <w:p>
      <w:pPr>
        <w:spacing w:after="0" w:line="212" w:lineRule="exact"/>
        <w:rPr>
          <w:sz w:val="20"/>
          <w:szCs w:val="20"/>
          <w:color w:val="auto"/>
        </w:rPr>
      </w:pPr>
    </w:p>
    <w:p>
      <w:pPr>
        <w:ind w:right="60" w:firstLine="757"/>
        <w:spacing w:after="0" w:line="244" w:lineRule="auto"/>
        <w:tabs>
          <w:tab w:leader="none" w:pos="1498" w:val="left"/>
        </w:tabs>
        <w:numPr>
          <w:ilvl w:val="0"/>
          <w:numId w:val="93"/>
        </w:numPr>
        <w:rPr>
          <w:rFonts w:ascii="Arial" w:cs="Arial" w:eastAsia="Arial" w:hAnsi="Arial"/>
          <w:sz w:val="21"/>
          <w:szCs w:val="21"/>
          <w:i w:val="1"/>
          <w:iCs w:val="1"/>
          <w:color w:val="auto"/>
        </w:rPr>
      </w:pPr>
      <w:r>
        <w:rPr>
          <w:rFonts w:ascii="Arial" w:cs="Arial" w:eastAsia="Arial" w:hAnsi="Arial"/>
          <w:sz w:val="21"/>
          <w:szCs w:val="21"/>
          <w:i w:val="1"/>
          <w:iCs w:val="1"/>
          <w:color w:val="auto"/>
        </w:rPr>
        <w:t xml:space="preserve">Cancellation of Payroll Deduction Authorization and Withdrawal from Plan. </w:t>
      </w:r>
      <w:r>
        <w:rPr>
          <w:rFonts w:ascii="Arial" w:cs="Arial" w:eastAsia="Arial" w:hAnsi="Arial"/>
          <w:sz w:val="21"/>
          <w:szCs w:val="21"/>
          <w:color w:val="auto"/>
        </w:rPr>
        <w:t>A Participant who has been</w:t>
      </w:r>
      <w:r>
        <w:rPr>
          <w:rFonts w:ascii="Arial" w:cs="Arial" w:eastAsia="Arial" w:hAnsi="Arial"/>
          <w:sz w:val="21"/>
          <w:szCs w:val="21"/>
          <w:i w:val="1"/>
          <w:iCs w:val="1"/>
          <w:color w:val="auto"/>
        </w:rPr>
        <w:t xml:space="preserve"> </w:t>
      </w:r>
      <w:r>
        <w:rPr>
          <w:rFonts w:ascii="Arial" w:cs="Arial" w:eastAsia="Arial" w:hAnsi="Arial"/>
          <w:sz w:val="21"/>
          <w:szCs w:val="21"/>
          <w:color w:val="auto"/>
        </w:rPr>
        <w:t>granted an Option under the Plan may cancel all (but not less than all) of such Option and terminate his or her participation in the Plan by notice to the Administrator in accordance with the procedures prescribed by, and in a form acceptable to, the Administrator. To be effective with respect to an upcoming Exercise Date, such cancellation notice must be delivered not later than fourteen (14) calendar days prior to such Exercise Date (or such other time as specified by the Administrator). Upon such termination and cancellation, the balance in the Participant’s Account will be returned to the Participant, without interest, as soon as administratively practicable thereafter. For the avoidance of doubt, a Participant who reduces his or her withholding rate for a future Option Period to 0% pursuant to Section 7 of the Plan will be deemed to have terminated his or her payroll deduction authorization and canceled his or her participation in the Plan as to such Option Period and all future Option Periods, unless the Participant delivers a new payroll deduction authorization for a subsequent Option Period in accordance with the rules of Section 7(b) of the Plan.</w:t>
      </w:r>
    </w:p>
    <w:p>
      <w:pPr>
        <w:spacing w:after="0" w:line="188" w:lineRule="exact"/>
        <w:rPr>
          <w:rFonts w:ascii="Arial" w:cs="Arial" w:eastAsia="Arial" w:hAnsi="Arial"/>
          <w:sz w:val="21"/>
          <w:szCs w:val="21"/>
          <w:i w:val="1"/>
          <w:iCs w:val="1"/>
          <w:color w:val="auto"/>
        </w:rPr>
      </w:pPr>
    </w:p>
    <w:p>
      <w:pPr>
        <w:ind w:right="40" w:firstLine="757"/>
        <w:spacing w:after="0" w:line="282" w:lineRule="auto"/>
        <w:tabs>
          <w:tab w:leader="none" w:pos="1498" w:val="left"/>
        </w:tabs>
        <w:numPr>
          <w:ilvl w:val="0"/>
          <w:numId w:val="9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401(k) Hardship Withdrawal. </w:t>
      </w:r>
      <w:r>
        <w:rPr>
          <w:rFonts w:ascii="Arial" w:cs="Arial" w:eastAsia="Arial" w:hAnsi="Arial"/>
          <w:sz w:val="19"/>
          <w:szCs w:val="19"/>
          <w:color w:val="auto"/>
        </w:rPr>
        <w:t>To the extent a suspension of contribution is required by a 401(k) Plan</w:t>
      </w:r>
      <w:r>
        <w:rPr>
          <w:rFonts w:ascii="Arial" w:cs="Arial" w:eastAsia="Arial" w:hAnsi="Arial"/>
          <w:sz w:val="19"/>
          <w:szCs w:val="19"/>
          <w:i w:val="1"/>
          <w:iCs w:val="1"/>
          <w:color w:val="auto"/>
        </w:rPr>
        <w:t xml:space="preserve"> </w:t>
      </w:r>
      <w:r>
        <w:rPr>
          <w:rFonts w:ascii="Arial" w:cs="Arial" w:eastAsia="Arial" w:hAnsi="Arial"/>
          <w:sz w:val="19"/>
          <w:szCs w:val="19"/>
          <w:color w:val="auto"/>
        </w:rPr>
        <w:t>maintained by the Company or a Subsidiary, a Participant who makes a hardship withdrawal from such 401(k) Plan shall be deemed to have terminated his or her payroll deduction authorization as of the date of such hardship withdrawal, shall cease to be a Participant as of such date, shall be deemed to have canceled any outstanding Options, and shall not be permitted to participate in the Plan until the first Option Period commencing after the suspension of contributions ceases to apply to the Participant.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14.</w:t>
      </w:r>
      <w:r>
        <w:rPr>
          <w:rFonts w:ascii="Arial" w:cs="Arial" w:eastAsia="Arial" w:hAnsi="Arial"/>
          <w:sz w:val="22"/>
          <w:szCs w:val="22"/>
          <w:b w:val="1"/>
          <w:bCs w:val="1"/>
          <w:color w:val="auto"/>
        </w:rPr>
        <w:t>Termination of Employment; Death of Participant</w:t>
      </w:r>
    </w:p>
    <w:p>
      <w:pPr>
        <w:spacing w:after="0" w:line="212" w:lineRule="exact"/>
        <w:rPr>
          <w:sz w:val="20"/>
          <w:szCs w:val="20"/>
          <w:color w:val="auto"/>
        </w:rPr>
      </w:pPr>
    </w:p>
    <w:p>
      <w:pPr>
        <w:ind w:firstLine="749"/>
        <w:spacing w:after="0" w:line="248" w:lineRule="auto"/>
        <w:rPr>
          <w:sz w:val="20"/>
          <w:szCs w:val="20"/>
          <w:color w:val="auto"/>
        </w:rPr>
      </w:pPr>
      <w:r>
        <w:rPr>
          <w:rFonts w:ascii="Arial" w:cs="Arial" w:eastAsia="Arial" w:hAnsi="Arial"/>
          <w:sz w:val="21"/>
          <w:szCs w:val="21"/>
          <w:color w:val="auto"/>
        </w:rPr>
        <w:t>Upon the termination of a Participant’s employment with the Company or a Designated Subsidiary, as applicable, for any reason (including the death of a Participant during an Option Period prior to an Exercise Date) or in the event the Participant ceases to qualify as an Eligible Employee, the Participant will cease to be a Participant, any Option held by the Participant under the Plan will be canceled, the balance in the Participant’s Account will be returned to the Participant (or his or her estate or designated beneficiary in the event of the Participant’s death), without interest, as soon as administratively practicable thereafter, and the Participant will have no further rights under the Plan.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15.</w:t>
      </w:r>
      <w:r>
        <w:rPr>
          <w:rFonts w:ascii="Arial" w:cs="Arial" w:eastAsia="Arial" w:hAnsi="Arial"/>
          <w:sz w:val="22"/>
          <w:szCs w:val="22"/>
          <w:b w:val="1"/>
          <w:bCs w:val="1"/>
          <w:color w:val="auto"/>
        </w:rPr>
        <w:t>Equal Rights; Participant’s Rights Not Transferable</w:t>
      </w:r>
    </w:p>
    <w:p>
      <w:pPr>
        <w:spacing w:after="0" w:line="212" w:lineRule="exact"/>
        <w:rPr>
          <w:sz w:val="20"/>
          <w:szCs w:val="20"/>
          <w:color w:val="auto"/>
        </w:rPr>
      </w:pPr>
    </w:p>
    <w:p>
      <w:pPr>
        <w:ind w:right="60" w:firstLine="749"/>
        <w:spacing w:after="0" w:line="279" w:lineRule="auto"/>
        <w:rPr>
          <w:sz w:val="20"/>
          <w:szCs w:val="20"/>
          <w:color w:val="auto"/>
        </w:rPr>
      </w:pPr>
      <w:r>
        <w:rPr>
          <w:rFonts w:ascii="Arial" w:cs="Arial" w:eastAsia="Arial" w:hAnsi="Arial"/>
          <w:sz w:val="19"/>
          <w:szCs w:val="19"/>
          <w:color w:val="auto"/>
        </w:rPr>
        <w:t>All Participants granted Options in an offering under the Plan will have the same rights and privileges, consistent with the requirements set forth in Section 423. Any Option granted under the Plan will be exercisable during the Participant’s lifetime only by him or her and may not be sold, pledged, assigned, or transferred in any manner. In the event any Participant violates or attempts to violate the terms of this Section 15, as determined by the Administrator in its sole discretion, any Options granted to the Participant under the Plan may be terminated by the Company and, upon the return to the Participant of the balance of his or her Account, without interest, all of the Participant’s rights under the Plan will terminate.</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16.</w:t>
      </w:r>
      <w:r>
        <w:rPr>
          <w:rFonts w:ascii="Arial" w:cs="Arial" w:eastAsia="Arial" w:hAnsi="Arial"/>
          <w:sz w:val="22"/>
          <w:szCs w:val="22"/>
          <w:b w:val="1"/>
          <w:bCs w:val="1"/>
          <w:color w:val="auto"/>
        </w:rPr>
        <w:t>Change in Capitalization; Corporate Transaction</w:t>
      </w:r>
    </w:p>
    <w:p>
      <w:pPr>
        <w:spacing w:after="0" w:line="212" w:lineRule="exact"/>
        <w:rPr>
          <w:sz w:val="20"/>
          <w:szCs w:val="20"/>
          <w:color w:val="auto"/>
        </w:rPr>
      </w:pPr>
    </w:p>
    <w:p>
      <w:pPr>
        <w:ind w:firstLine="757"/>
        <w:spacing w:after="0" w:line="279" w:lineRule="auto"/>
        <w:tabs>
          <w:tab w:leader="none" w:pos="1498" w:val="left"/>
        </w:tabs>
        <w:numPr>
          <w:ilvl w:val="0"/>
          <w:numId w:val="94"/>
        </w:numPr>
        <w:rPr>
          <w:rFonts w:ascii="Arial" w:cs="Arial" w:eastAsia="Arial" w:hAnsi="Arial"/>
          <w:sz w:val="19"/>
          <w:szCs w:val="19"/>
          <w:i w:val="1"/>
          <w:iCs w:val="1"/>
          <w:color w:val="auto"/>
        </w:rPr>
      </w:pPr>
      <w:r>
        <w:rPr>
          <w:rFonts w:ascii="Arial" w:cs="Arial" w:eastAsia="Arial" w:hAnsi="Arial"/>
          <w:sz w:val="19"/>
          <w:szCs w:val="19"/>
          <w:i w:val="1"/>
          <w:iCs w:val="1"/>
          <w:color w:val="auto"/>
        </w:rPr>
        <w:t>Change in Capitalization</w:t>
      </w:r>
      <w:r>
        <w:rPr>
          <w:rFonts w:ascii="Arial" w:cs="Arial" w:eastAsia="Arial" w:hAnsi="Arial"/>
          <w:sz w:val="19"/>
          <w:szCs w:val="19"/>
          <w:color w:val="auto"/>
        </w:rPr>
        <w:t>. In the event of a stock dividend, stock split or combination of shares (including a</w:t>
      </w:r>
      <w:r>
        <w:rPr>
          <w:rFonts w:ascii="Arial" w:cs="Arial" w:eastAsia="Arial" w:hAnsi="Arial"/>
          <w:sz w:val="19"/>
          <w:szCs w:val="19"/>
          <w:i w:val="1"/>
          <w:iCs w:val="1"/>
          <w:color w:val="auto"/>
        </w:rPr>
        <w:t xml:space="preserve"> </w:t>
      </w:r>
      <w:r>
        <w:rPr>
          <w:rFonts w:ascii="Arial" w:cs="Arial" w:eastAsia="Arial" w:hAnsi="Arial"/>
          <w:sz w:val="19"/>
          <w:szCs w:val="19"/>
          <w:color w:val="auto"/>
        </w:rPr>
        <w:t>reverse stock split), recapitalization or other change in the Company’s capital structure that constitutes an equity restructuring within the meaning of the Accounting Rules, the Administrator shall make appropriate adjustments to the aggregate number and type of shares of stock available under the Plan, the number and type of shares of stock granted under any outstanding Options, the maximum number and type of shares of stock purchasable under any outstanding Option, and/or the Purchase Price under any outstanding Option, in any case, in a manner that complies with Section 423.</w:t>
      </w:r>
    </w:p>
    <w:p>
      <w:pPr>
        <w:spacing w:after="0" w:line="150" w:lineRule="exact"/>
        <w:rPr>
          <w:rFonts w:ascii="Arial" w:cs="Arial" w:eastAsia="Arial" w:hAnsi="Arial"/>
          <w:sz w:val="19"/>
          <w:szCs w:val="19"/>
          <w:i w:val="1"/>
          <w:iCs w:val="1"/>
          <w:color w:val="auto"/>
        </w:rPr>
      </w:pPr>
    </w:p>
    <w:p>
      <w:pPr>
        <w:ind w:right="20" w:firstLine="757"/>
        <w:spacing w:after="0" w:line="234" w:lineRule="auto"/>
        <w:tabs>
          <w:tab w:leader="none" w:pos="1498" w:val="left"/>
        </w:tabs>
        <w:numPr>
          <w:ilvl w:val="0"/>
          <w:numId w:val="94"/>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Corporate Transaction. </w:t>
      </w:r>
      <w:r>
        <w:rPr>
          <w:rFonts w:ascii="Arial" w:cs="Arial" w:eastAsia="Arial" w:hAnsi="Arial"/>
          <w:sz w:val="22"/>
          <w:szCs w:val="22"/>
          <w:color w:val="auto"/>
        </w:rPr>
        <w:t>In the event of a sale of all or substantially all of the Stock or a sale of all or</w:t>
      </w:r>
      <w:r>
        <w:rPr>
          <w:rFonts w:ascii="Arial" w:cs="Arial" w:eastAsia="Arial" w:hAnsi="Arial"/>
          <w:sz w:val="22"/>
          <w:szCs w:val="22"/>
          <w:i w:val="1"/>
          <w:iCs w:val="1"/>
          <w:color w:val="auto"/>
        </w:rPr>
        <w:t xml:space="preserve"> </w:t>
      </w:r>
      <w:r>
        <w:rPr>
          <w:rFonts w:ascii="Arial" w:cs="Arial" w:eastAsia="Arial" w:hAnsi="Arial"/>
          <w:sz w:val="22"/>
          <w:szCs w:val="22"/>
          <w:color w:val="auto"/>
        </w:rPr>
        <w:t>substantially all of the assets of the Company, or a merger or similar transaction in which the Company is not the surviving corporation or that results in the acquisition of the Company by another person, the Administrator may, in its discretion, (i) if the Company is merged with or acquired by another corporation, provide that each outstanding Option will be assumed or exchanged for a substitute Option granted by the acquiror or successor corporation or by a parent or subsidiary of the acquiror or successor corporation, (ii) cancel each outstanding Option and return the balances in Participants’ Accounts to the Participants, and/or (iii) pursuant to Section 18 of the Plan, terminate the Option Period on or before the date of the proposed sale, merger or similar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17.</w:t>
      </w:r>
      <w:r>
        <w:rPr>
          <w:rFonts w:ascii="Arial" w:cs="Arial" w:eastAsia="Arial" w:hAnsi="Arial"/>
          <w:sz w:val="22"/>
          <w:szCs w:val="22"/>
          <w:b w:val="1"/>
          <w:bCs w:val="1"/>
          <w:color w:val="auto"/>
        </w:rPr>
        <w:t>Administration</w:t>
      </w:r>
    </w:p>
    <w:p>
      <w:pPr>
        <w:spacing w:after="0" w:line="212" w:lineRule="exact"/>
        <w:rPr>
          <w:sz w:val="20"/>
          <w:szCs w:val="20"/>
          <w:color w:val="auto"/>
        </w:rPr>
      </w:pPr>
    </w:p>
    <w:p>
      <w:pPr>
        <w:ind w:right="220" w:firstLine="749"/>
        <w:spacing w:after="0" w:line="287" w:lineRule="auto"/>
        <w:rPr>
          <w:sz w:val="20"/>
          <w:szCs w:val="20"/>
          <w:color w:val="auto"/>
        </w:rPr>
      </w:pPr>
      <w:r>
        <w:rPr>
          <w:rFonts w:ascii="Arial" w:cs="Arial" w:eastAsia="Arial" w:hAnsi="Arial"/>
          <w:sz w:val="19"/>
          <w:szCs w:val="19"/>
          <w:color w:val="auto"/>
        </w:rPr>
        <w:t>The Plan will be administered by the Administrator. The Administrator has discretionary authority, subject only to the express provisions of the Plan, to administer and interpret the Plan; to determine eligibility under the Plan; to prescribe forms, rules and procedures relating to the Plan; and to otherwise do all things necessary or desirable to carry out the purposes of the Plan. Determinations of the Administrator made with respect to the Plan are conclusive and bind all persons.</w:t>
      </w:r>
    </w:p>
    <w:p>
      <w:pPr>
        <w:spacing w:after="0" w:line="143" w:lineRule="exact"/>
        <w:rPr>
          <w:sz w:val="20"/>
          <w:szCs w:val="20"/>
          <w:color w:val="auto"/>
        </w:rPr>
      </w:pPr>
    </w:p>
    <w:p>
      <w:pPr>
        <w:ind w:right="260" w:firstLine="749"/>
        <w:spacing w:after="0" w:line="250" w:lineRule="auto"/>
        <w:rPr>
          <w:sz w:val="20"/>
          <w:szCs w:val="20"/>
          <w:color w:val="auto"/>
        </w:rPr>
      </w:pPr>
      <w:r>
        <w:rPr>
          <w:rFonts w:ascii="Arial" w:cs="Arial" w:eastAsia="Arial" w:hAnsi="Arial"/>
          <w:sz w:val="22"/>
          <w:szCs w:val="22"/>
          <w:color w:val="auto"/>
        </w:rPr>
        <w:t>The Administrator may specify the manner in which the Company and/or Employees are to provide notices and forms under the Plan, and may require that such notices and forms be submitted electronically.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18.</w:t>
      </w:r>
      <w:r>
        <w:rPr>
          <w:rFonts w:ascii="Arial" w:cs="Arial" w:eastAsia="Arial" w:hAnsi="Arial"/>
          <w:sz w:val="22"/>
          <w:szCs w:val="22"/>
          <w:b w:val="1"/>
          <w:bCs w:val="1"/>
          <w:color w:val="auto"/>
        </w:rPr>
        <w:t>Amendment and Termination of Plan</w:t>
      </w:r>
    </w:p>
    <w:p>
      <w:pPr>
        <w:spacing w:after="0" w:line="212" w:lineRule="exact"/>
        <w:rPr>
          <w:sz w:val="20"/>
          <w:szCs w:val="20"/>
          <w:color w:val="auto"/>
        </w:rPr>
      </w:pPr>
    </w:p>
    <w:p>
      <w:pPr>
        <w:ind w:right="180" w:firstLine="757"/>
        <w:spacing w:after="0" w:line="238" w:lineRule="auto"/>
        <w:tabs>
          <w:tab w:leader="none" w:pos="1498" w:val="left"/>
        </w:tabs>
        <w:numPr>
          <w:ilvl w:val="0"/>
          <w:numId w:val="9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Amendment. </w:t>
      </w:r>
      <w:r>
        <w:rPr>
          <w:rFonts w:ascii="Arial" w:cs="Arial" w:eastAsia="Arial" w:hAnsi="Arial"/>
          <w:sz w:val="22"/>
          <w:szCs w:val="22"/>
          <w:color w:val="auto"/>
        </w:rPr>
        <w:t>The Administrator reserves the right at any time or times to amend the Plan to any extent and in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any manner it may deem advisable;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any amendment that would be treated as the adoption of a new plan for purposes of Section 423 will have no force or effect unless approved by the shareholders of the Company within 12 months before or after its adoption.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79" w:name="page180"/>
    <w:bookmarkEnd w:id="179"/>
    <w:p>
      <w:pPr>
        <w:ind w:right="60" w:firstLine="757"/>
        <w:spacing w:after="0" w:line="236" w:lineRule="auto"/>
        <w:tabs>
          <w:tab w:leader="none" w:pos="1498" w:val="left"/>
        </w:tabs>
        <w:numPr>
          <w:ilvl w:val="0"/>
          <w:numId w:val="96"/>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Termination. </w:t>
      </w:r>
      <w:r>
        <w:rPr>
          <w:rFonts w:ascii="Arial" w:cs="Arial" w:eastAsia="Arial" w:hAnsi="Arial"/>
          <w:sz w:val="22"/>
          <w:szCs w:val="22"/>
          <w:color w:val="auto"/>
        </w:rPr>
        <w:t>The Administrator reserves the right at any time or times to suspend or terminate the Plan.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therewith, the Administrator may provide, in its sole discretion, either that outstanding Options will be exercisable either on the Exercise Date for the applicable Option Period or on such earlier date as the Board may specify (in which case such earlier date will be treated as the Exercise Date for the applicable Option Period), or that the balance of each Participant’s Account will be returned to the Participant, without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19.</w:t>
      </w:r>
      <w:r>
        <w:rPr>
          <w:rFonts w:ascii="Arial" w:cs="Arial" w:eastAsia="Arial" w:hAnsi="Arial"/>
          <w:sz w:val="22"/>
          <w:szCs w:val="22"/>
          <w:b w:val="1"/>
          <w:bCs w:val="1"/>
          <w:color w:val="auto"/>
        </w:rPr>
        <w:t>Approvals</w:t>
      </w:r>
    </w:p>
    <w:p>
      <w:pPr>
        <w:spacing w:after="0" w:line="212" w:lineRule="exact"/>
        <w:rPr>
          <w:sz w:val="20"/>
          <w:szCs w:val="20"/>
          <w:color w:val="auto"/>
        </w:rPr>
      </w:pPr>
    </w:p>
    <w:p>
      <w:pPr>
        <w:ind w:right="140" w:firstLine="749"/>
        <w:spacing w:after="0" w:line="297" w:lineRule="auto"/>
        <w:rPr>
          <w:sz w:val="20"/>
          <w:szCs w:val="20"/>
          <w:color w:val="auto"/>
        </w:rPr>
      </w:pPr>
      <w:r>
        <w:rPr>
          <w:rFonts w:ascii="Arial" w:cs="Arial" w:eastAsia="Arial" w:hAnsi="Arial"/>
          <w:sz w:val="19"/>
          <w:szCs w:val="19"/>
          <w:color w:val="auto"/>
        </w:rPr>
        <w:t>Shareholder approval of the Plan will be obtained prior to the date that is twelve (12) months after the date of Board approval. In the event that the Plan has not been approved by the shareholders of the Company prior to September 25, 2020, all Options to purchase shares of Stock under the Plan will be cancelled and become null and void.</w:t>
      </w:r>
    </w:p>
    <w:p>
      <w:pPr>
        <w:spacing w:after="0" w:line="134" w:lineRule="exact"/>
        <w:rPr>
          <w:sz w:val="20"/>
          <w:szCs w:val="20"/>
          <w:color w:val="auto"/>
        </w:rPr>
      </w:pPr>
    </w:p>
    <w:p>
      <w:pPr>
        <w:ind w:right="140" w:firstLine="749"/>
        <w:spacing w:after="0" w:line="287" w:lineRule="auto"/>
        <w:rPr>
          <w:sz w:val="20"/>
          <w:szCs w:val="20"/>
          <w:color w:val="auto"/>
        </w:rPr>
      </w:pPr>
      <w:r>
        <w:rPr>
          <w:rFonts w:ascii="Arial" w:cs="Arial" w:eastAsia="Arial" w:hAnsi="Arial"/>
          <w:sz w:val="19"/>
          <w:szCs w:val="19"/>
          <w:color w:val="auto"/>
        </w:rPr>
        <w:t>Notwithstanding anything herein to the contrary, the obligation of the Company to issue and deliver shares of Stock under the Plan will be subject to the approval required of any governmental authority in connection with the authorization, issuance, sale or transfer of such shares of Stock and to any requirements of any national securities exchange applicable thereto, and to compliance by the Company with other applicable legal requirements in effect from time to time.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20.</w:t>
      </w:r>
      <w:r>
        <w:rPr>
          <w:rFonts w:ascii="Arial" w:cs="Arial" w:eastAsia="Arial" w:hAnsi="Arial"/>
          <w:sz w:val="22"/>
          <w:szCs w:val="22"/>
          <w:b w:val="1"/>
          <w:bCs w:val="1"/>
          <w:color w:val="auto"/>
        </w:rPr>
        <w:t>Participants’ Rights as Shareholders and Employees</w:t>
      </w:r>
    </w:p>
    <w:p>
      <w:pPr>
        <w:spacing w:after="0" w:line="212" w:lineRule="exact"/>
        <w:rPr>
          <w:sz w:val="20"/>
          <w:szCs w:val="20"/>
          <w:color w:val="auto"/>
        </w:rPr>
      </w:pPr>
    </w:p>
    <w:p>
      <w:pPr>
        <w:jc w:val="both"/>
        <w:ind w:right="300" w:firstLine="749"/>
        <w:spacing w:after="0"/>
        <w:rPr>
          <w:sz w:val="20"/>
          <w:szCs w:val="20"/>
          <w:color w:val="auto"/>
        </w:rPr>
      </w:pPr>
      <w:r>
        <w:rPr>
          <w:rFonts w:ascii="Arial" w:cs="Arial" w:eastAsia="Arial" w:hAnsi="Arial"/>
          <w:sz w:val="22"/>
          <w:szCs w:val="22"/>
          <w:color w:val="auto"/>
        </w:rPr>
        <w:t>A Participant will have no rights or privileges as a shareholder of the Company and will not receive any dividends in respect of any shares of Stock covered by an Option granted hereunder until such Option has been exercised, full payment has been made for such shares, and the shares have been issued to the Participant.</w:t>
      </w:r>
    </w:p>
    <w:p>
      <w:pPr>
        <w:spacing w:after="0" w:line="186" w:lineRule="exact"/>
        <w:rPr>
          <w:sz w:val="20"/>
          <w:szCs w:val="20"/>
          <w:color w:val="auto"/>
        </w:rPr>
      </w:pPr>
    </w:p>
    <w:p>
      <w:pPr>
        <w:ind w:firstLine="749"/>
        <w:spacing w:after="0" w:line="238" w:lineRule="auto"/>
        <w:rPr>
          <w:sz w:val="20"/>
          <w:szCs w:val="20"/>
          <w:color w:val="auto"/>
        </w:rPr>
      </w:pPr>
      <w:r>
        <w:rPr>
          <w:rFonts w:ascii="Arial" w:cs="Arial" w:eastAsia="Arial" w:hAnsi="Arial"/>
          <w:sz w:val="22"/>
          <w:szCs w:val="22"/>
          <w:color w:val="auto"/>
        </w:rPr>
        <w:t>Nothing contained in the provisions of the Plan will be construed as giving to any Employee the right to be retained in the employ of the Company or any Designated Subsidiary or as interfering with the right of the Company or any Designated Subsidiary to discharge, promote, demote or otherwise re-assign any Employee from one position to another within the Company or any Designated Subsidiary at any time.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21.</w:t>
      </w:r>
      <w:r>
        <w:rPr>
          <w:rFonts w:ascii="Arial" w:cs="Arial" w:eastAsia="Arial" w:hAnsi="Arial"/>
          <w:sz w:val="22"/>
          <w:szCs w:val="22"/>
          <w:b w:val="1"/>
          <w:bCs w:val="1"/>
          <w:color w:val="auto"/>
        </w:rPr>
        <w:t>Restrictions on Transfer; Information Regarding Disqualifying Dispositions.</w:t>
      </w:r>
    </w:p>
    <w:p>
      <w:pPr>
        <w:spacing w:after="0" w:line="212" w:lineRule="exact"/>
        <w:rPr>
          <w:sz w:val="20"/>
          <w:szCs w:val="20"/>
          <w:color w:val="auto"/>
        </w:rPr>
      </w:pPr>
    </w:p>
    <w:p>
      <w:pPr>
        <w:ind w:firstLine="757"/>
        <w:spacing w:after="0" w:line="238" w:lineRule="auto"/>
        <w:tabs>
          <w:tab w:leader="none" w:pos="1498" w:val="left"/>
        </w:tabs>
        <w:numPr>
          <w:ilvl w:val="0"/>
          <w:numId w:val="97"/>
        </w:numPr>
        <w:rPr>
          <w:rFonts w:ascii="Arial" w:cs="Arial" w:eastAsia="Arial" w:hAnsi="Arial"/>
          <w:sz w:val="22"/>
          <w:szCs w:val="22"/>
          <w:i w:val="1"/>
          <w:iCs w:val="1"/>
          <w:color w:val="auto"/>
        </w:rPr>
      </w:pPr>
      <w:r>
        <w:rPr>
          <w:rFonts w:ascii="Arial" w:cs="Arial" w:eastAsia="Arial" w:hAnsi="Arial"/>
          <w:sz w:val="22"/>
          <w:szCs w:val="22"/>
          <w:i w:val="1"/>
          <w:iCs w:val="1"/>
          <w:color w:val="auto"/>
        </w:rPr>
        <w:t>Restrictions on Transfer</w:t>
      </w:r>
      <w:r>
        <w:rPr>
          <w:rFonts w:ascii="Arial" w:cs="Arial" w:eastAsia="Arial" w:hAnsi="Arial"/>
          <w:sz w:val="22"/>
          <w:szCs w:val="22"/>
          <w:color w:val="auto"/>
        </w:rPr>
        <w:t>. Shares of Stock purchased under the Plan may, in the discretion of the Administrator,</w:t>
      </w:r>
      <w:r>
        <w:rPr>
          <w:rFonts w:ascii="Arial" w:cs="Arial" w:eastAsia="Arial" w:hAnsi="Arial"/>
          <w:sz w:val="22"/>
          <w:szCs w:val="22"/>
          <w:i w:val="1"/>
          <w:iCs w:val="1"/>
          <w:color w:val="auto"/>
        </w:rPr>
        <w:t xml:space="preserve"> </w:t>
      </w:r>
      <w:r>
        <w:rPr>
          <w:rFonts w:ascii="Arial" w:cs="Arial" w:eastAsia="Arial" w:hAnsi="Arial"/>
          <w:sz w:val="22"/>
          <w:szCs w:val="22"/>
          <w:color w:val="auto"/>
        </w:rPr>
        <w:t>be subject to a restriction prohibiting the transfer, sale, pledge or alienation or such shares of Stock by a Participant, other than by will or by the laws of descent and distribution, for such period following such purchase as may be determined by the Administrator.</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80" w:name="page181"/>
    <w:bookmarkEnd w:id="180"/>
    <w:p>
      <w:pPr>
        <w:ind w:right="80" w:firstLine="757"/>
        <w:spacing w:after="0" w:line="252" w:lineRule="auto"/>
        <w:tabs>
          <w:tab w:leader="none" w:pos="1498" w:val="left"/>
        </w:tabs>
        <w:numPr>
          <w:ilvl w:val="0"/>
          <w:numId w:val="98"/>
        </w:numPr>
        <w:rPr>
          <w:rFonts w:ascii="Arial" w:cs="Arial" w:eastAsia="Arial" w:hAnsi="Arial"/>
          <w:sz w:val="21"/>
          <w:szCs w:val="21"/>
          <w:i w:val="1"/>
          <w:iCs w:val="1"/>
          <w:color w:val="auto"/>
        </w:rPr>
      </w:pPr>
      <w:r>
        <w:rPr>
          <w:rFonts w:ascii="Arial" w:cs="Arial" w:eastAsia="Arial" w:hAnsi="Arial"/>
          <w:sz w:val="21"/>
          <w:szCs w:val="21"/>
          <w:i w:val="1"/>
          <w:iCs w:val="1"/>
          <w:color w:val="auto"/>
        </w:rPr>
        <w:t>Disqualifying Dispositions</w:t>
      </w:r>
      <w:r>
        <w:rPr>
          <w:rFonts w:ascii="Arial" w:cs="Arial" w:eastAsia="Arial" w:hAnsi="Arial"/>
          <w:sz w:val="21"/>
          <w:szCs w:val="21"/>
          <w:color w:val="auto"/>
        </w:rPr>
        <w:t>. By electing to participate in the Plan, each Participant agrees to provide such</w:t>
      </w:r>
      <w:r>
        <w:rPr>
          <w:rFonts w:ascii="Arial" w:cs="Arial" w:eastAsia="Arial" w:hAnsi="Arial"/>
          <w:sz w:val="21"/>
          <w:szCs w:val="21"/>
          <w:i w:val="1"/>
          <w:iCs w:val="1"/>
          <w:color w:val="auto"/>
        </w:rPr>
        <w:t xml:space="preserve"> </w:t>
      </w:r>
      <w:r>
        <w:rPr>
          <w:rFonts w:ascii="Arial" w:cs="Arial" w:eastAsia="Arial" w:hAnsi="Arial"/>
          <w:sz w:val="21"/>
          <w:szCs w:val="21"/>
          <w:color w:val="auto"/>
        </w:rPr>
        <w:t>information about any transfer of Stock acquired under the Plan that occurs within two years after the first day of the Option Period in which such Stock was acquired and within one year after the day such Stock was purchased as may be requested by the Company or any Designated Subsidiary in order to assist it in complying with applicable tax laws.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22.</w:t>
      </w:r>
      <w:r>
        <w:rPr>
          <w:rFonts w:ascii="Arial" w:cs="Arial" w:eastAsia="Arial" w:hAnsi="Arial"/>
          <w:sz w:val="22"/>
          <w:szCs w:val="22"/>
          <w:b w:val="1"/>
          <w:bCs w:val="1"/>
          <w:color w:val="auto"/>
        </w:rPr>
        <w:t>Miscellaneous</w:t>
      </w:r>
    </w:p>
    <w:p>
      <w:pPr>
        <w:spacing w:after="0" w:line="212" w:lineRule="exact"/>
        <w:rPr>
          <w:sz w:val="20"/>
          <w:szCs w:val="20"/>
          <w:color w:val="auto"/>
        </w:rPr>
      </w:pPr>
    </w:p>
    <w:p>
      <w:pPr>
        <w:ind w:firstLine="757"/>
        <w:spacing w:after="0" w:line="273" w:lineRule="auto"/>
        <w:tabs>
          <w:tab w:leader="none" w:pos="1498" w:val="left"/>
        </w:tabs>
        <w:numPr>
          <w:ilvl w:val="0"/>
          <w:numId w:val="99"/>
        </w:numPr>
        <w:rPr>
          <w:rFonts w:ascii="Arial" w:cs="Arial" w:eastAsia="Arial" w:hAnsi="Arial"/>
          <w:sz w:val="19"/>
          <w:szCs w:val="19"/>
          <w:i w:val="1"/>
          <w:iCs w:val="1"/>
          <w:color w:val="auto"/>
        </w:rPr>
      </w:pPr>
      <w:r>
        <w:rPr>
          <w:rFonts w:ascii="Arial" w:cs="Arial" w:eastAsia="Arial" w:hAnsi="Arial"/>
          <w:sz w:val="19"/>
          <w:szCs w:val="19"/>
          <w:i w:val="1"/>
          <w:iCs w:val="1"/>
          <w:color w:val="auto"/>
        </w:rPr>
        <w:t>Waiver of Jury Trial</w:t>
      </w:r>
      <w:r>
        <w:rPr>
          <w:rFonts w:ascii="Arial" w:cs="Arial" w:eastAsia="Arial" w:hAnsi="Arial"/>
          <w:sz w:val="19"/>
          <w:szCs w:val="19"/>
          <w:color w:val="auto"/>
        </w:rPr>
        <w:t>. By electing to participate in the Plan, each Participant waives (or will be deemed to have</w:t>
      </w:r>
      <w:r>
        <w:rPr>
          <w:rFonts w:ascii="Arial" w:cs="Arial" w:eastAsia="Arial" w:hAnsi="Arial"/>
          <w:sz w:val="19"/>
          <w:szCs w:val="19"/>
          <w:i w:val="1"/>
          <w:iCs w:val="1"/>
          <w:color w:val="auto"/>
        </w:rPr>
        <w:t xml:space="preserve"> </w:t>
      </w:r>
      <w:r>
        <w:rPr>
          <w:rFonts w:ascii="Arial" w:cs="Arial" w:eastAsia="Arial" w:hAnsi="Arial"/>
          <w:sz w:val="19"/>
          <w:szCs w:val="19"/>
          <w:color w:val="auto"/>
        </w:rPr>
        <w:t>waived), to the maximum extent permitted under applicable law, any right to a trial by jury in any action, proceeding or counterclaim concerning any rights under the Plan or with respect to any Option,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electing to participate in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in respect of any Option to binding arbitration or as limiting the ability of the Company to require any individual to agree to submit such disputes to binding arbitration as a condition of receiving an Option hereunder.</w:t>
      </w:r>
    </w:p>
    <w:p>
      <w:pPr>
        <w:spacing w:after="0" w:line="155" w:lineRule="exact"/>
        <w:rPr>
          <w:rFonts w:ascii="Arial" w:cs="Arial" w:eastAsia="Arial" w:hAnsi="Arial"/>
          <w:sz w:val="19"/>
          <w:szCs w:val="19"/>
          <w:i w:val="1"/>
          <w:iCs w:val="1"/>
          <w:color w:val="auto"/>
        </w:rPr>
      </w:pPr>
    </w:p>
    <w:p>
      <w:pPr>
        <w:ind w:right="20" w:firstLine="757"/>
        <w:spacing w:after="0" w:line="248" w:lineRule="auto"/>
        <w:tabs>
          <w:tab w:leader="none" w:pos="1498" w:val="left"/>
        </w:tabs>
        <w:numPr>
          <w:ilvl w:val="0"/>
          <w:numId w:val="99"/>
        </w:numPr>
        <w:rPr>
          <w:rFonts w:ascii="Arial" w:cs="Arial" w:eastAsia="Arial" w:hAnsi="Arial"/>
          <w:sz w:val="21"/>
          <w:szCs w:val="21"/>
          <w:i w:val="1"/>
          <w:iCs w:val="1"/>
          <w:color w:val="auto"/>
        </w:rPr>
      </w:pPr>
      <w:r>
        <w:rPr>
          <w:rFonts w:ascii="Arial" w:cs="Arial" w:eastAsia="Arial" w:hAnsi="Arial"/>
          <w:sz w:val="21"/>
          <w:szCs w:val="21"/>
          <w:i w:val="1"/>
          <w:iCs w:val="1"/>
          <w:color w:val="auto"/>
        </w:rPr>
        <w:t>Limitation of Liability</w:t>
      </w:r>
      <w:r>
        <w:rPr>
          <w:rFonts w:ascii="Arial" w:cs="Arial" w:eastAsia="Arial" w:hAnsi="Arial"/>
          <w:sz w:val="21"/>
          <w:szCs w:val="21"/>
          <w:color w:val="auto"/>
        </w:rPr>
        <w:t>. Notwithstanding anything to the contrary in the Plan, neither the Company, nor any of</w:t>
      </w:r>
      <w:r>
        <w:rPr>
          <w:rFonts w:ascii="Arial" w:cs="Arial" w:eastAsia="Arial" w:hAnsi="Arial"/>
          <w:sz w:val="21"/>
          <w:szCs w:val="21"/>
          <w:i w:val="1"/>
          <w:iCs w:val="1"/>
          <w:color w:val="auto"/>
        </w:rPr>
        <w:t xml:space="preserve"> </w:t>
      </w:r>
      <w:r>
        <w:rPr>
          <w:rFonts w:ascii="Arial" w:cs="Arial" w:eastAsia="Arial" w:hAnsi="Arial"/>
          <w:sz w:val="21"/>
          <w:szCs w:val="21"/>
          <w:color w:val="auto"/>
        </w:rPr>
        <w:t>its subsidiaries, nor the 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the Plan or any Option to satisfy the Requirements of Section 423, or otherwise asserted with respect to the Plan or any Option.</w:t>
      </w:r>
    </w:p>
    <w:p>
      <w:pPr>
        <w:spacing w:after="0" w:line="176" w:lineRule="exact"/>
        <w:rPr>
          <w:rFonts w:ascii="Arial" w:cs="Arial" w:eastAsia="Arial" w:hAnsi="Arial"/>
          <w:sz w:val="21"/>
          <w:szCs w:val="21"/>
          <w:i w:val="1"/>
          <w:iCs w:val="1"/>
          <w:color w:val="auto"/>
        </w:rPr>
      </w:pPr>
    </w:p>
    <w:p>
      <w:pPr>
        <w:jc w:val="both"/>
        <w:ind w:right="20" w:firstLine="757"/>
        <w:spacing w:after="0"/>
        <w:tabs>
          <w:tab w:leader="none" w:pos="1498" w:val="left"/>
        </w:tabs>
        <w:numPr>
          <w:ilvl w:val="0"/>
          <w:numId w:val="99"/>
        </w:numPr>
        <w:rPr>
          <w:rFonts w:ascii="Arial" w:cs="Arial" w:eastAsia="Arial" w:hAnsi="Arial"/>
          <w:sz w:val="22"/>
          <w:szCs w:val="22"/>
          <w:i w:val="1"/>
          <w:iCs w:val="1"/>
          <w:color w:val="auto"/>
        </w:rPr>
      </w:pPr>
      <w:r>
        <w:rPr>
          <w:rFonts w:ascii="Arial" w:cs="Arial" w:eastAsia="Arial" w:hAnsi="Arial"/>
          <w:sz w:val="22"/>
          <w:szCs w:val="22"/>
          <w:i w:val="1"/>
          <w:iCs w:val="1"/>
          <w:color w:val="auto"/>
        </w:rPr>
        <w:t>Unfunded Plan</w:t>
      </w:r>
      <w:r>
        <w:rPr>
          <w:rFonts w:ascii="Arial" w:cs="Arial" w:eastAsia="Arial" w:hAnsi="Arial"/>
          <w:sz w:val="22"/>
          <w:szCs w:val="22"/>
          <w:color w:val="auto"/>
        </w:rPr>
        <w:t>. The Company’s obligations under the Plan are unfunded, and no Participant will have any right</w:t>
      </w:r>
      <w:r>
        <w:rPr>
          <w:rFonts w:ascii="Arial" w:cs="Arial" w:eastAsia="Arial" w:hAnsi="Arial"/>
          <w:sz w:val="22"/>
          <w:szCs w:val="22"/>
          <w:i w:val="1"/>
          <w:iCs w:val="1"/>
          <w:color w:val="auto"/>
        </w:rPr>
        <w:t xml:space="preserve"> </w:t>
      </w:r>
      <w:r>
        <w:rPr>
          <w:rFonts w:ascii="Arial" w:cs="Arial" w:eastAsia="Arial" w:hAnsi="Arial"/>
          <w:sz w:val="22"/>
          <w:szCs w:val="22"/>
          <w:color w:val="auto"/>
        </w:rPr>
        <w:t>to specific assets of the Company in respect of any Option. Participants will be general unsecured creditors of the Company with respect to any amounts due or payable under the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23.</w:t>
      </w:r>
      <w:r>
        <w:rPr>
          <w:rFonts w:ascii="Arial" w:cs="Arial" w:eastAsia="Arial" w:hAnsi="Arial"/>
          <w:sz w:val="22"/>
          <w:szCs w:val="22"/>
          <w:b w:val="1"/>
          <w:bCs w:val="1"/>
          <w:color w:val="auto"/>
        </w:rPr>
        <w:t>Establishment of Sub-Plans</w:t>
      </w:r>
    </w:p>
    <w:p>
      <w:pPr>
        <w:spacing w:after="0" w:line="212" w:lineRule="exact"/>
        <w:rPr>
          <w:sz w:val="20"/>
          <w:szCs w:val="20"/>
          <w:color w:val="auto"/>
        </w:rPr>
      </w:pPr>
    </w:p>
    <w:p>
      <w:pPr>
        <w:ind w:right="140" w:firstLine="749"/>
        <w:spacing w:after="0" w:line="236" w:lineRule="auto"/>
        <w:rPr>
          <w:sz w:val="20"/>
          <w:szCs w:val="20"/>
          <w:color w:val="auto"/>
        </w:rPr>
      </w:pPr>
      <w:r>
        <w:rPr>
          <w:rFonts w:ascii="Arial" w:cs="Arial" w:eastAsia="Arial" w:hAnsi="Arial"/>
          <w:sz w:val="22"/>
          <w:szCs w:val="22"/>
          <w:color w:val="auto"/>
        </w:rPr>
        <w:t>Notwithstanding the foregoing or any provision of the Plan to the contrary, consistent with the requirements of Section 423, the Administrator may, in its sole discretion, amend the terms of the Plan, or an offering and/or provide for separate offerings under the Plan in order to, among other things, reflect the impact of local law outside of the United States as applied to one or more Eligible Employees of a Designated Subsidiary and may, where appropriate, establish one or more sub-plans to reflect such amended provisions.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24.</w:t>
      </w:r>
      <w:r>
        <w:rPr>
          <w:rFonts w:ascii="Arial" w:cs="Arial" w:eastAsia="Arial" w:hAnsi="Arial"/>
          <w:sz w:val="22"/>
          <w:szCs w:val="22"/>
          <w:b w:val="1"/>
          <w:bCs w:val="1"/>
          <w:color w:val="auto"/>
        </w:rPr>
        <w:t>Governing Law</w:t>
      </w:r>
    </w:p>
    <w:p>
      <w:pPr>
        <w:spacing w:after="0" w:line="212" w:lineRule="exact"/>
        <w:rPr>
          <w:sz w:val="20"/>
          <w:szCs w:val="20"/>
          <w:color w:val="auto"/>
        </w:rPr>
      </w:pPr>
    </w:p>
    <w:p>
      <w:pPr>
        <w:jc w:val="both"/>
        <w:ind w:right="60" w:firstLine="757"/>
        <w:spacing w:after="0" w:line="238" w:lineRule="auto"/>
        <w:tabs>
          <w:tab w:leader="none" w:pos="1498" w:val="left"/>
        </w:tabs>
        <w:numPr>
          <w:ilvl w:val="1"/>
          <w:numId w:val="100"/>
        </w:numPr>
        <w:rPr>
          <w:rFonts w:ascii="Arial" w:cs="Arial" w:eastAsia="Arial" w:hAnsi="Arial"/>
          <w:sz w:val="22"/>
          <w:szCs w:val="22"/>
          <w:i w:val="1"/>
          <w:iCs w:val="1"/>
          <w:color w:val="auto"/>
        </w:rPr>
      </w:pPr>
      <w:r>
        <w:rPr>
          <w:rFonts w:ascii="Arial" w:cs="Arial" w:eastAsia="Arial" w:hAnsi="Arial"/>
          <w:sz w:val="22"/>
          <w:szCs w:val="22"/>
          <w:i w:val="1"/>
          <w:iCs w:val="1"/>
          <w:color w:val="auto"/>
        </w:rPr>
        <w:t>Certain Requirements of Corporate Law</w:t>
      </w:r>
      <w:r>
        <w:rPr>
          <w:rFonts w:ascii="Arial" w:cs="Arial" w:eastAsia="Arial" w:hAnsi="Arial"/>
          <w:sz w:val="22"/>
          <w:szCs w:val="22"/>
          <w:color w:val="auto"/>
        </w:rPr>
        <w:t>. Options and shares of Stock will be granted, issued and administered</w:t>
      </w:r>
      <w:r>
        <w:rPr>
          <w:rFonts w:ascii="Arial" w:cs="Arial" w:eastAsia="Arial" w:hAnsi="Arial"/>
          <w:sz w:val="22"/>
          <w:szCs w:val="22"/>
          <w:i w:val="1"/>
          <w:iCs w:val="1"/>
          <w:color w:val="auto"/>
        </w:rPr>
        <w:t xml:space="preserve"> </w:t>
      </w:r>
      <w:r>
        <w:rPr>
          <w:rFonts w:ascii="Arial" w:cs="Arial" w:eastAsia="Arial" w:hAnsi="Arial"/>
          <w:sz w:val="22"/>
          <w:szCs w:val="22"/>
          <w:color w:val="auto"/>
        </w:rPr>
        <w:t>consistent 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84" w:lineRule="exact"/>
        <w:rPr>
          <w:rFonts w:ascii="Arial" w:cs="Arial" w:eastAsia="Arial" w:hAnsi="Arial"/>
          <w:sz w:val="22"/>
          <w:szCs w:val="22"/>
          <w:i w:val="1"/>
          <w:iCs w:val="1"/>
          <w:color w:val="auto"/>
        </w:rPr>
      </w:pPr>
    </w:p>
    <w:p>
      <w:pPr>
        <w:ind w:right="180" w:firstLine="757"/>
        <w:spacing w:after="0" w:line="249" w:lineRule="auto"/>
        <w:tabs>
          <w:tab w:leader="none" w:pos="1498" w:val="left"/>
        </w:tabs>
        <w:numPr>
          <w:ilvl w:val="1"/>
          <w:numId w:val="100"/>
        </w:numPr>
        <w:rPr>
          <w:rFonts w:ascii="Arial" w:cs="Arial" w:eastAsia="Arial" w:hAnsi="Arial"/>
          <w:sz w:val="21"/>
          <w:szCs w:val="21"/>
          <w:i w:val="1"/>
          <w:iCs w:val="1"/>
          <w:color w:val="auto"/>
        </w:rPr>
      </w:pPr>
      <w:r>
        <w:rPr>
          <w:rFonts w:ascii="Arial" w:cs="Arial" w:eastAsia="Arial" w:hAnsi="Arial"/>
          <w:sz w:val="21"/>
          <w:szCs w:val="21"/>
          <w:i w:val="1"/>
          <w:iCs w:val="1"/>
          <w:color w:val="auto"/>
        </w:rPr>
        <w:t>Other Matters</w:t>
      </w:r>
      <w:r>
        <w:rPr>
          <w:rFonts w:ascii="Arial" w:cs="Arial" w:eastAsia="Arial" w:hAnsi="Arial"/>
          <w:sz w:val="21"/>
          <w:szCs w:val="21"/>
          <w:color w:val="auto"/>
        </w:rPr>
        <w:t>. Except as otherwise provided by the express terms of a sub-plan described in Section 23 or as</w:t>
      </w:r>
      <w:r>
        <w:rPr>
          <w:rFonts w:ascii="Arial" w:cs="Arial" w:eastAsia="Arial" w:hAnsi="Arial"/>
          <w:sz w:val="21"/>
          <w:szCs w:val="21"/>
          <w:i w:val="1"/>
          <w:iCs w:val="1"/>
          <w:color w:val="auto"/>
        </w:rPr>
        <w:t xml:space="preserve"> </w:t>
      </w:r>
      <w:r>
        <w:rPr>
          <w:rFonts w:ascii="Arial" w:cs="Arial" w:eastAsia="Arial" w:hAnsi="Arial"/>
          <w:sz w:val="21"/>
          <w:szCs w:val="21"/>
          <w:color w:val="auto"/>
        </w:rPr>
        <w:t>provided in Section 24(a), the domestic substantive laws of the Commonwealth of Massachusetts govern the provisions of the Plan and of Options under the Plan and all claims or disputes arising out of or based upon the Plan or any Option or relating to the subject matter hereof or thereof without giving effect to any choice or conflict of laws provision or rule that would cause the application of the domestic substantive laws of any other jurisdiction.</w:t>
      </w:r>
    </w:p>
    <w:p>
      <w:pPr>
        <w:spacing w:after="0" w:line="178" w:lineRule="exact"/>
        <w:rPr>
          <w:rFonts w:ascii="Arial" w:cs="Arial" w:eastAsia="Arial" w:hAnsi="Arial"/>
          <w:sz w:val="21"/>
          <w:szCs w:val="21"/>
          <w:i w:val="1"/>
          <w:iCs w:val="1"/>
          <w:color w:val="auto"/>
        </w:rPr>
      </w:pPr>
    </w:p>
    <w:p>
      <w:pPr>
        <w:ind w:left="1500" w:hanging="743"/>
        <w:spacing w:after="0"/>
        <w:tabs>
          <w:tab w:leader="none" w:pos="1500" w:val="left"/>
        </w:tabs>
        <w:numPr>
          <w:ilvl w:val="1"/>
          <w:numId w:val="100"/>
        </w:numPr>
        <w:rPr>
          <w:rFonts w:ascii="Arial" w:cs="Arial" w:eastAsia="Arial" w:hAnsi="Arial"/>
          <w:sz w:val="19"/>
          <w:szCs w:val="19"/>
          <w:i w:val="1"/>
          <w:iCs w:val="1"/>
          <w:color w:val="auto"/>
        </w:rPr>
      </w:pPr>
      <w:r>
        <w:rPr>
          <w:rFonts w:ascii="Arial" w:cs="Arial" w:eastAsia="Arial" w:hAnsi="Arial"/>
          <w:sz w:val="19"/>
          <w:szCs w:val="19"/>
          <w:i w:val="1"/>
          <w:iCs w:val="1"/>
          <w:color w:val="auto"/>
        </w:rPr>
        <w:t>Jurisdiction</w:t>
      </w:r>
      <w:r>
        <w:rPr>
          <w:rFonts w:ascii="Arial" w:cs="Arial" w:eastAsia="Arial" w:hAnsi="Arial"/>
          <w:sz w:val="19"/>
          <w:szCs w:val="19"/>
          <w:color w:val="auto"/>
        </w:rPr>
        <w:t>. By electing to participant in the Plan, each Participant agrees or will be deemed to have agreed to</w:t>
      </w:r>
    </w:p>
    <w:p>
      <w:pPr>
        <w:spacing w:after="0" w:line="42" w:lineRule="exact"/>
        <w:rPr>
          <w:rFonts w:ascii="Arial" w:cs="Arial" w:eastAsia="Arial" w:hAnsi="Arial"/>
          <w:sz w:val="19"/>
          <w:szCs w:val="19"/>
          <w:i w:val="1"/>
          <w:iCs w:val="1"/>
          <w:color w:val="auto"/>
        </w:rPr>
      </w:pPr>
    </w:p>
    <w:p>
      <w:pPr>
        <w:ind w:firstLine="8"/>
        <w:spacing w:after="0" w:line="272" w:lineRule="auto"/>
        <w:tabs>
          <w:tab w:leader="none" w:pos="25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submit irrevocably and unconditionally to the jurisdiction of the federal and state courts located within the geographic boundaries of the United States District Court for the District of Massachusetts for the purpose of any suit, action or other proceeding arising out of or based upon the Plan or any Option; (ii) not commence any suit, action or other proceeding arising out of or based upon the Plan or any Option, except in the federal and state courts located within the geographic boundaries of the United States District Court for the District of Massachusetts;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any Option or the subject matter thereof may not be enforced in or by such court.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25.</w:t>
      </w:r>
      <w:r>
        <w:rPr>
          <w:rFonts w:ascii="Arial" w:cs="Arial" w:eastAsia="Arial" w:hAnsi="Arial"/>
          <w:sz w:val="22"/>
          <w:szCs w:val="22"/>
          <w:b w:val="1"/>
          <w:bCs w:val="1"/>
          <w:color w:val="auto"/>
        </w:rPr>
        <w:t>Effective Date and Term</w:t>
      </w:r>
    </w:p>
    <w:p>
      <w:pPr>
        <w:spacing w:after="0" w:line="212" w:lineRule="exact"/>
        <w:rPr>
          <w:sz w:val="20"/>
          <w:szCs w:val="20"/>
          <w:color w:val="auto"/>
        </w:rPr>
      </w:pPr>
    </w:p>
    <w:p>
      <w:pPr>
        <w:ind w:right="100" w:firstLine="432"/>
        <w:spacing w:after="0" w:line="257" w:lineRule="auto"/>
        <w:rPr>
          <w:sz w:val="20"/>
          <w:szCs w:val="20"/>
          <w:color w:val="auto"/>
        </w:rPr>
      </w:pPr>
      <w:r>
        <w:rPr>
          <w:rFonts w:ascii="Arial" w:cs="Arial" w:eastAsia="Arial" w:hAnsi="Arial"/>
          <w:sz w:val="21"/>
          <w:szCs w:val="21"/>
          <w:color w:val="auto"/>
        </w:rPr>
        <w:t>The Plan will become effective upon adoption of the Plan by the Board and no rights will be granted hereunder after the earliest to occur of (a) the Plan’s termination by the Company, (b) the issuance of all shares of Stock available for issuance under the Plan or (c) the day before the 10-year anniversary of the date the Board approves the Plan.</w:t>
      </w:r>
    </w:p>
    <w:p>
      <w:pPr>
        <w:spacing w:after="0" w:line="37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2" w:name="page183"/>
    <w:bookmarkEnd w:id="182"/>
    <w:p>
      <w:pPr>
        <w:jc w:val="center"/>
        <w:ind w:right="-39"/>
        <w:spacing w:after="0"/>
        <w:rPr>
          <w:sz w:val="20"/>
          <w:szCs w:val="20"/>
          <w:color w:val="auto"/>
        </w:rPr>
      </w:pPr>
      <w:r>
        <w:rPr>
          <w:rFonts w:ascii="Arial" w:cs="Arial" w:eastAsia="Arial" w:hAnsi="Arial"/>
          <w:sz w:val="22"/>
          <w:szCs w:val="22"/>
          <w:b w:val="1"/>
          <w:bCs w:val="1"/>
          <w:color w:val="auto"/>
        </w:rPr>
        <w:t>EXHIBIT A</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Definition of Terms</w:t>
      </w:r>
    </w:p>
    <w:p>
      <w:pPr>
        <w:spacing w:after="0" w:line="200" w:lineRule="exact"/>
        <w:rPr>
          <w:sz w:val="20"/>
          <w:szCs w:val="20"/>
          <w:color w:val="auto"/>
        </w:rPr>
      </w:pPr>
    </w:p>
    <w:p>
      <w:pPr>
        <w:spacing w:after="0" w:line="231" w:lineRule="exact"/>
        <w:rPr>
          <w:sz w:val="20"/>
          <w:szCs w:val="20"/>
          <w:color w:val="auto"/>
        </w:rPr>
      </w:pPr>
    </w:p>
    <w:p>
      <w:pPr>
        <w:ind w:left="440"/>
        <w:spacing w:after="0"/>
        <w:rPr>
          <w:sz w:val="20"/>
          <w:szCs w:val="20"/>
          <w:color w:val="auto"/>
        </w:rPr>
      </w:pPr>
      <w:r>
        <w:rPr>
          <w:rFonts w:ascii="Arial" w:cs="Arial" w:eastAsia="Arial" w:hAnsi="Arial"/>
          <w:sz w:val="21"/>
          <w:szCs w:val="21"/>
          <w:color w:val="auto"/>
        </w:rPr>
        <w:t>The following terms, when used in the Plan, will have the meanings and be subject to the provisions set forth below:</w:t>
      </w:r>
    </w:p>
    <w:p>
      <w:pPr>
        <w:spacing w:after="0" w:line="239" w:lineRule="exact"/>
        <w:rPr>
          <w:sz w:val="20"/>
          <w:szCs w:val="20"/>
          <w:color w:val="auto"/>
        </w:rPr>
      </w:pPr>
    </w:p>
    <w:p>
      <w:pPr>
        <w:ind w:firstLine="749"/>
        <w:spacing w:after="0" w:line="256" w:lineRule="auto"/>
        <w:rPr>
          <w:sz w:val="20"/>
          <w:szCs w:val="20"/>
          <w:color w:val="auto"/>
        </w:rPr>
      </w:pPr>
      <w:r>
        <w:rPr>
          <w:rFonts w:ascii="Arial" w:cs="Arial" w:eastAsia="Arial" w:hAnsi="Arial"/>
          <w:sz w:val="22"/>
          <w:szCs w:val="22"/>
          <w:b w:val="1"/>
          <w:bCs w:val="1"/>
          <w:color w:val="auto"/>
        </w:rPr>
        <w:t xml:space="preserve">“401(k) Plan”: </w:t>
      </w:r>
      <w:r>
        <w:rPr>
          <w:rFonts w:ascii="Arial" w:cs="Arial" w:eastAsia="Arial" w:hAnsi="Arial"/>
          <w:sz w:val="22"/>
          <w:szCs w:val="22"/>
          <w:color w:val="auto"/>
        </w:rPr>
        <w:t>A savings plan qualifying under Section 401(k) of the Code that is sponsored by the Company or one of</w:t>
      </w:r>
      <w:r>
        <w:rPr>
          <w:rFonts w:ascii="Arial" w:cs="Arial" w:eastAsia="Arial" w:hAnsi="Arial"/>
          <w:sz w:val="22"/>
          <w:szCs w:val="22"/>
          <w:b w:val="1"/>
          <w:bCs w:val="1"/>
          <w:color w:val="auto"/>
        </w:rPr>
        <w:t xml:space="preserve"> </w:t>
      </w:r>
      <w:r>
        <w:rPr>
          <w:rFonts w:ascii="Arial" w:cs="Arial" w:eastAsia="Arial" w:hAnsi="Arial"/>
          <w:sz w:val="22"/>
          <w:szCs w:val="22"/>
          <w:color w:val="auto"/>
        </w:rPr>
        <w:t>its Subsidiaries for the benefit of its employees.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9"/>
          <w:szCs w:val="19"/>
          <w:b w:val="1"/>
          <w:bCs w:val="1"/>
          <w:color w:val="auto"/>
        </w:rPr>
        <w:t xml:space="preserve">“Account”: </w:t>
      </w:r>
      <w:r>
        <w:rPr>
          <w:rFonts w:ascii="Arial" w:cs="Arial" w:eastAsia="Arial" w:hAnsi="Arial"/>
          <w:sz w:val="19"/>
          <w:szCs w:val="19"/>
          <w:color w:val="auto"/>
        </w:rPr>
        <w:t>A notional payroll deduction account maintained in the Participant’s name on the books of the Company.</w:t>
      </w:r>
    </w:p>
    <w:p>
      <w:pPr>
        <w:spacing w:after="0" w:line="268" w:lineRule="exact"/>
        <w:rPr>
          <w:sz w:val="20"/>
          <w:szCs w:val="20"/>
          <w:color w:val="auto"/>
        </w:rPr>
      </w:pPr>
    </w:p>
    <w:p>
      <w:pPr>
        <w:ind w:right="400" w:firstLine="749"/>
        <w:spacing w:after="0" w:line="256" w:lineRule="auto"/>
        <w:rPr>
          <w:sz w:val="20"/>
          <w:szCs w:val="20"/>
          <w:color w:val="auto"/>
        </w:rPr>
      </w:pPr>
      <w:r>
        <w:rPr>
          <w:rFonts w:ascii="Arial" w:cs="Arial" w:eastAsia="Arial" w:hAnsi="Arial"/>
          <w:sz w:val="22"/>
          <w:szCs w:val="22"/>
          <w:b w:val="1"/>
          <w:bCs w:val="1"/>
          <w:color w:val="auto"/>
        </w:rPr>
        <w:t xml:space="preserve">“Accounting Rules”: </w:t>
      </w:r>
      <w:r>
        <w:rPr>
          <w:rFonts w:ascii="Arial" w:cs="Arial" w:eastAsia="Arial" w:hAnsi="Arial"/>
          <w:sz w:val="22"/>
          <w:szCs w:val="22"/>
          <w:color w:val="auto"/>
        </w:rPr>
        <w:t>Financial Accounting Standards Board Accounting Standards Codification Topic 718, or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 provision.</w:t>
      </w:r>
    </w:p>
    <w:p>
      <w:pPr>
        <w:spacing w:after="0" w:line="189" w:lineRule="exact"/>
        <w:rPr>
          <w:sz w:val="20"/>
          <w:szCs w:val="20"/>
          <w:color w:val="auto"/>
        </w:rPr>
      </w:pPr>
    </w:p>
    <w:p>
      <w:pPr>
        <w:ind w:right="40" w:firstLine="749"/>
        <w:spacing w:after="0" w:line="254" w:lineRule="auto"/>
        <w:rPr>
          <w:sz w:val="20"/>
          <w:szCs w:val="20"/>
          <w:color w:val="auto"/>
        </w:rPr>
      </w:pPr>
      <w:r>
        <w:rPr>
          <w:rFonts w:ascii="Arial" w:cs="Arial" w:eastAsia="Arial" w:hAnsi="Arial"/>
          <w:sz w:val="21"/>
          <w:szCs w:val="21"/>
          <w:b w:val="1"/>
          <w:bCs w:val="1"/>
          <w:color w:val="auto"/>
        </w:rPr>
        <w:t xml:space="preserve">“Administrator”: </w:t>
      </w:r>
      <w:r>
        <w:rPr>
          <w:rFonts w:ascii="Arial" w:cs="Arial" w:eastAsia="Arial" w:hAnsi="Arial"/>
          <w:sz w:val="21"/>
          <w:szCs w:val="21"/>
          <w:color w:val="auto"/>
        </w:rPr>
        <w:t>The Compensation Committee of the Board, except that the Compensation Committee may delegate</w:t>
      </w:r>
      <w:r>
        <w:rPr>
          <w:rFonts w:ascii="Arial" w:cs="Arial" w:eastAsia="Arial" w:hAnsi="Arial"/>
          <w:sz w:val="21"/>
          <w:szCs w:val="21"/>
          <w:b w:val="1"/>
          <w:bCs w:val="1"/>
          <w:color w:val="auto"/>
        </w:rPr>
        <w:t xml:space="preserve"> </w:t>
      </w:r>
      <w:r>
        <w:rPr>
          <w:rFonts w:ascii="Arial" w:cs="Arial" w:eastAsia="Arial" w:hAnsi="Arial"/>
          <w:sz w:val="21"/>
          <w:szCs w:val="21"/>
          <w:color w:val="auto"/>
        </w:rPr>
        <w:t>its authority under the Plan to a sub-committee comprised of one or more of its members, to members of the Board, or to officers or employees of the Company to the extent permitted by applicable law. In each case, references herein to the Administrator refer, as applicable, to such persons or groups so delegated to the extent of such delegation.</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The Board of Directors of the Company.</w:t>
      </w:r>
    </w:p>
    <w:p>
      <w:pPr>
        <w:spacing w:after="0" w:line="233" w:lineRule="exact"/>
        <w:rPr>
          <w:sz w:val="20"/>
          <w:szCs w:val="20"/>
          <w:color w:val="auto"/>
        </w:rPr>
      </w:pPr>
    </w:p>
    <w:p>
      <w:pPr>
        <w:ind w:right="80" w:firstLine="749"/>
        <w:spacing w:after="0" w:line="256" w:lineRule="auto"/>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Any day on which the established national exchange or trading system (including the Nasdaq Global</w:t>
      </w:r>
      <w:r>
        <w:rPr>
          <w:rFonts w:ascii="Arial" w:cs="Arial" w:eastAsia="Arial" w:hAnsi="Arial"/>
          <w:sz w:val="22"/>
          <w:szCs w:val="22"/>
          <w:b w:val="1"/>
          <w:bCs w:val="1"/>
          <w:color w:val="auto"/>
        </w:rPr>
        <w:t xml:space="preserve"> </w:t>
      </w:r>
      <w:r>
        <w:rPr>
          <w:rFonts w:ascii="Arial" w:cs="Arial" w:eastAsia="Arial" w:hAnsi="Arial"/>
          <w:sz w:val="22"/>
          <w:szCs w:val="22"/>
          <w:color w:val="auto"/>
        </w:rPr>
        <w:t>Market) on which the Stock is traded is available and open for trading.</w:t>
      </w:r>
    </w:p>
    <w:p>
      <w:pPr>
        <w:spacing w:after="0" w:line="189" w:lineRule="exact"/>
        <w:rPr>
          <w:sz w:val="20"/>
          <w:szCs w:val="20"/>
          <w:color w:val="auto"/>
        </w:rPr>
      </w:pPr>
    </w:p>
    <w:p>
      <w:pPr>
        <w:ind w:right="60" w:firstLine="749"/>
        <w:spacing w:after="0" w:line="256" w:lineRule="auto"/>
        <w:rPr>
          <w:sz w:val="20"/>
          <w:szCs w:val="20"/>
          <w:color w:val="auto"/>
        </w:rPr>
      </w:pPr>
      <w:r>
        <w:rPr>
          <w:rFonts w:ascii="Arial" w:cs="Arial" w:eastAsia="Arial" w:hAnsi="Arial"/>
          <w:sz w:val="22"/>
          <w:szCs w:val="22"/>
          <w:b w:val="1"/>
          <w:bCs w:val="1"/>
          <w:color w:val="auto"/>
        </w:rPr>
        <w:t xml:space="preserve">“Code”: </w:t>
      </w:r>
      <w:r>
        <w:rPr>
          <w:rFonts w:ascii="Arial" w:cs="Arial" w:eastAsia="Arial" w:hAnsi="Arial"/>
          <w:sz w:val="22"/>
          <w:szCs w:val="22"/>
          <w:color w:val="auto"/>
        </w:rPr>
        <w:t>The U.S. Internal Revenue Code of 1986, as from time to time amended and in effect, or any successor statute</w:t>
      </w:r>
      <w:r>
        <w:rPr>
          <w:rFonts w:ascii="Arial" w:cs="Arial" w:eastAsia="Arial" w:hAnsi="Arial"/>
          <w:sz w:val="22"/>
          <w:szCs w:val="22"/>
          <w:b w:val="1"/>
          <w:bCs w:val="1"/>
          <w:color w:val="auto"/>
        </w:rPr>
        <w:t xml:space="preserve"> </w:t>
      </w:r>
      <w:r>
        <w:rPr>
          <w:rFonts w:ascii="Arial" w:cs="Arial" w:eastAsia="Arial" w:hAnsi="Arial"/>
          <w:sz w:val="22"/>
          <w:szCs w:val="22"/>
          <w:color w:val="auto"/>
        </w:rPr>
        <w:t>as from time to time in effect.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Beam Therapeutics Inc, a Delaware corporation.</w:t>
      </w:r>
    </w:p>
    <w:p>
      <w:pPr>
        <w:spacing w:after="0" w:line="233" w:lineRule="exact"/>
        <w:rPr>
          <w:sz w:val="20"/>
          <w:szCs w:val="20"/>
          <w:color w:val="auto"/>
        </w:rPr>
      </w:pPr>
    </w:p>
    <w:p>
      <w:pPr>
        <w:jc w:val="both"/>
        <w:ind w:right="220" w:firstLine="749"/>
        <w:spacing w:after="0" w:line="300" w:lineRule="auto"/>
        <w:rPr>
          <w:sz w:val="20"/>
          <w:szCs w:val="20"/>
          <w:color w:val="auto"/>
        </w:rPr>
      </w:pPr>
      <w:r>
        <w:rPr>
          <w:rFonts w:ascii="Arial" w:cs="Arial" w:eastAsia="Arial" w:hAnsi="Arial"/>
          <w:sz w:val="19"/>
          <w:szCs w:val="19"/>
          <w:b w:val="1"/>
          <w:bCs w:val="1"/>
          <w:color w:val="auto"/>
        </w:rPr>
        <w:t xml:space="preserve">“Designated Subsidiary”: </w:t>
      </w:r>
      <w:r>
        <w:rPr>
          <w:rFonts w:ascii="Arial" w:cs="Arial" w:eastAsia="Arial" w:hAnsi="Arial"/>
          <w:sz w:val="19"/>
          <w:szCs w:val="19"/>
          <w:color w:val="auto"/>
        </w:rPr>
        <w:t>A Subsidiary of the Company that has been designated by the Board or the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Committee of the Board from time to time as eligible to participate in the Plan, as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For the avoidance of doubt, any Subsidiary of the Company shall be eligible to be designated as a Designated Subsidiary hereunder.</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The date set forth in Section 23 of the Plan.</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83" w:name="page184"/>
    <w:bookmarkEnd w:id="183"/>
    <w:p>
      <w:pPr>
        <w:ind w:firstLine="749"/>
        <w:spacing w:after="0" w:line="280" w:lineRule="auto"/>
        <w:rPr>
          <w:sz w:val="20"/>
          <w:szCs w:val="20"/>
          <w:color w:val="auto"/>
        </w:rPr>
      </w:pPr>
      <w:r>
        <w:rPr>
          <w:rFonts w:ascii="Arial" w:cs="Arial" w:eastAsia="Arial" w:hAnsi="Arial"/>
          <w:sz w:val="19"/>
          <w:szCs w:val="19"/>
          <w:b w:val="1"/>
          <w:bCs w:val="1"/>
          <w:color w:val="auto"/>
        </w:rPr>
        <w:t xml:space="preserve">“Eligible Compensation”: </w:t>
      </w:r>
      <w:r>
        <w:rPr>
          <w:rFonts w:ascii="Arial" w:cs="Arial" w:eastAsia="Arial" w:hAnsi="Arial"/>
          <w:sz w:val="19"/>
          <w:szCs w:val="19"/>
          <w:color w:val="auto"/>
        </w:rPr>
        <w:t>Regular base salary or regular base wages (excluding, for the avoidance of doubt, overtime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bonuses, stipends, reimbursements, long-term disability or family and medical leave payments, commissions and sales incentives and any long-term or equity-based incentive payments or awards). Eligible Compensation will not be reduced by any income or employment tax withholdings or any contributions by the Employee to a 401(k) Plan or a plan under Section 125 of the Code, but will be reduced by any contributions made on the Employee’s behalf by the Company or any Subsidiary to any deferred compensation plan or welfare benefit program now or hereafter established.</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1"/>
          <w:szCs w:val="21"/>
          <w:b w:val="1"/>
          <w:bCs w:val="1"/>
          <w:color w:val="auto"/>
        </w:rPr>
        <w:t xml:space="preserve">“Eligible Employee”: </w:t>
      </w:r>
      <w:r>
        <w:rPr>
          <w:rFonts w:ascii="Arial" w:cs="Arial" w:eastAsia="Arial" w:hAnsi="Arial"/>
          <w:sz w:val="21"/>
          <w:szCs w:val="21"/>
          <w:color w:val="auto"/>
        </w:rPr>
        <w:t>Any Employee who meets the eligibility requirements set forth in Section 4 of the Plan.</w:t>
      </w:r>
    </w:p>
    <w:p>
      <w:pPr>
        <w:spacing w:after="0" w:line="245" w:lineRule="exact"/>
        <w:rPr>
          <w:sz w:val="20"/>
          <w:szCs w:val="20"/>
          <w:color w:val="auto"/>
        </w:rPr>
      </w:pPr>
    </w:p>
    <w:p>
      <w:pPr>
        <w:ind w:right="180" w:firstLine="749"/>
        <w:spacing w:after="0" w:line="256" w:lineRule="auto"/>
        <w:rPr>
          <w:sz w:val="20"/>
          <w:szCs w:val="20"/>
          <w:color w:val="auto"/>
        </w:rPr>
      </w:pPr>
      <w:r>
        <w:rPr>
          <w:rFonts w:ascii="Arial" w:cs="Arial" w:eastAsia="Arial" w:hAnsi="Arial"/>
          <w:sz w:val="22"/>
          <w:szCs w:val="22"/>
          <w:b w:val="1"/>
          <w:bCs w:val="1"/>
          <w:color w:val="auto"/>
        </w:rPr>
        <w:t xml:space="preserve">“Employee”: </w:t>
      </w:r>
      <w:r>
        <w:rPr>
          <w:rFonts w:ascii="Arial" w:cs="Arial" w:eastAsia="Arial" w:hAnsi="Arial"/>
          <w:sz w:val="22"/>
          <w:szCs w:val="22"/>
          <w:color w:val="auto"/>
        </w:rPr>
        <w:t>Any person who is employed by the Company or a Designated Subsidiary. For the avoidance of doubt,</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 contractors and consultants are not “Employees”.</w:t>
      </w:r>
    </w:p>
    <w:p>
      <w:pPr>
        <w:spacing w:after="0" w:line="189" w:lineRule="exact"/>
        <w:rPr>
          <w:sz w:val="20"/>
          <w:szCs w:val="20"/>
          <w:color w:val="auto"/>
        </w:rPr>
      </w:pPr>
    </w:p>
    <w:p>
      <w:pPr>
        <w:jc w:val="both"/>
        <w:ind w:right="100" w:firstLine="749"/>
        <w:spacing w:after="0" w:line="243" w:lineRule="auto"/>
        <w:rPr>
          <w:sz w:val="20"/>
          <w:szCs w:val="20"/>
          <w:color w:val="auto"/>
        </w:rPr>
      </w:pPr>
      <w:r>
        <w:rPr>
          <w:rFonts w:ascii="Arial" w:cs="Arial" w:eastAsia="Arial" w:hAnsi="Arial"/>
          <w:sz w:val="22"/>
          <w:szCs w:val="22"/>
          <w:b w:val="1"/>
          <w:bCs w:val="1"/>
          <w:color w:val="auto"/>
        </w:rPr>
        <w:t xml:space="preserve">“Exercise Date”: </w:t>
      </w:r>
      <w:r>
        <w:rPr>
          <w:rFonts w:ascii="Arial" w:cs="Arial" w:eastAsia="Arial" w:hAnsi="Arial"/>
          <w:sz w:val="22"/>
          <w:szCs w:val="22"/>
          <w:color w:val="auto"/>
        </w:rPr>
        <w:t>The date set forth in Section 5 of the Plan or otherwise designated by the Administrator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a particular Option Period on which a Participant will be deemed to have exercised the Option granted to him or her for such Option Period.</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“Fair Market Value”:</w:t>
      </w:r>
    </w:p>
    <w:p>
      <w:pPr>
        <w:spacing w:after="0" w:line="239" w:lineRule="exact"/>
        <w:rPr>
          <w:sz w:val="20"/>
          <w:szCs w:val="20"/>
          <w:color w:val="auto"/>
        </w:rPr>
      </w:pPr>
    </w:p>
    <w:p>
      <w:pPr>
        <w:jc w:val="both"/>
        <w:ind w:right="200" w:firstLine="440"/>
        <w:spacing w:after="0" w:line="238" w:lineRule="auto"/>
        <w:tabs>
          <w:tab w:leader="none" w:pos="72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If the Stock is readily traded on an established national exchange or trading system (including the NASDAQ Global Market), the closing price of a share of Stock as reported by the principal exchange on which such Stock is traded;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however, </w:t>
      </w:r>
      <w:r>
        <w:rPr>
          <w:rFonts w:ascii="Arial" w:cs="Arial" w:eastAsia="Arial" w:hAnsi="Arial"/>
          <w:sz w:val="22"/>
          <w:szCs w:val="22"/>
          <w:color w:val="auto"/>
        </w:rPr>
        <w:t>that if such day is not a trading day, Fair Market Value will mean the reported closing price of a share of Stock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immediately preceding day that is a trading day.</w:t>
      </w:r>
    </w:p>
    <w:p>
      <w:pPr>
        <w:spacing w:after="0" w:line="211" w:lineRule="exact"/>
        <w:rPr>
          <w:rFonts w:ascii="Arial" w:cs="Arial" w:eastAsia="Arial" w:hAnsi="Arial"/>
          <w:sz w:val="22"/>
          <w:szCs w:val="22"/>
          <w:color w:val="auto"/>
        </w:rPr>
      </w:pPr>
    </w:p>
    <w:p>
      <w:pPr>
        <w:ind w:right="20" w:firstLine="440"/>
        <w:spacing w:after="0" w:line="250" w:lineRule="auto"/>
        <w:tabs>
          <w:tab w:leader="none" w:pos="73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If the Stock is not traded on an established national exchange or trading system, the average of the bid and ask prices for shares Stock where the bid and ask prices are quoted.</w:t>
      </w:r>
    </w:p>
    <w:p>
      <w:pPr>
        <w:spacing w:after="0" w:line="201" w:lineRule="exact"/>
        <w:rPr>
          <w:rFonts w:ascii="Arial" w:cs="Arial" w:eastAsia="Arial" w:hAnsi="Arial"/>
          <w:sz w:val="22"/>
          <w:szCs w:val="22"/>
          <w:color w:val="auto"/>
        </w:rPr>
      </w:pPr>
    </w:p>
    <w:p>
      <w:pPr>
        <w:ind w:right="20" w:firstLine="440"/>
        <w:spacing w:after="0" w:line="250" w:lineRule="auto"/>
        <w:tabs>
          <w:tab w:leader="none" w:pos="72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If the Stock cannot be valued pursuant to clauses (a) or (b), the value as determined in good faith by the Board in its sole discretion.</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“Maximum Share Limit”: </w:t>
      </w:r>
      <w:r>
        <w:rPr>
          <w:rFonts w:ascii="Arial" w:cs="Arial" w:eastAsia="Arial" w:hAnsi="Arial"/>
          <w:sz w:val="22"/>
          <w:szCs w:val="22"/>
          <w:color w:val="auto"/>
        </w:rPr>
        <w:t>The meaning set forth in Section 10 of the Plan.</w:t>
      </w:r>
    </w:p>
    <w:p>
      <w:pPr>
        <w:spacing w:after="0" w:line="233" w:lineRule="exact"/>
        <w:rPr>
          <w:sz w:val="20"/>
          <w:szCs w:val="20"/>
          <w:color w:val="auto"/>
        </w:rPr>
      </w:pPr>
    </w:p>
    <w:p>
      <w:pPr>
        <w:ind w:right="220" w:firstLine="749"/>
        <w:spacing w:after="0" w:line="256" w:lineRule="auto"/>
        <w:rPr>
          <w:sz w:val="20"/>
          <w:szCs w:val="20"/>
          <w:color w:val="auto"/>
        </w:rPr>
      </w:pPr>
      <w:r>
        <w:rPr>
          <w:rFonts w:ascii="Arial" w:cs="Arial" w:eastAsia="Arial" w:hAnsi="Arial"/>
          <w:sz w:val="22"/>
          <w:szCs w:val="22"/>
          <w:b w:val="1"/>
          <w:bCs w:val="1"/>
          <w:color w:val="auto"/>
        </w:rPr>
        <w:t xml:space="preserve">“Option”: </w:t>
      </w:r>
      <w:r>
        <w:rPr>
          <w:rFonts w:ascii="Arial" w:cs="Arial" w:eastAsia="Arial" w:hAnsi="Arial"/>
          <w:sz w:val="22"/>
          <w:szCs w:val="22"/>
          <w:color w:val="auto"/>
        </w:rPr>
        <w:t>An option granted pursuant to the Plan entitling the holder to acquire shares of Stock upon payment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Price per share of Stock.</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“Option Period”: </w:t>
      </w:r>
      <w:r>
        <w:rPr>
          <w:rFonts w:ascii="Arial" w:cs="Arial" w:eastAsia="Arial" w:hAnsi="Arial"/>
          <w:sz w:val="22"/>
          <w:szCs w:val="22"/>
          <w:color w:val="auto"/>
        </w:rPr>
        <w:t>An offering period established in accordance with Section 5 of the Plan.</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“Parent”: </w:t>
      </w:r>
      <w:r>
        <w:rPr>
          <w:rFonts w:ascii="Arial" w:cs="Arial" w:eastAsia="Arial" w:hAnsi="Arial"/>
          <w:sz w:val="22"/>
          <w:szCs w:val="22"/>
          <w:color w:val="auto"/>
        </w:rPr>
        <w:t>A “parent corporation” as defined in Section 424(e) of the Code.</w:t>
      </w:r>
    </w:p>
    <w:p>
      <w:pPr>
        <w:spacing w:after="0" w:line="233" w:lineRule="exact"/>
        <w:rPr>
          <w:sz w:val="20"/>
          <w:szCs w:val="20"/>
          <w:color w:val="auto"/>
        </w:rPr>
      </w:pPr>
    </w:p>
    <w:p>
      <w:pPr>
        <w:ind w:left="440" w:right="1780" w:firstLine="317"/>
        <w:spacing w:after="0" w:line="336" w:lineRule="auto"/>
        <w:rPr>
          <w:sz w:val="20"/>
          <w:szCs w:val="20"/>
          <w:color w:val="auto"/>
        </w:rPr>
      </w:pPr>
      <w:r>
        <w:rPr>
          <w:rFonts w:ascii="Arial" w:cs="Arial" w:eastAsia="Arial" w:hAnsi="Arial"/>
          <w:sz w:val="22"/>
          <w:szCs w:val="22"/>
          <w:b w:val="1"/>
          <w:bCs w:val="1"/>
          <w:color w:val="auto"/>
        </w:rPr>
        <w:t xml:space="preserve">“Participant”: </w:t>
      </w:r>
      <w:r>
        <w:rPr>
          <w:rFonts w:ascii="Arial" w:cs="Arial" w:eastAsia="Arial" w:hAnsi="Arial"/>
          <w:sz w:val="22"/>
          <w:szCs w:val="22"/>
          <w:color w:val="auto"/>
        </w:rPr>
        <w:t>An Eligible Employee who elects to participate in an Option Period under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-11-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184" w:name="page185"/>
    <w:bookmarkEnd w:id="184"/>
    <w:p>
      <w:pPr>
        <w:ind w:firstLine="749"/>
        <w:spacing w:after="0" w:line="256" w:lineRule="auto"/>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The Beam Therapeutics Inc. Amended and Restated 2019 Employee Stock Purchase Plan, as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and in effect.</w:t>
      </w:r>
    </w:p>
    <w:p>
      <w:pPr>
        <w:spacing w:after="0" w:line="189" w:lineRule="exact"/>
        <w:rPr>
          <w:sz w:val="20"/>
          <w:szCs w:val="20"/>
          <w:color w:val="auto"/>
        </w:rPr>
      </w:pPr>
    </w:p>
    <w:p>
      <w:pPr>
        <w:ind w:right="640" w:firstLine="749"/>
        <w:spacing w:after="0" w:line="256" w:lineRule="auto"/>
        <w:rPr>
          <w:sz w:val="20"/>
          <w:szCs w:val="20"/>
          <w:color w:val="auto"/>
        </w:rPr>
      </w:pPr>
      <w:r>
        <w:rPr>
          <w:rFonts w:ascii="Arial" w:cs="Arial" w:eastAsia="Arial" w:hAnsi="Arial"/>
          <w:sz w:val="22"/>
          <w:szCs w:val="22"/>
          <w:b w:val="1"/>
          <w:bCs w:val="1"/>
          <w:color w:val="auto"/>
        </w:rPr>
        <w:t xml:space="preserve">“Purchase Price”: </w:t>
      </w:r>
      <w:r>
        <w:rPr>
          <w:rFonts w:ascii="Arial" w:cs="Arial" w:eastAsia="Arial" w:hAnsi="Arial"/>
          <w:sz w:val="22"/>
          <w:szCs w:val="22"/>
          <w:color w:val="auto"/>
        </w:rPr>
        <w:t>The price per share of Stock with respect to an Option Period determined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9 of the Plan.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“Section 423”: </w:t>
      </w:r>
      <w:r>
        <w:rPr>
          <w:rFonts w:ascii="Arial" w:cs="Arial" w:eastAsia="Arial" w:hAnsi="Arial"/>
          <w:sz w:val="22"/>
          <w:szCs w:val="22"/>
          <w:color w:val="auto"/>
        </w:rPr>
        <w:t>Section 423 of the Code and the regulations thereunder.</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“Stock”: </w:t>
      </w:r>
      <w:r>
        <w:rPr>
          <w:rFonts w:ascii="Arial" w:cs="Arial" w:eastAsia="Arial" w:hAnsi="Arial"/>
          <w:sz w:val="22"/>
          <w:szCs w:val="22"/>
          <w:color w:val="auto"/>
        </w:rPr>
        <w:t>Common stock of the Company, par value $0.01 per share.</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A “subsidiary corporation” as defined in Section 424(f) of the Code.</w:t>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185" w:name="page186"/>
    <w:bookmarkEnd w:id="185"/>
    <w:p>
      <w:pPr>
        <w:jc w:val="center"/>
        <w:ind w:right="-1100"/>
        <w:spacing w:after="0"/>
        <w:rPr>
          <w:sz w:val="20"/>
          <w:szCs w:val="20"/>
          <w:color w:val="auto"/>
        </w:rPr>
      </w:pPr>
      <w:r>
        <w:rPr>
          <w:rFonts w:ascii="Arial" w:cs="Arial" w:eastAsia="Arial" w:hAnsi="Arial"/>
          <w:sz w:val="22"/>
          <w:szCs w:val="22"/>
          <w:b w:val="1"/>
          <w:bCs w:val="1"/>
          <w:color w:val="auto"/>
        </w:rPr>
        <w:t>EXHIBIT B</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Designated Subsidiaries</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Designated Subsidiaries as of the date of adoption of the Plan by the Board are listed below:</w:t>
      </w:r>
    </w:p>
    <w:p>
      <w:pPr>
        <w:spacing w:after="0" w:line="26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N/A</w:t>
      </w:r>
    </w:p>
    <w:p>
      <w:pPr>
        <w:ind w:left="440"/>
        <w:spacing w:after="0" w:line="235" w:lineRule="auto"/>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4"/>
          <w:szCs w:val="14"/>
          <w:color w:val="auto"/>
        </w:rPr>
        <w:t>77340685_7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7" w:right="1440" w:bottom="1440" w:gutter="0" w:footer="0" w:header="0"/>
        </w:sectPr>
      </w:pPr>
    </w:p>
    <w:bookmarkStart w:id="186" w:name="page187"/>
    <w:bookmarkEnd w:id="186"/>
    <w:p>
      <w:pPr>
        <w:jc w:val="right"/>
        <w:ind w:right="60"/>
        <w:spacing w:after="0"/>
        <w:rPr>
          <w:sz w:val="20"/>
          <w:szCs w:val="20"/>
          <w:color w:val="auto"/>
        </w:rPr>
      </w:pPr>
      <w:r>
        <w:rPr>
          <w:rFonts w:ascii="Arial" w:cs="Arial" w:eastAsia="Arial" w:hAnsi="Arial"/>
          <w:sz w:val="18"/>
          <w:szCs w:val="18"/>
          <w:b w:val="1"/>
          <w:bCs w:val="1"/>
          <w:color w:val="auto"/>
        </w:rPr>
        <w:t>Exhibit 10.31</w:t>
      </w:r>
    </w:p>
    <w:p>
      <w:pPr>
        <w:spacing w:after="0" w:line="72" w:lineRule="exact"/>
        <w:rPr>
          <w:sz w:val="20"/>
          <w:szCs w:val="20"/>
          <w:color w:val="auto"/>
        </w:rPr>
      </w:pPr>
    </w:p>
    <w:p>
      <w:pPr>
        <w:jc w:val="center"/>
        <w:ind w:left="600"/>
        <w:spacing w:after="0"/>
        <w:rPr>
          <w:sz w:val="20"/>
          <w:szCs w:val="20"/>
          <w:color w:val="auto"/>
        </w:rPr>
      </w:pPr>
      <w:r>
        <w:rPr>
          <w:rFonts w:ascii="Arial" w:cs="Arial" w:eastAsia="Arial" w:hAnsi="Arial"/>
          <w:sz w:val="20"/>
          <w:szCs w:val="20"/>
          <w:b w:val="1"/>
          <w:bCs w:val="1"/>
          <w:u w:val="single" w:color="auto"/>
          <w:color w:val="auto"/>
        </w:rPr>
        <w:t>FIRST AMENDMENT TO LEASE</w:t>
      </w:r>
    </w:p>
    <w:p>
      <w:pPr>
        <w:spacing w:after="0" w:line="283" w:lineRule="exact"/>
        <w:rPr>
          <w:sz w:val="20"/>
          <w:szCs w:val="20"/>
          <w:color w:val="auto"/>
        </w:rPr>
      </w:pPr>
    </w:p>
    <w:p>
      <w:pPr>
        <w:jc w:val="both"/>
        <w:ind w:left="1300" w:right="420"/>
        <w:spacing w:after="0" w:line="208" w:lineRule="auto"/>
        <w:rPr>
          <w:sz w:val="20"/>
          <w:szCs w:val="20"/>
          <w:color w:val="auto"/>
        </w:rPr>
      </w:pPr>
      <w:r>
        <w:rPr>
          <w:rFonts w:ascii="Arial" w:cs="Arial" w:eastAsia="Arial" w:hAnsi="Arial"/>
          <w:sz w:val="20"/>
          <w:szCs w:val="20"/>
          <w:color w:val="auto"/>
        </w:rPr>
        <w:t>This First Amendment to Lease (this “</w:t>
      </w:r>
      <w:r>
        <w:rPr>
          <w:rFonts w:ascii="Arial" w:cs="Arial" w:eastAsia="Arial" w:hAnsi="Arial"/>
          <w:sz w:val="20"/>
          <w:szCs w:val="20"/>
          <w:b w:val="1"/>
          <w:bCs w:val="1"/>
          <w:u w:val="single" w:color="auto"/>
          <w:color w:val="auto"/>
        </w:rPr>
        <w:t>First Amendment</w:t>
      </w:r>
      <w:r>
        <w:rPr>
          <w:rFonts w:ascii="Arial" w:cs="Arial" w:eastAsia="Arial" w:hAnsi="Arial"/>
          <w:sz w:val="20"/>
          <w:szCs w:val="20"/>
          <w:b w:val="1"/>
          <w:bCs w:val="1"/>
          <w:color w:val="auto"/>
        </w:rPr>
        <w:t>”)</w:t>
      </w:r>
      <w:r>
        <w:rPr>
          <w:rFonts w:ascii="Arial" w:cs="Arial" w:eastAsia="Arial" w:hAnsi="Arial"/>
          <w:sz w:val="20"/>
          <w:szCs w:val="20"/>
          <w:color w:val="auto"/>
        </w:rPr>
        <w:t xml:space="preserve"> is made as of April 14</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2020 by and between MASSACHUSETTS INSTITUTE OF TECHNOLOGY, a Massachusetts charitable corporation with an address of c/o MIT Investment Management Company, One Broadway, Suite 09-200, Cambridge, MA 02142 </w:t>
      </w:r>
      <w:r>
        <w:rPr>
          <w:sz w:val="1"/>
          <w:szCs w:val="1"/>
          <w:color w:val="auto"/>
        </w:rPr>
        <w:drawing>
          <wp:inline distT="0" distB="0" distL="0" distR="0">
            <wp:extent cx="93980" cy="11176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9">
                      <a:extLst>
                        <a:ext uri="{28A0092B-C50C-407E-A947-70E740481C1C}"/>
                      </a:extLst>
                    </a:blip>
                    <a:srcRect/>
                    <a:stretch>
                      <a:fillRect/>
                    </a:stretch>
                  </pic:blipFill>
                  <pic:spPr bwMode="auto">
                    <a:xfrm>
                      <a:off x="0" y="0"/>
                      <a:ext cx="93980" cy="111760"/>
                    </a:xfrm>
                    <a:prstGeom prst="rect">
                      <a:avLst/>
                    </a:prstGeom>
                    <a:noFill/>
                    <a:ln>
                      <a:noFill/>
                    </a:ln>
                  </pic:spPr>
                </pic:pic>
              </a:graphicData>
            </a:graphic>
          </wp:inline>
        </w:drawing>
      </w:r>
      <w:r>
        <w:rPr>
          <w:rFonts w:ascii="Arial" w:cs="Arial" w:eastAsia="Arial" w:hAnsi="Arial"/>
          <w:sz w:val="20"/>
          <w:szCs w:val="20"/>
          <w:b w:val="1"/>
          <w:bCs w:val="1"/>
          <w:u w:val="single" w:color="auto"/>
          <w:color w:val="auto"/>
        </w:rPr>
        <w:t>Landlord</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and</w:t>
      </w:r>
      <w:r>
        <w:rPr>
          <w:rFonts w:ascii="Arial" w:cs="Arial" w:eastAsia="Arial" w:hAnsi="Arial"/>
          <w:sz w:val="20"/>
          <w:szCs w:val="20"/>
          <w:b w:val="1"/>
          <w:bCs w:val="1"/>
          <w:u w:val="single" w:color="auto"/>
          <w:color w:val="auto"/>
        </w:rPr>
        <w:t xml:space="preserve"> BEAM THERAPEUTICS, INC., a Delaware corporation with an address of 26 Lansdowne Street, 2</w:t>
      </w:r>
      <w:r>
        <w:rPr>
          <w:rFonts w:ascii="Arial" w:cs="Arial" w:eastAsia="Arial" w:hAnsi="Arial"/>
          <w:sz w:val="26"/>
          <w:szCs w:val="26"/>
          <w:b w:val="1"/>
          <w:bCs w:val="1"/>
          <w:u w:val="single" w:color="auto"/>
          <w:color w:val="auto"/>
          <w:vertAlign w:val="superscript"/>
        </w:rPr>
        <w:t>nd</w:t>
      </w:r>
      <w:r>
        <w:rPr>
          <w:rFonts w:ascii="Arial" w:cs="Arial" w:eastAsia="Arial" w:hAnsi="Arial"/>
          <w:sz w:val="20"/>
          <w:szCs w:val="20"/>
          <w:b w:val="1"/>
          <w:bCs w:val="1"/>
          <w:u w:val="single" w:color="auto"/>
          <w:color w:val="auto"/>
        </w:rPr>
        <w:t xml:space="preserve"> Floor, Cambridge, MA 02139 Tenant </w:t>
      </w:r>
      <w:r>
        <w:rPr>
          <w:sz w:val="1"/>
          <w:szCs w:val="1"/>
          <w:color w:val="auto"/>
        </w:rPr>
        <w:drawing>
          <wp:inline distT="0" distB="0" distL="0" distR="0">
            <wp:extent cx="120015" cy="11176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0">
                      <a:extLst>
                        <a:ext uri="{28A0092B-C50C-407E-A947-70E740481C1C}"/>
                      </a:extLst>
                    </a:blip>
                    <a:srcRect/>
                    <a:stretch>
                      <a:fillRect/>
                    </a:stretch>
                  </pic:blipFill>
                  <pic:spPr bwMode="auto">
                    <a:xfrm>
                      <a:off x="0" y="0"/>
                      <a:ext cx="120015" cy="111760"/>
                    </a:xfrm>
                    <a:prstGeom prst="rect">
                      <a:avLst/>
                    </a:prstGeom>
                    <a:noFill/>
                    <a:ln>
                      <a:noFill/>
                    </a:ln>
                  </pic:spPr>
                </pic:pic>
              </a:graphicData>
            </a:graphic>
          </wp:inline>
        </w:drawing>
      </w:r>
    </w:p>
    <w:p>
      <w:pPr>
        <w:spacing w:after="0" w:line="78"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W I T N E S S E T H</w:t>
      </w:r>
    </w:p>
    <w:p>
      <w:pPr>
        <w:spacing w:after="0" w:line="94" w:lineRule="exact"/>
        <w:rPr>
          <w:sz w:val="20"/>
          <w:szCs w:val="20"/>
          <w:color w:val="auto"/>
        </w:rPr>
      </w:pPr>
    </w:p>
    <w:p>
      <w:pPr>
        <w:jc w:val="both"/>
        <w:ind w:left="1300" w:right="420" w:firstLine="749"/>
        <w:spacing w:after="0" w:line="234" w:lineRule="auto"/>
        <w:rPr>
          <w:sz w:val="20"/>
          <w:szCs w:val="20"/>
          <w:color w:val="auto"/>
        </w:rPr>
      </w:pPr>
      <w:r>
        <w:rPr>
          <w:rFonts w:ascii="Arial" w:cs="Arial" w:eastAsia="Arial" w:hAnsi="Arial"/>
          <w:sz w:val="20"/>
          <w:szCs w:val="20"/>
          <w:color w:val="auto"/>
        </w:rPr>
        <w:t xml:space="preserve">WHEREAS, Landlord and Tenant are the current parties to that certain Lease dated April 24, 2019 </w:t>
      </w:r>
      <w:r>
        <w:rPr>
          <w:sz w:val="1"/>
          <w:szCs w:val="1"/>
          <w:color w:val="auto"/>
        </w:rPr>
        <w:drawing>
          <wp:inline distT="0" distB="0" distL="0" distR="0">
            <wp:extent cx="188595" cy="11176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1">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r>
      <w:r>
        <w:rPr>
          <w:rFonts w:ascii="Arial" w:cs="Arial" w:eastAsia="Arial" w:hAnsi="Arial"/>
          <w:sz w:val="20"/>
          <w:szCs w:val="20"/>
          <w:color w:val="auto"/>
        </w:rPr>
        <w:t xml:space="preserve"> “</w:t>
      </w:r>
      <w:r>
        <w:rPr>
          <w:rFonts w:ascii="Arial" w:cs="Arial" w:eastAsia="Arial" w:hAnsi="Arial"/>
          <w:sz w:val="20"/>
          <w:szCs w:val="20"/>
          <w:b w:val="1"/>
          <w:bCs w:val="1"/>
          <w:u w:val="single" w:color="auto"/>
          <w:color w:val="auto"/>
        </w:rPr>
        <w:t>Lease</w:t>
      </w:r>
      <w:r>
        <w:rPr>
          <w:rFonts w:ascii="Arial" w:cs="Arial" w:eastAsia="Arial" w:hAnsi="Arial"/>
          <w:sz w:val="20"/>
          <w:szCs w:val="20"/>
          <w:color w:val="auto"/>
        </w:rPr>
        <w:t>”) pursuant to which Landlord is leasing to Tenant approximately 123,209 rentable square feet (as more particularly described in the Lease, the (“</w:t>
      </w:r>
      <w:r>
        <w:rPr>
          <w:rFonts w:ascii="Arial" w:cs="Arial" w:eastAsia="Arial" w:hAnsi="Arial"/>
          <w:sz w:val="20"/>
          <w:szCs w:val="20"/>
          <w:b w:val="1"/>
          <w:bCs w:val="1"/>
          <w:color w:val="auto"/>
        </w:rPr>
        <w:t>Original Space”) located o</w:t>
      </w:r>
      <w:r>
        <w:rPr>
          <w:rFonts w:ascii="Arial" w:cs="Arial" w:eastAsia="Arial" w:hAnsi="Arial"/>
          <w:sz w:val="20"/>
          <w:szCs w:val="20"/>
          <w:color w:val="auto"/>
        </w:rPr>
        <w:t>n the seventh, eighth, ninth and tenth floors of the Laboratory Addition to the building located at 238 Main Street, Cambridge, MA;</w:t>
      </w:r>
    </w:p>
    <w:p>
      <w:pPr>
        <w:spacing w:after="0" w:line="75" w:lineRule="exact"/>
        <w:rPr>
          <w:sz w:val="20"/>
          <w:szCs w:val="20"/>
          <w:color w:val="auto"/>
        </w:rPr>
      </w:pPr>
    </w:p>
    <w:p>
      <w:pPr>
        <w:jc w:val="both"/>
        <w:ind w:left="1300" w:right="420" w:firstLine="749"/>
        <w:spacing w:after="0" w:line="254" w:lineRule="auto"/>
        <w:rPr>
          <w:sz w:val="20"/>
          <w:szCs w:val="20"/>
          <w:color w:val="auto"/>
        </w:rPr>
      </w:pPr>
      <w:r>
        <w:rPr>
          <w:rFonts w:ascii="Arial" w:cs="Arial" w:eastAsia="Arial" w:hAnsi="Arial"/>
          <w:sz w:val="19"/>
          <w:szCs w:val="19"/>
          <w:color w:val="auto"/>
        </w:rPr>
        <w:t>WHEREAS, Tenant has notified Landlord that it does not wish to have a vivarium constructed as part of Tenant’s Fitout and accordingly, the Final Construction Drawings with respect to Phase 2 will vary from the approved Design Development Plans for such Phase because the vivarium will be removed therefrom; and</w:t>
      </w:r>
    </w:p>
    <w:p>
      <w:pPr>
        <w:spacing w:after="0" w:line="62"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WHEREAS, Landlord and Tenant wish to memorialize their agreements with respect thereto.</w:t>
      </w:r>
    </w:p>
    <w:p>
      <w:pPr>
        <w:spacing w:after="0" w:line="81" w:lineRule="exact"/>
        <w:rPr>
          <w:sz w:val="20"/>
          <w:szCs w:val="20"/>
          <w:color w:val="auto"/>
        </w:rPr>
      </w:pPr>
    </w:p>
    <w:p>
      <w:pPr>
        <w:jc w:val="both"/>
        <w:ind w:left="1300" w:right="420" w:firstLine="749"/>
        <w:spacing w:after="0" w:line="237" w:lineRule="auto"/>
        <w:rPr>
          <w:sz w:val="20"/>
          <w:szCs w:val="20"/>
          <w:color w:val="auto"/>
        </w:rPr>
      </w:pPr>
      <w:r>
        <w:rPr>
          <w:rFonts w:ascii="Arial" w:cs="Arial" w:eastAsia="Arial" w:hAnsi="Arial"/>
          <w:sz w:val="20"/>
          <w:szCs w:val="20"/>
          <w:color w:val="auto"/>
        </w:rPr>
        <w:t>NOW, THEREFORE, in consideration of the covenants herein reserved and contained, and other good and valuable consideration, the receipt and sufficiency of which are hereby acknowledged, Landlord and Tenant hereby agree as follows:</w:t>
      </w:r>
    </w:p>
    <w:p>
      <w:pPr>
        <w:spacing w:after="0" w:line="88" w:lineRule="exact"/>
        <w:rPr>
          <w:sz w:val="20"/>
          <w:szCs w:val="20"/>
          <w:color w:val="auto"/>
        </w:rPr>
      </w:pPr>
    </w:p>
    <w:p>
      <w:pPr>
        <w:ind w:left="1300" w:right="420" w:firstLine="372"/>
        <w:spacing w:after="0" w:line="272" w:lineRule="auto"/>
        <w:tabs>
          <w:tab w:leader="none" w:pos="2033"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Recitals; Capitalized Terms</w:t>
      </w:r>
      <w:r>
        <w:rPr>
          <w:rFonts w:ascii="Arial" w:cs="Arial" w:eastAsia="Arial" w:hAnsi="Arial"/>
          <w:sz w:val="19"/>
          <w:szCs w:val="19"/>
          <w:color w:val="auto"/>
        </w:rPr>
        <w:t>. The foregoing recitals are hereby incorporated by reference. All capitalized terms not otherwise defined herein shall have the meanings ascribed to them as set forth in the Lease.</w:t>
      </w:r>
    </w:p>
    <w:p>
      <w:pPr>
        <w:spacing w:after="0" w:line="44" w:lineRule="exact"/>
        <w:rPr>
          <w:rFonts w:ascii="Arial" w:cs="Arial" w:eastAsia="Arial" w:hAnsi="Arial"/>
          <w:sz w:val="19"/>
          <w:szCs w:val="19"/>
          <w:color w:val="auto"/>
        </w:rPr>
      </w:pPr>
    </w:p>
    <w:p>
      <w:pPr>
        <w:jc w:val="both"/>
        <w:ind w:left="1300" w:right="400" w:firstLine="370"/>
        <w:spacing w:after="0" w:line="257" w:lineRule="auto"/>
        <w:tabs>
          <w:tab w:leader="none" w:pos="2033"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Premises</w:t>
      </w:r>
      <w:r>
        <w:rPr>
          <w:rFonts w:ascii="Arial" w:cs="Arial" w:eastAsia="Arial" w:hAnsi="Arial"/>
          <w:sz w:val="18"/>
          <w:szCs w:val="18"/>
          <w:color w:val="auto"/>
        </w:rPr>
        <w:t xml:space="preserve">. Notwithstanding anything to the contrary contained in the Lease, but subject to </w:t>
      </w:r>
      <w:r>
        <w:rPr>
          <w:rFonts w:ascii="Arial" w:cs="Arial" w:eastAsia="Arial" w:hAnsi="Arial"/>
          <w:sz w:val="18"/>
          <w:szCs w:val="18"/>
          <w:u w:val="single" w:color="auto"/>
          <w:color w:val="auto"/>
        </w:rPr>
        <w:t>Section 25.16</w:t>
      </w:r>
      <w:r>
        <w:rPr>
          <w:rFonts w:ascii="Arial" w:cs="Arial" w:eastAsia="Arial" w:hAnsi="Arial"/>
          <w:sz w:val="18"/>
          <w:szCs w:val="18"/>
          <w:color w:val="auto"/>
        </w:rPr>
        <w:t xml:space="preserve"> of the Lease, from and after the date hereof, the “</w:t>
      </w:r>
      <w:r>
        <w:rPr>
          <w:rFonts w:ascii="Arial" w:cs="Arial" w:eastAsia="Arial" w:hAnsi="Arial"/>
          <w:sz w:val="18"/>
          <w:szCs w:val="18"/>
          <w:u w:val="single" w:color="auto"/>
          <w:color w:val="auto"/>
        </w:rPr>
        <w:t>Premises</w:t>
      </w:r>
      <w:r>
        <w:rPr>
          <w:rFonts w:ascii="Arial" w:cs="Arial" w:eastAsia="Arial" w:hAnsi="Arial"/>
          <w:sz w:val="18"/>
          <w:szCs w:val="18"/>
          <w:color w:val="auto"/>
        </w:rPr>
        <w:t>” shall mean approximately 122,620 rentable square feet of space consisting of all rentable areas on the seventh (7</w:t>
      </w:r>
      <w:r>
        <w:rPr>
          <w:rFonts w:ascii="Arial" w:cs="Arial" w:eastAsia="Arial" w:hAnsi="Arial"/>
          <w:sz w:val="12"/>
          <w:szCs w:val="12"/>
          <w:color w:val="auto"/>
        </w:rPr>
        <w:t>th</w:t>
      </w:r>
      <w:r>
        <w:rPr>
          <w:rFonts w:ascii="Arial" w:cs="Arial" w:eastAsia="Arial" w:hAnsi="Arial"/>
          <w:sz w:val="18"/>
          <w:szCs w:val="18"/>
          <w:color w:val="auto"/>
        </w:rPr>
        <w:t>) floor of the Laboratory Addition (containing approximately 30,655 rentable square feet), all rentable areas on the eighth (8</w:t>
      </w:r>
      <w:r>
        <w:rPr>
          <w:rFonts w:ascii="Arial" w:cs="Arial" w:eastAsia="Arial" w:hAnsi="Arial"/>
          <w:sz w:val="12"/>
          <w:szCs w:val="12"/>
          <w:color w:val="auto"/>
        </w:rPr>
        <w:t>th</w:t>
      </w:r>
      <w:r>
        <w:rPr>
          <w:rFonts w:ascii="Arial" w:cs="Arial" w:eastAsia="Arial" w:hAnsi="Arial"/>
          <w:sz w:val="18"/>
          <w:szCs w:val="18"/>
          <w:color w:val="auto"/>
        </w:rPr>
        <w:t>) floor of the Laboratory Addition (containing approximately 30,655 rentable square feet), all rentable areas on the ninth (9</w:t>
      </w:r>
      <w:r>
        <w:rPr>
          <w:rFonts w:ascii="Arial" w:cs="Arial" w:eastAsia="Arial" w:hAnsi="Arial"/>
          <w:sz w:val="12"/>
          <w:szCs w:val="12"/>
          <w:color w:val="auto"/>
        </w:rPr>
        <w:t>th</w:t>
      </w:r>
      <w:r>
        <w:rPr>
          <w:rFonts w:ascii="Arial" w:cs="Arial" w:eastAsia="Arial" w:hAnsi="Arial"/>
          <w:sz w:val="18"/>
          <w:szCs w:val="18"/>
          <w:color w:val="auto"/>
        </w:rPr>
        <w:t>) floor of the Laboratory Addition (containing approximately 30,655 rentable square feet), all rentable areas on the tenth (10</w:t>
      </w:r>
      <w:r>
        <w:rPr>
          <w:rFonts w:ascii="Arial" w:cs="Arial" w:eastAsia="Arial" w:hAnsi="Arial"/>
          <w:sz w:val="12"/>
          <w:szCs w:val="12"/>
          <w:color w:val="auto"/>
        </w:rPr>
        <w:t>th</w:t>
      </w:r>
      <w:r>
        <w:rPr>
          <w:rFonts w:ascii="Arial" w:cs="Arial" w:eastAsia="Arial" w:hAnsi="Arial"/>
          <w:sz w:val="18"/>
          <w:szCs w:val="18"/>
          <w:color w:val="auto"/>
        </w:rPr>
        <w:t>) floor of the Laboratory Addition (containing approximately 30,655 rentable square feet), including associated mechanical, ground floor and lower level space, all as more particularly shown as hatched, highlighted or outlined on the Lease Plan.</w:t>
      </w:r>
    </w:p>
    <w:p>
      <w:pPr>
        <w:spacing w:after="0" w:line="62" w:lineRule="exact"/>
        <w:rPr>
          <w:rFonts w:ascii="Arial" w:cs="Arial" w:eastAsia="Arial" w:hAnsi="Arial"/>
          <w:sz w:val="18"/>
          <w:szCs w:val="18"/>
          <w:color w:val="auto"/>
        </w:rPr>
      </w:pPr>
    </w:p>
    <w:p>
      <w:pPr>
        <w:jc w:val="both"/>
        <w:ind w:left="1300" w:right="420" w:firstLine="372"/>
        <w:spacing w:after="0" w:line="237" w:lineRule="auto"/>
        <w:tabs>
          <w:tab w:leader="none" w:pos="2033"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Base Rent</w:t>
      </w:r>
      <w:r>
        <w:rPr>
          <w:rFonts w:ascii="Arial" w:cs="Arial" w:eastAsia="Arial" w:hAnsi="Arial"/>
          <w:sz w:val="20"/>
          <w:szCs w:val="20"/>
          <w:color w:val="auto"/>
        </w:rPr>
        <w:t>. Notwithstanding anything to the contrary contained in the Lease, from and after the date hereof, the Base Rent schedule with respect to Phase 2 in the Lease Summary Sheet is hereby deleted and replaced with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60" w:type="dxa"/>
            <w:vAlign w:val="bottom"/>
            <w:tcBorders>
              <w:right w:val="single" w:sz="8" w:color="auto"/>
            </w:tcBorders>
          </w:tcPr>
          <w:p>
            <w:pPr>
              <w:spacing w:after="0"/>
              <w:rPr>
                <w:sz w:val="23"/>
                <w:szCs w:val="23"/>
                <w:color w:val="auto"/>
              </w:rPr>
            </w:pPr>
          </w:p>
        </w:tc>
        <w:tc>
          <w:tcPr>
            <w:tcW w:w="34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Base Rent with respect to Phase 2:</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Period of Time</w:t>
            </w:r>
          </w:p>
        </w:tc>
        <w:tc>
          <w:tcPr>
            <w:tcW w:w="2220" w:type="dxa"/>
            <w:vAlign w:val="bottom"/>
            <w:tcBorders>
              <w:top w:val="single" w:sz="8" w:color="auto"/>
              <w:right w:val="single" w:sz="8" w:color="auto"/>
            </w:tcBorders>
          </w:tcPr>
          <w:p>
            <w:pPr>
              <w:ind w:left="380"/>
              <w:spacing w:after="0"/>
              <w:rPr>
                <w:sz w:val="20"/>
                <w:szCs w:val="20"/>
                <w:color w:val="auto"/>
              </w:rPr>
            </w:pPr>
            <w:r>
              <w:rPr>
                <w:rFonts w:ascii="Arial" w:cs="Arial" w:eastAsia="Arial" w:hAnsi="Arial"/>
                <w:sz w:val="20"/>
                <w:szCs w:val="20"/>
                <w:color w:val="auto"/>
              </w:rPr>
              <w:t>Annual Base Rent</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Monthly Payment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1060" w:type="dxa"/>
            <w:vAlign w:val="bottom"/>
            <w:tcBorders>
              <w:right w:val="single" w:sz="8" w:color="auto"/>
            </w:tcBorders>
          </w:tcPr>
          <w:p>
            <w:pPr>
              <w:spacing w:after="0"/>
              <w:rPr>
                <w:sz w:val="6"/>
                <w:szCs w:val="6"/>
                <w:color w:val="auto"/>
              </w:rPr>
            </w:pPr>
          </w:p>
        </w:tc>
        <w:tc>
          <w:tcPr>
            <w:tcW w:w="3420" w:type="dxa"/>
            <w:vAlign w:val="bottom"/>
            <w:tcBorders>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2120" w:type="dxa"/>
            <w:vAlign w:val="bottom"/>
            <w:tcBorders>
              <w:bottom w:val="single" w:sz="8" w:color="auto"/>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060" w:type="dxa"/>
            <w:vAlign w:val="bottom"/>
            <w:tcBorders>
              <w:right w:val="single" w:sz="8" w:color="auto"/>
            </w:tcBorders>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ind w:left="180"/>
              <w:spacing w:after="0" w:line="142" w:lineRule="exact"/>
              <w:rPr>
                <w:sz w:val="20"/>
                <w:szCs w:val="20"/>
                <w:color w:val="auto"/>
              </w:rPr>
            </w:pPr>
            <w:r>
              <w:rPr>
                <w:rFonts w:ascii="Arial" w:cs="Arial" w:eastAsia="Arial" w:hAnsi="Arial"/>
                <w:sz w:val="16"/>
                <w:szCs w:val="16"/>
                <w:color w:val="auto"/>
              </w:rPr>
              <w:t>Phase 2 RCD End of</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$2,958,207.50</w:t>
            </w:r>
            <w:r>
              <w:rPr>
                <w:rFonts w:ascii="Arial" w:cs="Arial" w:eastAsia="Arial" w:hAnsi="Arial"/>
                <w:sz w:val="26"/>
                <w:szCs w:val="26"/>
                <w:color w:val="auto"/>
                <w:w w:val="87"/>
                <w:vertAlign w:val="superscript"/>
              </w:rPr>
              <w:t>2</w:t>
            </w:r>
          </w:p>
        </w:tc>
        <w:tc>
          <w:tcPr>
            <w:tcW w:w="2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1060" w:type="dxa"/>
            <w:vAlign w:val="bottom"/>
            <w:tcBorders>
              <w:right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20"/>
                <w:szCs w:val="20"/>
                <w:color w:val="auto"/>
              </w:rPr>
              <w:t>Rent Year 1</w:t>
            </w:r>
          </w:p>
        </w:tc>
        <w:tc>
          <w:tcPr>
            <w:tcW w:w="2220" w:type="dxa"/>
            <w:vAlign w:val="bottom"/>
            <w:tcBorders>
              <w:bottom w:val="single" w:sz="8" w:color="auto"/>
              <w:right w:val="single" w:sz="8" w:color="auto"/>
            </w:tcBorders>
            <w:vMerge w:val="continue"/>
          </w:tcPr>
          <w:p>
            <w:pPr>
              <w:spacing w:after="0"/>
              <w:rPr>
                <w:sz w:val="24"/>
                <w:szCs w:val="24"/>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$246,517.29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60" w:type="dxa"/>
            <w:vAlign w:val="bottom"/>
            <w:tcBorders>
              <w:right w:val="single" w:sz="8" w:color="auto"/>
            </w:tcBorders>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Rent Year 2</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$3,046,953.73</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$253,912.81</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1060" w:type="dxa"/>
            <w:vAlign w:val="bottom"/>
            <w:tcBorders>
              <w:right w:val="single" w:sz="8" w:color="auto"/>
            </w:tcBorders>
          </w:tcPr>
          <w:p>
            <w:pPr>
              <w:spacing w:after="0"/>
              <w:rPr>
                <w:sz w:val="3"/>
                <w:szCs w:val="3"/>
                <w:color w:val="auto"/>
              </w:rPr>
            </w:pPr>
          </w:p>
        </w:tc>
        <w:tc>
          <w:tcPr>
            <w:tcW w:w="34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060" w:type="dxa"/>
            <w:vAlign w:val="bottom"/>
            <w:tcBorders>
              <w:right w:val="single" w:sz="8" w:color="auto"/>
            </w:tcBorders>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Rent Year 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$3,138,362.34</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$261,530.19</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060" w:type="dxa"/>
            <w:vAlign w:val="bottom"/>
            <w:tcBorders>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7"/>
        </w:trPr>
        <w:tc>
          <w:tcPr>
            <w:tcW w:w="106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87" w:name="page188"/>
    <w:bookmarkEnd w:id="187"/>
    <w:tbl>
      <w:tblPr>
        <w:tblLayout w:type="fixed"/>
        <w:tblInd w:w="10" w:type="dxa"/>
        <w:tblCellMar>
          <w:top w:w="0" w:type="dxa"/>
          <w:left w:w="0" w:type="dxa"/>
          <w:bottom w:w="0" w:type="dxa"/>
          <w:right w:w="0" w:type="dxa"/>
        </w:tblCellMar>
      </w:tblPr>
      <w:tr>
        <w:trPr>
          <w:trHeight w:val="277"/>
        </w:trPr>
        <w:tc>
          <w:tcPr>
            <w:tcW w:w="3440" w:type="dxa"/>
            <w:vAlign w:val="bottom"/>
            <w:tcBorders>
              <w:top w:val="single" w:sz="8" w:color="auto"/>
              <w:left w:val="single" w:sz="8" w:color="auto"/>
              <w:right w:val="single" w:sz="8" w:color="auto"/>
            </w:tcBorders>
          </w:tcPr>
          <w:p>
            <w:pPr>
              <w:spacing w:after="0"/>
              <w:rPr>
                <w:sz w:val="24"/>
                <w:szCs w:val="24"/>
                <w:color w:val="auto"/>
              </w:rPr>
            </w:pPr>
          </w:p>
        </w:tc>
        <w:tc>
          <w:tcPr>
            <w:tcW w:w="2220" w:type="dxa"/>
            <w:vAlign w:val="bottom"/>
            <w:tcBorders>
              <w:top w:val="single" w:sz="8" w:color="auto"/>
              <w:right w:val="single" w:sz="8" w:color="auto"/>
            </w:tcBorders>
          </w:tcPr>
          <w:p>
            <w:pPr>
              <w:jc w:val="center"/>
              <w:ind w:right="181"/>
              <w:spacing w:after="0"/>
              <w:rPr>
                <w:sz w:val="20"/>
                <w:szCs w:val="20"/>
                <w:color w:val="auto"/>
              </w:rPr>
            </w:pPr>
            <w:r>
              <w:rPr>
                <w:rFonts w:ascii="Arial" w:cs="Arial" w:eastAsia="Arial" w:hAnsi="Arial"/>
                <w:sz w:val="20"/>
                <w:szCs w:val="20"/>
                <w:color w:val="auto"/>
                <w:w w:val="88"/>
              </w:rPr>
              <w:t>Rent Year 4</w:t>
            </w:r>
          </w:p>
        </w:tc>
        <w:tc>
          <w:tcPr>
            <w:tcW w:w="2220" w:type="dxa"/>
            <w:vAlign w:val="bottom"/>
            <w:tcBorders>
              <w:top w:val="single" w:sz="8" w:color="auto"/>
              <w:right w:val="single" w:sz="8" w:color="auto"/>
            </w:tcBorders>
          </w:tcPr>
          <w:p>
            <w:pPr>
              <w:jc w:val="right"/>
              <w:ind w:right="561"/>
              <w:spacing w:after="0"/>
              <w:rPr>
                <w:sz w:val="20"/>
                <w:szCs w:val="20"/>
                <w:color w:val="auto"/>
              </w:rPr>
            </w:pPr>
            <w:r>
              <w:rPr>
                <w:rFonts w:ascii="Arial" w:cs="Arial" w:eastAsia="Arial" w:hAnsi="Arial"/>
                <w:sz w:val="20"/>
                <w:szCs w:val="20"/>
                <w:color w:val="auto"/>
              </w:rPr>
              <w:t>$3,232,513.21</w:t>
            </w:r>
          </w:p>
        </w:tc>
        <w:tc>
          <w:tcPr>
            <w:tcW w:w="2120" w:type="dxa"/>
            <w:vAlign w:val="bottom"/>
            <w:tcBorders>
              <w:top w:val="single" w:sz="8" w:color="auto"/>
              <w:right w:val="single" w:sz="8" w:color="auto"/>
            </w:tcBorders>
          </w:tcPr>
          <w:p>
            <w:pPr>
              <w:jc w:val="right"/>
              <w:ind w:right="341"/>
              <w:spacing w:after="0"/>
              <w:rPr>
                <w:sz w:val="20"/>
                <w:szCs w:val="20"/>
                <w:color w:val="auto"/>
              </w:rPr>
            </w:pPr>
            <w:r>
              <w:rPr>
                <w:rFonts w:ascii="Arial" w:cs="Arial" w:eastAsia="Arial" w:hAnsi="Arial"/>
                <w:sz w:val="20"/>
                <w:szCs w:val="20"/>
                <w:color w:val="auto"/>
              </w:rPr>
              <w:t>$269,376.10</w:t>
            </w:r>
          </w:p>
        </w:tc>
      </w:tr>
      <w:tr>
        <w:trPr>
          <w:trHeight w:val="67"/>
        </w:trPr>
        <w:tc>
          <w:tcPr>
            <w:tcW w:w="3440" w:type="dxa"/>
            <w:vAlign w:val="bottom"/>
            <w:tcBorders>
              <w:left w:val="single" w:sz="8" w:color="auto"/>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r>
      <w:tr>
        <w:trPr>
          <w:trHeight w:val="237"/>
        </w:trPr>
        <w:tc>
          <w:tcPr>
            <w:tcW w:w="3440" w:type="dxa"/>
            <w:vAlign w:val="bottom"/>
            <w:tcBorders>
              <w:left w:val="single" w:sz="8" w:color="auto"/>
              <w:right w:val="single" w:sz="8" w:color="auto"/>
            </w:tcBorders>
          </w:tcPr>
          <w:p>
            <w:pPr>
              <w:spacing w:after="0"/>
              <w:rPr>
                <w:sz w:val="20"/>
                <w:szCs w:val="20"/>
                <w:color w:val="auto"/>
              </w:rPr>
            </w:pPr>
          </w:p>
        </w:tc>
        <w:tc>
          <w:tcPr>
            <w:tcW w:w="2220" w:type="dxa"/>
            <w:vAlign w:val="bottom"/>
            <w:tcBorders>
              <w:right w:val="single" w:sz="8" w:color="auto"/>
            </w:tcBorders>
          </w:tcPr>
          <w:p>
            <w:pPr>
              <w:jc w:val="center"/>
              <w:ind w:right="181"/>
              <w:spacing w:after="0"/>
              <w:rPr>
                <w:sz w:val="20"/>
                <w:szCs w:val="20"/>
                <w:color w:val="auto"/>
              </w:rPr>
            </w:pPr>
            <w:r>
              <w:rPr>
                <w:rFonts w:ascii="Arial" w:cs="Arial" w:eastAsia="Arial" w:hAnsi="Arial"/>
                <w:sz w:val="20"/>
                <w:szCs w:val="20"/>
                <w:color w:val="auto"/>
                <w:w w:val="88"/>
              </w:rPr>
              <w:t>Rent Year 5</w:t>
            </w:r>
          </w:p>
        </w:tc>
        <w:tc>
          <w:tcPr>
            <w:tcW w:w="22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rPr>
              <w:t>$3,329,488.60</w:t>
            </w:r>
          </w:p>
        </w:tc>
        <w:tc>
          <w:tcPr>
            <w:tcW w:w="21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$277,457.38</w:t>
            </w:r>
          </w:p>
        </w:tc>
      </w:tr>
      <w:tr>
        <w:trPr>
          <w:trHeight w:val="50"/>
        </w:trPr>
        <w:tc>
          <w:tcPr>
            <w:tcW w:w="3440" w:type="dxa"/>
            <w:vAlign w:val="bottom"/>
            <w:tcBorders>
              <w:left w:val="single" w:sz="8" w:color="auto"/>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54"/>
        </w:trPr>
        <w:tc>
          <w:tcPr>
            <w:tcW w:w="3440" w:type="dxa"/>
            <w:vAlign w:val="bottom"/>
            <w:tcBorders>
              <w:left w:val="single" w:sz="8" w:color="auto"/>
              <w:right w:val="single" w:sz="8" w:color="auto"/>
            </w:tcBorders>
          </w:tcPr>
          <w:p>
            <w:pPr>
              <w:spacing w:after="0"/>
              <w:rPr>
                <w:sz w:val="22"/>
                <w:szCs w:val="22"/>
                <w:color w:val="auto"/>
              </w:rPr>
            </w:pPr>
          </w:p>
        </w:tc>
        <w:tc>
          <w:tcPr>
            <w:tcW w:w="2220" w:type="dxa"/>
            <w:vAlign w:val="bottom"/>
            <w:tcBorders>
              <w:right w:val="single" w:sz="8" w:color="auto"/>
            </w:tcBorders>
          </w:tcPr>
          <w:p>
            <w:pPr>
              <w:jc w:val="center"/>
              <w:ind w:right="181"/>
              <w:spacing w:after="0"/>
              <w:rPr>
                <w:sz w:val="20"/>
                <w:szCs w:val="20"/>
                <w:color w:val="auto"/>
              </w:rPr>
            </w:pPr>
            <w:r>
              <w:rPr>
                <w:rFonts w:ascii="Arial" w:cs="Arial" w:eastAsia="Arial" w:hAnsi="Arial"/>
                <w:sz w:val="20"/>
                <w:szCs w:val="20"/>
                <w:color w:val="auto"/>
                <w:w w:val="88"/>
              </w:rPr>
              <w:t>Rent Year 6</w:t>
            </w:r>
          </w:p>
        </w:tc>
        <w:tc>
          <w:tcPr>
            <w:tcW w:w="22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rPr>
              <w:t>$3,429,373.26</w:t>
            </w:r>
          </w:p>
        </w:tc>
        <w:tc>
          <w:tcPr>
            <w:tcW w:w="21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$285,781.11</w:t>
            </w:r>
          </w:p>
        </w:tc>
      </w:tr>
      <w:tr>
        <w:trPr>
          <w:trHeight w:val="63"/>
        </w:trPr>
        <w:tc>
          <w:tcPr>
            <w:tcW w:w="3440" w:type="dxa"/>
            <w:vAlign w:val="bottom"/>
            <w:tcBorders>
              <w:left w:val="single" w:sz="8" w:color="auto"/>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r>
      <w:tr>
        <w:trPr>
          <w:trHeight w:val="254"/>
        </w:trPr>
        <w:tc>
          <w:tcPr>
            <w:tcW w:w="3440" w:type="dxa"/>
            <w:vAlign w:val="bottom"/>
            <w:tcBorders>
              <w:left w:val="single" w:sz="8" w:color="auto"/>
              <w:right w:val="single" w:sz="8" w:color="auto"/>
            </w:tcBorders>
          </w:tcPr>
          <w:p>
            <w:pPr>
              <w:spacing w:after="0"/>
              <w:rPr>
                <w:sz w:val="22"/>
                <w:szCs w:val="22"/>
                <w:color w:val="auto"/>
              </w:rPr>
            </w:pPr>
          </w:p>
        </w:tc>
        <w:tc>
          <w:tcPr>
            <w:tcW w:w="2220" w:type="dxa"/>
            <w:vAlign w:val="bottom"/>
            <w:tcBorders>
              <w:right w:val="single" w:sz="8" w:color="auto"/>
            </w:tcBorders>
          </w:tcPr>
          <w:p>
            <w:pPr>
              <w:jc w:val="center"/>
              <w:ind w:right="181"/>
              <w:spacing w:after="0"/>
              <w:rPr>
                <w:sz w:val="20"/>
                <w:szCs w:val="20"/>
                <w:color w:val="auto"/>
              </w:rPr>
            </w:pPr>
            <w:r>
              <w:rPr>
                <w:rFonts w:ascii="Arial" w:cs="Arial" w:eastAsia="Arial" w:hAnsi="Arial"/>
                <w:sz w:val="20"/>
                <w:szCs w:val="20"/>
                <w:color w:val="auto"/>
                <w:w w:val="88"/>
              </w:rPr>
              <w:t>Rent Year 7</w:t>
            </w:r>
          </w:p>
        </w:tc>
        <w:tc>
          <w:tcPr>
            <w:tcW w:w="22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rPr>
              <w:t>$3,532,254.46</w:t>
            </w:r>
          </w:p>
        </w:tc>
        <w:tc>
          <w:tcPr>
            <w:tcW w:w="21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$294,354.54</w:t>
            </w:r>
          </w:p>
        </w:tc>
      </w:tr>
      <w:tr>
        <w:trPr>
          <w:trHeight w:val="50"/>
        </w:trPr>
        <w:tc>
          <w:tcPr>
            <w:tcW w:w="3440" w:type="dxa"/>
            <w:vAlign w:val="bottom"/>
            <w:tcBorders>
              <w:left w:val="single" w:sz="8" w:color="auto"/>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54"/>
        </w:trPr>
        <w:tc>
          <w:tcPr>
            <w:tcW w:w="3440" w:type="dxa"/>
            <w:vAlign w:val="bottom"/>
            <w:tcBorders>
              <w:left w:val="single" w:sz="8" w:color="auto"/>
              <w:right w:val="single" w:sz="8" w:color="auto"/>
            </w:tcBorders>
          </w:tcPr>
          <w:p>
            <w:pPr>
              <w:spacing w:after="0"/>
              <w:rPr>
                <w:sz w:val="22"/>
                <w:szCs w:val="22"/>
                <w:color w:val="auto"/>
              </w:rPr>
            </w:pPr>
          </w:p>
        </w:tc>
        <w:tc>
          <w:tcPr>
            <w:tcW w:w="2220" w:type="dxa"/>
            <w:vAlign w:val="bottom"/>
            <w:tcBorders>
              <w:right w:val="single" w:sz="8" w:color="auto"/>
            </w:tcBorders>
          </w:tcPr>
          <w:p>
            <w:pPr>
              <w:jc w:val="center"/>
              <w:ind w:right="181"/>
              <w:spacing w:after="0"/>
              <w:rPr>
                <w:sz w:val="20"/>
                <w:szCs w:val="20"/>
                <w:color w:val="auto"/>
              </w:rPr>
            </w:pPr>
            <w:r>
              <w:rPr>
                <w:rFonts w:ascii="Arial" w:cs="Arial" w:eastAsia="Arial" w:hAnsi="Arial"/>
                <w:sz w:val="20"/>
                <w:szCs w:val="20"/>
                <w:color w:val="auto"/>
                <w:w w:val="88"/>
              </w:rPr>
              <w:t>Rent Year 8</w:t>
            </w:r>
          </w:p>
        </w:tc>
        <w:tc>
          <w:tcPr>
            <w:tcW w:w="22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rPr>
              <w:t>$3,638,222.09</w:t>
            </w:r>
          </w:p>
        </w:tc>
        <w:tc>
          <w:tcPr>
            <w:tcW w:w="21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$303,185.17</w:t>
            </w:r>
          </w:p>
        </w:tc>
      </w:tr>
      <w:tr>
        <w:trPr>
          <w:trHeight w:val="63"/>
        </w:trPr>
        <w:tc>
          <w:tcPr>
            <w:tcW w:w="3440" w:type="dxa"/>
            <w:vAlign w:val="bottom"/>
            <w:tcBorders>
              <w:left w:val="single" w:sz="8" w:color="auto"/>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r>
      <w:tr>
        <w:trPr>
          <w:trHeight w:val="254"/>
        </w:trPr>
        <w:tc>
          <w:tcPr>
            <w:tcW w:w="3440" w:type="dxa"/>
            <w:vAlign w:val="bottom"/>
            <w:tcBorders>
              <w:left w:val="single" w:sz="8" w:color="auto"/>
              <w:right w:val="single" w:sz="8" w:color="auto"/>
            </w:tcBorders>
          </w:tcPr>
          <w:p>
            <w:pPr>
              <w:spacing w:after="0"/>
              <w:rPr>
                <w:sz w:val="22"/>
                <w:szCs w:val="22"/>
                <w:color w:val="auto"/>
              </w:rPr>
            </w:pPr>
          </w:p>
        </w:tc>
        <w:tc>
          <w:tcPr>
            <w:tcW w:w="2220" w:type="dxa"/>
            <w:vAlign w:val="bottom"/>
            <w:tcBorders>
              <w:right w:val="single" w:sz="8" w:color="auto"/>
            </w:tcBorders>
          </w:tcPr>
          <w:p>
            <w:pPr>
              <w:jc w:val="center"/>
              <w:ind w:right="181"/>
              <w:spacing w:after="0"/>
              <w:rPr>
                <w:sz w:val="20"/>
                <w:szCs w:val="20"/>
                <w:color w:val="auto"/>
              </w:rPr>
            </w:pPr>
            <w:r>
              <w:rPr>
                <w:rFonts w:ascii="Arial" w:cs="Arial" w:eastAsia="Arial" w:hAnsi="Arial"/>
                <w:sz w:val="20"/>
                <w:szCs w:val="20"/>
                <w:color w:val="auto"/>
                <w:w w:val="88"/>
              </w:rPr>
              <w:t>Rent Year 9</w:t>
            </w:r>
          </w:p>
        </w:tc>
        <w:tc>
          <w:tcPr>
            <w:tcW w:w="22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rPr>
              <w:t>$3,747,368.76</w:t>
            </w:r>
          </w:p>
        </w:tc>
        <w:tc>
          <w:tcPr>
            <w:tcW w:w="21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$312,280.73</w:t>
            </w:r>
          </w:p>
        </w:tc>
      </w:tr>
      <w:tr>
        <w:trPr>
          <w:trHeight w:val="50"/>
        </w:trPr>
        <w:tc>
          <w:tcPr>
            <w:tcW w:w="3440" w:type="dxa"/>
            <w:vAlign w:val="bottom"/>
            <w:tcBorders>
              <w:left w:val="single" w:sz="8" w:color="auto"/>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54"/>
        </w:trPr>
        <w:tc>
          <w:tcPr>
            <w:tcW w:w="3440" w:type="dxa"/>
            <w:vAlign w:val="bottom"/>
            <w:tcBorders>
              <w:left w:val="single" w:sz="8" w:color="auto"/>
              <w:right w:val="single" w:sz="8" w:color="auto"/>
            </w:tcBorders>
          </w:tcPr>
          <w:p>
            <w:pPr>
              <w:spacing w:after="0"/>
              <w:rPr>
                <w:sz w:val="22"/>
                <w:szCs w:val="22"/>
                <w:color w:val="auto"/>
              </w:rPr>
            </w:pPr>
          </w:p>
        </w:tc>
        <w:tc>
          <w:tcPr>
            <w:tcW w:w="2220" w:type="dxa"/>
            <w:vAlign w:val="bottom"/>
            <w:tcBorders>
              <w:right w:val="single" w:sz="8" w:color="auto"/>
            </w:tcBorders>
          </w:tcPr>
          <w:p>
            <w:pPr>
              <w:jc w:val="center"/>
              <w:ind w:right="181"/>
              <w:spacing w:after="0"/>
              <w:rPr>
                <w:sz w:val="20"/>
                <w:szCs w:val="20"/>
                <w:color w:val="auto"/>
              </w:rPr>
            </w:pPr>
            <w:r>
              <w:rPr>
                <w:rFonts w:ascii="Arial" w:cs="Arial" w:eastAsia="Arial" w:hAnsi="Arial"/>
                <w:sz w:val="20"/>
                <w:szCs w:val="20"/>
                <w:color w:val="auto"/>
                <w:w w:val="86"/>
              </w:rPr>
              <w:t>Rent Year 10</w:t>
            </w:r>
          </w:p>
        </w:tc>
        <w:tc>
          <w:tcPr>
            <w:tcW w:w="22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rPr>
              <w:t>$3,859,789.82</w:t>
            </w:r>
          </w:p>
        </w:tc>
        <w:tc>
          <w:tcPr>
            <w:tcW w:w="21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$321,649.15</w:t>
            </w:r>
          </w:p>
        </w:tc>
      </w:tr>
      <w:tr>
        <w:trPr>
          <w:trHeight w:val="63"/>
        </w:trPr>
        <w:tc>
          <w:tcPr>
            <w:tcW w:w="3440" w:type="dxa"/>
            <w:vAlign w:val="bottom"/>
            <w:tcBorders>
              <w:left w:val="single" w:sz="8" w:color="auto"/>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r>
      <w:tr>
        <w:trPr>
          <w:trHeight w:val="254"/>
        </w:trPr>
        <w:tc>
          <w:tcPr>
            <w:tcW w:w="3440" w:type="dxa"/>
            <w:vAlign w:val="bottom"/>
            <w:tcBorders>
              <w:left w:val="single" w:sz="8" w:color="auto"/>
              <w:right w:val="single" w:sz="8" w:color="auto"/>
            </w:tcBorders>
          </w:tcPr>
          <w:p>
            <w:pPr>
              <w:spacing w:after="0"/>
              <w:rPr>
                <w:sz w:val="22"/>
                <w:szCs w:val="22"/>
                <w:color w:val="auto"/>
              </w:rPr>
            </w:pPr>
          </w:p>
        </w:tc>
        <w:tc>
          <w:tcPr>
            <w:tcW w:w="2220" w:type="dxa"/>
            <w:vAlign w:val="bottom"/>
            <w:tcBorders>
              <w:right w:val="single" w:sz="8" w:color="auto"/>
            </w:tcBorders>
          </w:tcPr>
          <w:p>
            <w:pPr>
              <w:jc w:val="center"/>
              <w:ind w:right="181"/>
              <w:spacing w:after="0"/>
              <w:rPr>
                <w:sz w:val="20"/>
                <w:szCs w:val="20"/>
                <w:color w:val="auto"/>
              </w:rPr>
            </w:pPr>
            <w:r>
              <w:rPr>
                <w:rFonts w:ascii="Arial" w:cs="Arial" w:eastAsia="Arial" w:hAnsi="Arial"/>
                <w:sz w:val="20"/>
                <w:szCs w:val="20"/>
                <w:color w:val="auto"/>
                <w:w w:val="86"/>
              </w:rPr>
              <w:t>Rent Year 11</w:t>
            </w:r>
          </w:p>
        </w:tc>
        <w:tc>
          <w:tcPr>
            <w:tcW w:w="22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rPr>
              <w:t>$3,975,583.51</w:t>
            </w:r>
          </w:p>
        </w:tc>
        <w:tc>
          <w:tcPr>
            <w:tcW w:w="21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$331,298.63</w:t>
            </w:r>
          </w:p>
        </w:tc>
      </w:tr>
      <w:tr>
        <w:trPr>
          <w:trHeight w:val="63"/>
        </w:trPr>
        <w:tc>
          <w:tcPr>
            <w:tcW w:w="3440" w:type="dxa"/>
            <w:vAlign w:val="bottom"/>
            <w:tcBorders>
              <w:left w:val="single" w:sz="8" w:color="auto"/>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222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r>
      <w:tr>
        <w:trPr>
          <w:trHeight w:val="254"/>
        </w:trPr>
        <w:tc>
          <w:tcPr>
            <w:tcW w:w="3440" w:type="dxa"/>
            <w:vAlign w:val="bottom"/>
            <w:tcBorders>
              <w:left w:val="single" w:sz="8" w:color="auto"/>
              <w:right w:val="single" w:sz="8" w:color="auto"/>
            </w:tcBorders>
          </w:tcPr>
          <w:p>
            <w:pPr>
              <w:spacing w:after="0"/>
              <w:rPr>
                <w:sz w:val="22"/>
                <w:szCs w:val="22"/>
                <w:color w:val="auto"/>
              </w:rPr>
            </w:pPr>
          </w:p>
        </w:tc>
        <w:tc>
          <w:tcPr>
            <w:tcW w:w="2220" w:type="dxa"/>
            <w:vAlign w:val="bottom"/>
            <w:tcBorders>
              <w:right w:val="single" w:sz="8" w:color="auto"/>
            </w:tcBorders>
          </w:tcPr>
          <w:p>
            <w:pPr>
              <w:jc w:val="center"/>
              <w:ind w:right="181"/>
              <w:spacing w:after="0"/>
              <w:rPr>
                <w:sz w:val="20"/>
                <w:szCs w:val="20"/>
                <w:color w:val="auto"/>
              </w:rPr>
            </w:pPr>
            <w:r>
              <w:rPr>
                <w:rFonts w:ascii="Arial" w:cs="Arial" w:eastAsia="Arial" w:hAnsi="Arial"/>
                <w:sz w:val="20"/>
                <w:szCs w:val="20"/>
                <w:color w:val="auto"/>
                <w:w w:val="86"/>
              </w:rPr>
              <w:t>Rent Year 12</w:t>
            </w:r>
          </w:p>
        </w:tc>
        <w:tc>
          <w:tcPr>
            <w:tcW w:w="22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rPr>
              <w:t>$4,094,851.02</w:t>
            </w:r>
          </w:p>
        </w:tc>
        <w:tc>
          <w:tcPr>
            <w:tcW w:w="21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$341,237.58</w:t>
            </w:r>
          </w:p>
        </w:tc>
      </w:tr>
      <w:tr>
        <w:trPr>
          <w:trHeight w:val="50"/>
        </w:trPr>
        <w:tc>
          <w:tcPr>
            <w:tcW w:w="3440" w:type="dxa"/>
            <w:vAlign w:val="bottom"/>
            <w:tcBorders>
              <w:left w:val="single" w:sz="8" w:color="auto"/>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95"/>
        </w:trPr>
        <w:tc>
          <w:tcPr>
            <w:tcW w:w="3440" w:type="dxa"/>
            <w:vAlign w:val="bottom"/>
            <w:tcBorders>
              <w:left w:val="single" w:sz="8" w:color="auto"/>
              <w:right w:val="single" w:sz="8" w:color="auto"/>
            </w:tcBorders>
          </w:tcPr>
          <w:p>
            <w:pPr>
              <w:spacing w:after="0"/>
              <w:rPr>
                <w:sz w:val="24"/>
                <w:szCs w:val="24"/>
                <w:color w:val="auto"/>
              </w:rPr>
            </w:pPr>
          </w:p>
        </w:tc>
        <w:tc>
          <w:tcPr>
            <w:tcW w:w="2220" w:type="dxa"/>
            <w:vAlign w:val="bottom"/>
            <w:tcBorders>
              <w:right w:val="single" w:sz="8" w:color="auto"/>
            </w:tcBorders>
          </w:tcPr>
          <w:p>
            <w:pPr>
              <w:jc w:val="center"/>
              <w:ind w:right="181"/>
              <w:spacing w:after="0"/>
              <w:rPr>
                <w:sz w:val="20"/>
                <w:szCs w:val="20"/>
                <w:color w:val="auto"/>
              </w:rPr>
            </w:pPr>
            <w:r>
              <w:rPr>
                <w:rFonts w:ascii="Arial" w:cs="Arial" w:eastAsia="Arial" w:hAnsi="Arial"/>
                <w:sz w:val="20"/>
                <w:szCs w:val="20"/>
                <w:color w:val="auto"/>
                <w:w w:val="86"/>
              </w:rPr>
              <w:t>Rent Year 13</w:t>
            </w:r>
          </w:p>
        </w:tc>
        <w:tc>
          <w:tcPr>
            <w:tcW w:w="2220" w:type="dxa"/>
            <w:vAlign w:val="bottom"/>
            <w:tcBorders>
              <w:right w:val="single" w:sz="8" w:color="auto"/>
            </w:tcBorders>
          </w:tcPr>
          <w:p>
            <w:pPr>
              <w:jc w:val="right"/>
              <w:ind w:right="561"/>
              <w:spacing w:after="0"/>
              <w:rPr>
                <w:sz w:val="20"/>
                <w:szCs w:val="20"/>
                <w:color w:val="auto"/>
              </w:rPr>
            </w:pPr>
            <w:r>
              <w:rPr>
                <w:rFonts w:ascii="Arial" w:cs="Arial" w:eastAsia="Arial" w:hAnsi="Arial"/>
                <w:sz w:val="20"/>
                <w:szCs w:val="20"/>
                <w:color w:val="auto"/>
              </w:rPr>
              <w:t>$4,217,696.55</w:t>
            </w:r>
          </w:p>
        </w:tc>
        <w:tc>
          <w:tcPr>
            <w:tcW w:w="2120" w:type="dxa"/>
            <w:vAlign w:val="bottom"/>
            <w:tcBorders>
              <w:right w:val="single" w:sz="8" w:color="auto"/>
            </w:tcBorders>
          </w:tcPr>
          <w:p>
            <w:pPr>
              <w:jc w:val="right"/>
              <w:ind w:right="341"/>
              <w:spacing w:after="0"/>
              <w:rPr>
                <w:sz w:val="20"/>
                <w:szCs w:val="20"/>
                <w:color w:val="auto"/>
              </w:rPr>
            </w:pPr>
            <w:r>
              <w:rPr>
                <w:rFonts w:ascii="Arial" w:cs="Arial" w:eastAsia="Arial" w:hAnsi="Arial"/>
                <w:sz w:val="20"/>
                <w:szCs w:val="20"/>
                <w:color w:val="auto"/>
              </w:rPr>
              <w:t>$351,474.71</w:t>
            </w:r>
          </w:p>
        </w:tc>
      </w:tr>
      <w:tr>
        <w:trPr>
          <w:trHeight w:val="50"/>
        </w:trPr>
        <w:tc>
          <w:tcPr>
            <w:tcW w:w="3440" w:type="dxa"/>
            <w:vAlign w:val="bottom"/>
            <w:tcBorders>
              <w:left w:val="single" w:sz="8" w:color="auto"/>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bl>
    <w:p>
      <w:pPr>
        <w:spacing w:after="0" w:line="307" w:lineRule="exact"/>
        <w:rPr>
          <w:sz w:val="20"/>
          <w:szCs w:val="20"/>
          <w:color w:val="auto"/>
        </w:rPr>
      </w:pPr>
    </w:p>
    <w:p>
      <w:pPr>
        <w:jc w:val="both"/>
        <w:ind w:left="260" w:right="200" w:firstLine="372"/>
        <w:spacing w:after="0" w:line="260" w:lineRule="auto"/>
        <w:tabs>
          <w:tab w:leader="none" w:pos="993"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Vivarium</w:t>
      </w:r>
      <w:r>
        <w:rPr>
          <w:rFonts w:ascii="Arial" w:cs="Arial" w:eastAsia="Arial" w:hAnsi="Arial"/>
          <w:sz w:val="18"/>
          <w:szCs w:val="18"/>
          <w:color w:val="auto"/>
        </w:rPr>
        <w:t xml:space="preserve">. It is understood and agreed that the provisions of the Lease relating to a vivarium (including without limitation </w:t>
      </w:r>
      <w:r>
        <w:rPr>
          <w:rFonts w:ascii="Arial" w:cs="Arial" w:eastAsia="Arial" w:hAnsi="Arial"/>
          <w:sz w:val="18"/>
          <w:szCs w:val="18"/>
          <w:u w:val="single" w:color="auto"/>
          <w:color w:val="auto"/>
        </w:rPr>
        <w:t>Sections 4.4(a)</w:t>
      </w:r>
      <w:r>
        <w:rPr>
          <w:rFonts w:ascii="Arial" w:cs="Arial" w:eastAsia="Arial" w:hAnsi="Arial"/>
          <w:sz w:val="18"/>
          <w:szCs w:val="18"/>
          <w:color w:val="auto"/>
        </w:rPr>
        <w:t xml:space="preserve"> and (b) thereof) shall only apply in the event Tenant elects to construct a vivarium in Phase 2 after the completion of Tenant’s Fitout and the occurrence of the Phase 2 Term Commencement Date (which construction shall be performed in accordance with and subject to the terms and conditions of the Lease, including without limitation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thereof and the definition of the Permitted Use set forth in the Lease Summary Sheet). It is understood and agreed that Tenant shall not have the right to construct a vivarium in Phase 1 of the Premises.</w:t>
      </w:r>
    </w:p>
    <w:p>
      <w:pPr>
        <w:spacing w:after="0" w:line="58" w:lineRule="exact"/>
        <w:rPr>
          <w:rFonts w:ascii="Arial" w:cs="Arial" w:eastAsia="Arial" w:hAnsi="Arial"/>
          <w:sz w:val="18"/>
          <w:szCs w:val="18"/>
          <w:color w:val="auto"/>
        </w:rPr>
      </w:pPr>
    </w:p>
    <w:p>
      <w:pPr>
        <w:ind w:left="260" w:right="200" w:firstLine="372"/>
        <w:spacing w:after="0" w:line="246" w:lineRule="auto"/>
        <w:tabs>
          <w:tab w:leader="none" w:pos="993"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ACF Elevator</w:t>
      </w:r>
      <w:r>
        <w:rPr>
          <w:rFonts w:ascii="Arial" w:cs="Arial" w:eastAsia="Arial" w:hAnsi="Arial"/>
          <w:sz w:val="20"/>
          <w:szCs w:val="20"/>
          <w:color w:val="auto"/>
        </w:rPr>
        <w:t xml:space="preserve">. Notwithstanding anything to the contrary contained in the Lease (including without limitation </w:t>
      </w:r>
      <w:r>
        <w:rPr>
          <w:rFonts w:ascii="Arial" w:cs="Arial" w:eastAsia="Arial" w:hAnsi="Arial"/>
          <w:sz w:val="20"/>
          <w:szCs w:val="20"/>
          <w:u w:val="single" w:color="auto"/>
          <w:color w:val="auto"/>
        </w:rPr>
        <w:t>Section 4.4(c)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4(d)</w:t>
      </w:r>
      <w:r>
        <w:rPr>
          <w:rFonts w:ascii="Arial" w:cs="Arial" w:eastAsia="Arial" w:hAnsi="Arial"/>
          <w:sz w:val="20"/>
          <w:szCs w:val="20"/>
          <w:color w:val="auto"/>
        </w:rPr>
        <w:t xml:space="preserve"> of the Work Letter), Landlord and Tenant acknowledge as follows:</w:t>
      </w:r>
    </w:p>
    <w:p>
      <w:pPr>
        <w:spacing w:after="0" w:line="68" w:lineRule="exact"/>
        <w:rPr>
          <w:rFonts w:ascii="Arial" w:cs="Arial" w:eastAsia="Arial" w:hAnsi="Arial"/>
          <w:sz w:val="20"/>
          <w:szCs w:val="20"/>
          <w:color w:val="auto"/>
        </w:rPr>
      </w:pPr>
    </w:p>
    <w:p>
      <w:pPr>
        <w:jc w:val="both"/>
        <w:ind w:left="260" w:right="220" w:firstLine="746"/>
        <w:spacing w:after="0" w:line="237" w:lineRule="auto"/>
        <w:tabs>
          <w:tab w:leader="none" w:pos="1725" w:val="left"/>
        </w:tabs>
        <w:numPr>
          <w:ilvl w:val="1"/>
          <w:numId w:val="104"/>
        </w:numPr>
        <w:rPr>
          <w:rFonts w:ascii="Arial" w:cs="Arial" w:eastAsia="Arial" w:hAnsi="Arial"/>
          <w:sz w:val="20"/>
          <w:szCs w:val="20"/>
          <w:color w:val="auto"/>
        </w:rPr>
      </w:pPr>
      <w:r>
        <w:rPr>
          <w:rFonts w:ascii="Arial" w:cs="Arial" w:eastAsia="Arial" w:hAnsi="Arial"/>
          <w:sz w:val="20"/>
          <w:szCs w:val="20"/>
          <w:color w:val="auto"/>
        </w:rPr>
        <w:t>Landlord will still install the ACF Elevator with a stop on the eighth floor of the Premises, but there will not be doors constructed to provide access thereto from the eighth floor (i.e., drywall will be installed where the ACF Elevator doors would otherwise open).</w:t>
      </w:r>
    </w:p>
    <w:p>
      <w:pPr>
        <w:spacing w:after="0" w:line="74" w:lineRule="exact"/>
        <w:rPr>
          <w:rFonts w:ascii="Arial" w:cs="Arial" w:eastAsia="Arial" w:hAnsi="Arial"/>
          <w:sz w:val="20"/>
          <w:szCs w:val="20"/>
          <w:color w:val="auto"/>
        </w:rPr>
      </w:pPr>
    </w:p>
    <w:p>
      <w:pPr>
        <w:jc w:val="both"/>
        <w:ind w:left="260" w:right="200" w:firstLine="746"/>
        <w:spacing w:after="0" w:line="237" w:lineRule="auto"/>
        <w:tabs>
          <w:tab w:leader="none" w:pos="1726" w:val="left"/>
        </w:tabs>
        <w:numPr>
          <w:ilvl w:val="1"/>
          <w:numId w:val="104"/>
        </w:numPr>
        <w:rPr>
          <w:rFonts w:ascii="Arial" w:cs="Arial" w:eastAsia="Arial" w:hAnsi="Arial"/>
          <w:sz w:val="20"/>
          <w:szCs w:val="20"/>
          <w:color w:val="auto"/>
        </w:rPr>
      </w:pPr>
      <w:r>
        <w:rPr>
          <w:rFonts w:ascii="Arial" w:cs="Arial" w:eastAsia="Arial" w:hAnsi="Arial"/>
          <w:sz w:val="20"/>
          <w:szCs w:val="20"/>
          <w:color w:val="auto"/>
        </w:rPr>
        <w:t xml:space="preserve">If Tenant elects to construct a vivarium in Phase 2 in accordance with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above, such construction shall include the installation of a doorway providing access from Phase 2 to the ACF Elevator in substantially the location more particularly shown on the Lease Plan.</w:t>
      </w:r>
    </w:p>
    <w:p>
      <w:pPr>
        <w:spacing w:after="0" w:line="74" w:lineRule="exact"/>
        <w:rPr>
          <w:rFonts w:ascii="Arial" w:cs="Arial" w:eastAsia="Arial" w:hAnsi="Arial"/>
          <w:sz w:val="20"/>
          <w:szCs w:val="20"/>
          <w:color w:val="auto"/>
        </w:rPr>
      </w:pPr>
    </w:p>
    <w:p>
      <w:pPr>
        <w:ind w:left="260" w:right="200" w:firstLine="746"/>
        <w:spacing w:after="0" w:line="246" w:lineRule="auto"/>
        <w:tabs>
          <w:tab w:leader="none" w:pos="1726" w:val="left"/>
        </w:tabs>
        <w:numPr>
          <w:ilvl w:val="1"/>
          <w:numId w:val="104"/>
        </w:numPr>
        <w:rPr>
          <w:rFonts w:ascii="Arial" w:cs="Arial" w:eastAsia="Arial" w:hAnsi="Arial"/>
          <w:sz w:val="20"/>
          <w:szCs w:val="20"/>
          <w:color w:val="auto"/>
        </w:rPr>
      </w:pPr>
      <w:r>
        <w:rPr>
          <w:rFonts w:ascii="Arial" w:cs="Arial" w:eastAsia="Arial" w:hAnsi="Arial"/>
          <w:sz w:val="20"/>
          <w:szCs w:val="20"/>
          <w:color w:val="auto"/>
        </w:rPr>
        <w:t xml:space="preserve">Unless and until Tenant constructs a vivarium in accordance with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above, </w:t>
      </w:r>
      <w:r>
        <w:rPr>
          <w:rFonts w:ascii="Arial" w:cs="Arial" w:eastAsia="Arial" w:hAnsi="Arial"/>
          <w:sz w:val="20"/>
          <w:szCs w:val="20"/>
          <w:u w:val="single" w:color="auto"/>
          <w:color w:val="auto"/>
        </w:rPr>
        <w:t>Section 4.4(c)</w:t>
      </w:r>
      <w:r>
        <w:rPr>
          <w:rFonts w:ascii="Arial" w:cs="Arial" w:eastAsia="Arial" w:hAnsi="Arial"/>
          <w:sz w:val="20"/>
          <w:szCs w:val="20"/>
          <w:color w:val="auto"/>
        </w:rPr>
        <w:t xml:space="preserve"> of the Lease shall have no force and effect.</w:t>
      </w:r>
    </w:p>
    <w:p>
      <w:pPr>
        <w:spacing w:after="0" w:line="68" w:lineRule="exact"/>
        <w:rPr>
          <w:rFonts w:ascii="Arial" w:cs="Arial" w:eastAsia="Arial" w:hAnsi="Arial"/>
          <w:sz w:val="20"/>
          <w:szCs w:val="20"/>
          <w:color w:val="auto"/>
        </w:rPr>
      </w:pPr>
    </w:p>
    <w:p>
      <w:pPr>
        <w:jc w:val="both"/>
        <w:ind w:left="260" w:right="200" w:firstLine="746"/>
        <w:spacing w:after="0" w:line="248" w:lineRule="auto"/>
        <w:tabs>
          <w:tab w:leader="none" w:pos="1726"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Tenant shall not have the right to use the ACF Elevator (i) prior to substantial completion of Alterations to Phase 2 of the Premises to construct a vivarium, nor (ii) unless and until Landlord and Tenant execute an amendment to this Lease increasing the rentable square footage of the Premises by 589 rentable square feet, with proportionate adjustments to Base Rent, Tenants’ Share and Tenant’s Tax Share.</w:t>
      </w:r>
    </w:p>
    <w:p>
      <w:pPr>
        <w:spacing w:after="0" w:line="68" w:lineRule="exact"/>
        <w:rPr>
          <w:rFonts w:ascii="Arial" w:cs="Arial" w:eastAsia="Arial" w:hAnsi="Arial"/>
          <w:sz w:val="19"/>
          <w:szCs w:val="19"/>
          <w:color w:val="auto"/>
        </w:rPr>
      </w:pPr>
    </w:p>
    <w:p>
      <w:pPr>
        <w:ind w:left="1380" w:hanging="374"/>
        <w:spacing w:after="0"/>
        <w:tabs>
          <w:tab w:leader="none" w:pos="138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 xml:space="preserve">The second sentence of </w:t>
      </w:r>
      <w:r>
        <w:rPr>
          <w:rFonts w:ascii="Arial" w:cs="Arial" w:eastAsia="Arial" w:hAnsi="Arial"/>
          <w:sz w:val="20"/>
          <w:szCs w:val="20"/>
          <w:u w:val="single" w:color="auto"/>
          <w:color w:val="auto"/>
        </w:rPr>
        <w:t>Section 4(d)</w:t>
      </w:r>
      <w:r>
        <w:rPr>
          <w:rFonts w:ascii="Arial" w:cs="Arial" w:eastAsia="Arial" w:hAnsi="Arial"/>
          <w:sz w:val="20"/>
          <w:szCs w:val="20"/>
          <w:color w:val="auto"/>
        </w:rPr>
        <w:t xml:space="preserve"> of the Work Letter is hereby deleted in its entirety.</w:t>
      </w:r>
    </w:p>
    <w:p>
      <w:pPr>
        <w:spacing w:after="0" w:line="94" w:lineRule="exact"/>
        <w:rPr>
          <w:rFonts w:ascii="Arial" w:cs="Arial" w:eastAsia="Arial" w:hAnsi="Arial"/>
          <w:sz w:val="20"/>
          <w:szCs w:val="20"/>
          <w:color w:val="auto"/>
        </w:rPr>
      </w:pPr>
    </w:p>
    <w:p>
      <w:pPr>
        <w:jc w:val="both"/>
        <w:ind w:left="260" w:right="200" w:firstLine="372"/>
        <w:spacing w:after="0" w:line="237" w:lineRule="auto"/>
        <w:tabs>
          <w:tab w:leader="none" w:pos="993"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Final Construction Drawings</w:t>
      </w:r>
      <w:r>
        <w:rPr>
          <w:rFonts w:ascii="Arial" w:cs="Arial" w:eastAsia="Arial" w:hAnsi="Arial"/>
          <w:sz w:val="20"/>
          <w:szCs w:val="20"/>
          <w:color w:val="auto"/>
        </w:rPr>
        <w:t>. Notwithstanding anything to the contrary contained in the Lease, Tenant shall deliver Final Construction Drawings with respect to Phase 2 on or before May 27, 2020. The Phase 2 Final Construction Drawings shall not include the construction of a vivarium.</w:t>
      </w:r>
    </w:p>
    <w:p>
      <w:pPr>
        <w:spacing w:after="0" w:line="74" w:lineRule="exact"/>
        <w:rPr>
          <w:rFonts w:ascii="Arial" w:cs="Arial" w:eastAsia="Arial" w:hAnsi="Arial"/>
          <w:sz w:val="20"/>
          <w:szCs w:val="20"/>
          <w:color w:val="auto"/>
        </w:rPr>
      </w:pPr>
    </w:p>
    <w:p>
      <w:pPr>
        <w:jc w:val="both"/>
        <w:ind w:left="260" w:right="200" w:firstLine="372"/>
        <w:spacing w:after="0" w:line="237" w:lineRule="auto"/>
        <w:tabs>
          <w:tab w:leader="none" w:pos="993"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Except as amended hereby, the terms and conditions of the Lease shall remain unaffected. From and after the date hereof, all references to the Lease shall mean the Lease as amended hereby. Additionally, Tenant confirms and ratifies that, as of the date hereof and to its actual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156845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80"/>
          </w:cols>
          <w:pgMar w:left="1360" w:top="1264" w:right="559" w:bottom="1440" w:gutter="0" w:footer="0" w:header="0"/>
        </w:sectPr>
      </w:pPr>
    </w:p>
    <w:bookmarkStart w:id="188" w:name="page189"/>
    <w:bookmarkEnd w:id="188"/>
    <w:p>
      <w:pPr>
        <w:ind w:left="180" w:hanging="3"/>
        <w:spacing w:after="0" w:line="272" w:lineRule="auto"/>
        <w:tabs>
          <w:tab w:leader="none" w:pos="46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Lease is and remains in good standing and in full force and effect, and (b) it has no claims, counterclaims, set-offs or defenses against Landlord arising out of the Lease or the Premises or in any way relating thereto.</w:t>
      </w:r>
    </w:p>
    <w:p>
      <w:pPr>
        <w:spacing w:after="0" w:line="44" w:lineRule="exact"/>
        <w:rPr>
          <w:rFonts w:ascii="Arial" w:cs="Arial" w:eastAsia="Arial" w:hAnsi="Arial"/>
          <w:sz w:val="19"/>
          <w:szCs w:val="19"/>
          <w:color w:val="auto"/>
        </w:rPr>
      </w:pPr>
    </w:p>
    <w:p>
      <w:pPr>
        <w:jc w:val="both"/>
        <w:ind w:left="180" w:right="20" w:firstLine="372"/>
        <w:spacing w:after="0" w:line="253" w:lineRule="auto"/>
        <w:tabs>
          <w:tab w:leader="none" w:pos="913"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First Amendment shall be deemed to have been executed and delivered within the Commonwealth of Massachusetts, and the rights and obligations of Landlord and Tenant hereunder shall be construed and enforced in accordance with, and governed by, the laws of the Commonwealth of Massachusetts without regard to the laws governing conflicts of laws. If any term of this First Amendment or the application thereof to any person or circumstances shall be invalid and unenforceable, the remaining provisions of this First Amendment, the application of such term to persons or circumstances other than those as to which it is invalid or unenforceable, shall not be affected. This First Amendment is binding upon and shall inure to the benefit of Landlord and Tenant and their respective successors and assigns. Each party has cooperated in the drafting and preparation of this First Amendment and, therefore, in any construction to be made of this First Amendment, the same shall not be construed against either party. In the event of litigation relating to this First Amendment, the prevailing party shall be entitled to reimbursement from the other party of its reasonable attorneys' fees and costs. This First Amendment constitutes the entire agreement of the parties with respect to the subject matter hereof and supersedes all prior and contemporaneous oral and written agreements and discussions, and may not be amended, waived, discharged or terminated except by a written instrument signed by all the parties hereto. A facsimile, PDF or other electronic signature on this First Amendment shall be equivalent to, and have the same force and effect as, an original signature. This First Amendment may be executed in counterparts which, taken together, shall constitute a single instrument.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297815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20"/>
          </w:cols>
          <w:pgMar w:left="1440" w:top="1243" w:right="739" w:bottom="1440" w:gutter="0" w:footer="0" w:header="0"/>
        </w:sectPr>
      </w:pPr>
    </w:p>
    <w:bookmarkStart w:id="189" w:name="page190"/>
    <w:bookmarkEnd w:id="189"/>
    <w:p>
      <w:pPr>
        <w:jc w:val="center"/>
        <w:spacing w:after="0" w:line="246" w:lineRule="auto"/>
        <w:rPr>
          <w:sz w:val="20"/>
          <w:szCs w:val="20"/>
          <w:color w:val="auto"/>
        </w:rPr>
      </w:pPr>
      <w:r>
        <w:rPr>
          <w:rFonts w:ascii="Arial" w:cs="Arial" w:eastAsia="Arial" w:hAnsi="Arial"/>
          <w:sz w:val="20"/>
          <w:szCs w:val="20"/>
          <w:color w:val="1B1B1B"/>
        </w:rPr>
        <w:t>[SIGNATURE PAGE TO FIRST AMENDMENT TO LEASE BY AND BETWEEN MASSACHUSETTS INSTITUTE OF TECHNOLOGY AND BEAM THERAPEUTICS, INC.]</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20"/>
          <w:szCs w:val="20"/>
          <w:color w:val="1A1A1A"/>
        </w:rPr>
        <w:t>EXECUTED as of the date first set forth above.</w:t>
      </w:r>
    </w:p>
    <w:p>
      <w:pPr>
        <w:spacing w:after="0" w:line="202" w:lineRule="exact"/>
        <w:rPr>
          <w:sz w:val="20"/>
          <w:szCs w:val="20"/>
          <w:color w:val="auto"/>
        </w:rPr>
      </w:pPr>
    </w:p>
    <w:p>
      <w:pPr>
        <w:jc w:val="center"/>
        <w:ind w:right="3100"/>
        <w:spacing w:after="0"/>
        <w:rPr>
          <w:sz w:val="20"/>
          <w:szCs w:val="20"/>
          <w:color w:val="auto"/>
        </w:rPr>
      </w:pPr>
      <w:r>
        <w:rPr>
          <w:rFonts w:ascii="Arial" w:cs="Arial" w:eastAsia="Arial" w:hAnsi="Arial"/>
          <w:sz w:val="20"/>
          <w:szCs w:val="20"/>
          <w:color w:val="1D1C1D"/>
        </w:rPr>
        <w:t xml:space="preserve">LANDLORD: </w:t>
      </w:r>
      <w:r>
        <w:rPr>
          <w:rFonts w:ascii="Arial" w:cs="Arial" w:eastAsia="Arial" w:hAnsi="Arial"/>
          <w:sz w:val="20"/>
          <w:szCs w:val="20"/>
          <w:color w:val="1C1C1C"/>
        </w:rPr>
        <w:t>MASSACHUSETTS INSTITUTE OF TECHNOLOGY</w:t>
      </w:r>
    </w:p>
    <w:p>
      <w:pPr>
        <w:spacing w:after="0" w:line="202" w:lineRule="exact"/>
        <w:rPr>
          <w:sz w:val="20"/>
          <w:szCs w:val="20"/>
          <w:color w:val="auto"/>
        </w:rPr>
      </w:pPr>
    </w:p>
    <w:p>
      <w:pPr>
        <w:ind w:left="3000"/>
        <w:spacing w:after="0"/>
        <w:rPr>
          <w:sz w:val="20"/>
          <w:szCs w:val="20"/>
          <w:color w:val="auto"/>
        </w:rPr>
      </w:pPr>
      <w:r>
        <w:rPr>
          <w:rFonts w:ascii="Arial" w:cs="Arial" w:eastAsia="Arial" w:hAnsi="Arial"/>
          <w:sz w:val="20"/>
          <w:szCs w:val="20"/>
          <w:color w:val="1A1A1A"/>
        </w:rPr>
        <w:t>By: /s/ Seth D. Alexander</w:t>
      </w:r>
    </w:p>
    <w:p>
      <w:pPr>
        <w:ind w:left="3000"/>
        <w:spacing w:after="0" w:line="227" w:lineRule="auto"/>
        <w:rPr>
          <w:sz w:val="20"/>
          <w:szCs w:val="20"/>
          <w:color w:val="auto"/>
        </w:rPr>
      </w:pPr>
      <w:r>
        <w:rPr>
          <w:rFonts w:ascii="Arial" w:cs="Arial" w:eastAsia="Arial" w:hAnsi="Arial"/>
          <w:sz w:val="20"/>
          <w:szCs w:val="20"/>
          <w:color w:val="1A1A1A"/>
        </w:rPr>
        <w:t>Name: Seth D. Alexander</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18"/>
          <w:szCs w:val="18"/>
          <w:color w:val="1A1A1A"/>
        </w:rPr>
        <w:t>Title: Authorized Signatory, President, MIT Investment Management Company and not individually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40"/>
        <w:spacing w:after="0"/>
        <w:tabs>
          <w:tab w:leader="none" w:pos="2460" w:val="left"/>
        </w:tabs>
        <w:rPr>
          <w:sz w:val="20"/>
          <w:szCs w:val="20"/>
          <w:color w:val="auto"/>
        </w:rPr>
      </w:pPr>
      <w:r>
        <w:rPr>
          <w:rFonts w:ascii="Arial" w:cs="Arial" w:eastAsia="Arial" w:hAnsi="Arial"/>
          <w:sz w:val="21"/>
          <w:szCs w:val="21"/>
          <w:color w:val="1F1F1F"/>
        </w:rPr>
        <w:t>TENANT:</w:t>
      </w:r>
      <w:r>
        <w:rPr>
          <w:sz w:val="20"/>
          <w:szCs w:val="20"/>
          <w:color w:val="auto"/>
        </w:rPr>
        <w:tab/>
      </w:r>
      <w:r>
        <w:rPr>
          <w:rFonts w:ascii="Arial" w:cs="Arial" w:eastAsia="Arial" w:hAnsi="Arial"/>
          <w:sz w:val="21"/>
          <w:szCs w:val="21"/>
          <w:color w:val="1B1A1B"/>
        </w:rPr>
        <w:t>BEAM THERAPEUTICS, INC.</w:t>
      </w:r>
    </w:p>
    <w:p>
      <w:pPr>
        <w:ind w:left="3000"/>
        <w:spacing w:after="0" w:line="226" w:lineRule="auto"/>
        <w:rPr>
          <w:sz w:val="20"/>
          <w:szCs w:val="20"/>
          <w:color w:val="auto"/>
        </w:rPr>
      </w:pPr>
      <w:r>
        <w:rPr>
          <w:rFonts w:ascii="Arial" w:cs="Arial" w:eastAsia="Arial" w:hAnsi="Arial"/>
          <w:sz w:val="20"/>
          <w:szCs w:val="20"/>
          <w:color w:val="1A1A1A"/>
        </w:rPr>
        <w:t>By: /s/ John Evans</w:t>
      </w:r>
    </w:p>
    <w:p>
      <w:pPr>
        <w:ind w:left="3000"/>
        <w:spacing w:after="0" w:line="225" w:lineRule="auto"/>
        <w:rPr>
          <w:sz w:val="20"/>
          <w:szCs w:val="20"/>
          <w:color w:val="auto"/>
        </w:rPr>
      </w:pPr>
      <w:r>
        <w:rPr>
          <w:rFonts w:ascii="Arial" w:cs="Arial" w:eastAsia="Arial" w:hAnsi="Arial"/>
          <w:sz w:val="20"/>
          <w:szCs w:val="20"/>
          <w:color w:val="1A1A1A"/>
        </w:rPr>
        <w:t>Name: John Evans</w:t>
      </w:r>
    </w:p>
    <w:p>
      <w:pPr>
        <w:ind w:left="3000"/>
        <w:spacing w:after="0"/>
        <w:rPr>
          <w:sz w:val="20"/>
          <w:szCs w:val="20"/>
          <w:color w:val="auto"/>
        </w:rPr>
      </w:pPr>
      <w:r>
        <w:rPr>
          <w:rFonts w:ascii="Arial" w:cs="Arial" w:eastAsia="Arial" w:hAnsi="Arial"/>
          <w:sz w:val="20"/>
          <w:szCs w:val="20"/>
          <w:color w:val="1A1A1A"/>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5" w:right="35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10.32</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SECOND AMENDMENT TO LEASE</w:t>
      </w:r>
    </w:p>
    <w:p>
      <w:pPr>
        <w:spacing w:after="0" w:line="310" w:lineRule="exact"/>
        <w:rPr>
          <w:sz w:val="20"/>
          <w:szCs w:val="20"/>
          <w:color w:val="auto"/>
        </w:rPr>
      </w:pPr>
    </w:p>
    <w:p>
      <w:pPr>
        <w:jc w:val="both"/>
        <w:ind w:right="180"/>
        <w:spacing w:after="0" w:line="269" w:lineRule="auto"/>
        <w:rPr>
          <w:sz w:val="20"/>
          <w:szCs w:val="20"/>
          <w:color w:val="auto"/>
        </w:rPr>
      </w:pPr>
      <w:r>
        <w:rPr>
          <w:rFonts w:ascii="Arial" w:cs="Arial" w:eastAsia="Arial" w:hAnsi="Arial"/>
          <w:sz w:val="18"/>
          <w:szCs w:val="18"/>
          <w:color w:val="auto"/>
        </w:rPr>
        <w:t>This Second Amendment to Lease (this “</w:t>
      </w:r>
      <w:r>
        <w:rPr>
          <w:rFonts w:ascii="Arial" w:cs="Arial" w:eastAsia="Arial" w:hAnsi="Arial"/>
          <w:sz w:val="18"/>
          <w:szCs w:val="18"/>
          <w:b w:val="1"/>
          <w:bCs w:val="1"/>
          <w:u w:val="single" w:color="auto"/>
          <w:color w:val="auto"/>
        </w:rPr>
        <w:t>Second Amendment</w:t>
      </w:r>
      <w:r>
        <w:rPr>
          <w:rFonts w:ascii="Arial" w:cs="Arial" w:eastAsia="Arial" w:hAnsi="Arial"/>
          <w:sz w:val="18"/>
          <w:szCs w:val="18"/>
          <w:color w:val="auto"/>
        </w:rPr>
        <w:t>”) is made as of November 17, 2020 by and between MASSACHUSETTS INSTITUTE OF TECHNOLOGY, a Massachusetts charitable corporation with an address of c/o MIT Investment Management Company, One Broadway, Suite 09-200, Cambridge, MA 02142 (“</w:t>
      </w: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and BEAM THERAPEUTICS, INC., a Delaware corporation with an address of 26 Lansdowne Street, 2</w:t>
      </w:r>
      <w:r>
        <w:rPr>
          <w:rFonts w:ascii="Arial" w:cs="Arial" w:eastAsia="Arial" w:hAnsi="Arial"/>
          <w:sz w:val="12"/>
          <w:szCs w:val="12"/>
          <w:color w:val="auto"/>
        </w:rPr>
        <w:t>nd</w:t>
      </w:r>
      <w:r>
        <w:rPr>
          <w:rFonts w:ascii="Arial" w:cs="Arial" w:eastAsia="Arial" w:hAnsi="Arial"/>
          <w:sz w:val="18"/>
          <w:szCs w:val="18"/>
          <w:color w:val="auto"/>
        </w:rPr>
        <w:t xml:space="preserve"> Floor, Cambridge, MA 02139 (“</w:t>
      </w: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 I T N E S S E T H</w:t>
      </w:r>
    </w:p>
    <w:p>
      <w:pPr>
        <w:spacing w:after="0" w:line="94" w:lineRule="exact"/>
        <w:rPr>
          <w:sz w:val="20"/>
          <w:szCs w:val="20"/>
          <w:color w:val="auto"/>
        </w:rPr>
      </w:pPr>
    </w:p>
    <w:p>
      <w:pPr>
        <w:jc w:val="both"/>
        <w:ind w:left="140" w:right="60" w:firstLine="749"/>
        <w:spacing w:after="0" w:line="248" w:lineRule="auto"/>
        <w:rPr>
          <w:sz w:val="20"/>
          <w:szCs w:val="20"/>
          <w:color w:val="auto"/>
        </w:rPr>
      </w:pPr>
      <w:r>
        <w:rPr>
          <w:rFonts w:ascii="Arial" w:cs="Arial" w:eastAsia="Arial" w:hAnsi="Arial"/>
          <w:sz w:val="19"/>
          <w:szCs w:val="19"/>
          <w:color w:val="auto"/>
        </w:rPr>
        <w:t>WHEREAS, Landlord and Tenant are the current parties to that certain Lease dated April 24, 2019, as amended by that certain First Amendment to Lease dated as of April 14, 2020 (collectively, the “</w:t>
      </w:r>
      <w:r>
        <w:rPr>
          <w:rFonts w:ascii="Arial" w:cs="Arial" w:eastAsia="Arial" w:hAnsi="Arial"/>
          <w:sz w:val="19"/>
          <w:szCs w:val="19"/>
          <w:b w:val="1"/>
          <w:bCs w:val="1"/>
          <w:u w:val="single" w:color="auto"/>
          <w:color w:val="auto"/>
        </w:rPr>
        <w:t>Lease</w:t>
      </w:r>
      <w:r>
        <w:rPr>
          <w:rFonts w:ascii="Arial" w:cs="Arial" w:eastAsia="Arial" w:hAnsi="Arial"/>
          <w:sz w:val="19"/>
          <w:szCs w:val="19"/>
          <w:color w:val="auto"/>
        </w:rPr>
        <w:t>”), pursuant to which Landlord is leasing to Tenant approximately 122,620 rentable square feet (as more particularly described in the Lease, the “</w:t>
      </w:r>
      <w:r>
        <w:rPr>
          <w:rFonts w:ascii="Arial" w:cs="Arial" w:eastAsia="Arial" w:hAnsi="Arial"/>
          <w:sz w:val="19"/>
          <w:szCs w:val="19"/>
          <w:b w:val="1"/>
          <w:bCs w:val="1"/>
          <w:u w:val="single" w:color="auto"/>
          <w:color w:val="auto"/>
        </w:rPr>
        <w:t>Premises</w:t>
      </w:r>
      <w:r>
        <w:rPr>
          <w:rFonts w:ascii="Arial" w:cs="Arial" w:eastAsia="Arial" w:hAnsi="Arial"/>
          <w:sz w:val="19"/>
          <w:szCs w:val="19"/>
          <w:color w:val="auto"/>
        </w:rPr>
        <w:t>”) located on the seventh, eighth, ninth and tenth floors of the Laboratory Addition to the building located at 238 Main Street, Cambridge, MA;</w:t>
      </w:r>
    </w:p>
    <w:p>
      <w:pPr>
        <w:spacing w:after="0" w:line="69" w:lineRule="exact"/>
        <w:rPr>
          <w:sz w:val="20"/>
          <w:szCs w:val="20"/>
          <w:color w:val="auto"/>
        </w:rPr>
      </w:pPr>
    </w:p>
    <w:p>
      <w:pPr>
        <w:jc w:val="both"/>
        <w:ind w:left="140" w:right="60" w:firstLine="749"/>
        <w:spacing w:after="0" w:line="275" w:lineRule="auto"/>
        <w:rPr>
          <w:sz w:val="20"/>
          <w:szCs w:val="20"/>
          <w:color w:val="auto"/>
        </w:rPr>
      </w:pPr>
      <w:r>
        <w:rPr>
          <w:rFonts w:ascii="Arial" w:cs="Arial" w:eastAsia="Arial" w:hAnsi="Arial"/>
          <w:sz w:val="18"/>
          <w:szCs w:val="18"/>
          <w:color w:val="auto"/>
        </w:rPr>
        <w:t>WHEREAS, immediately prior to the date hereof, as a result of Landlord’s Force Majeure delays (specifically, the COVID-19 pandemic and the related construction moratorium), subject to any Tenant Delays and any further Landlord’s Force Majeure delays, the Estimated Phase 1 Delivery Date is November 24, 2021, and the Estimated Phase 2 Delivery Date is November 24, 2022;</w:t>
      </w:r>
    </w:p>
    <w:p>
      <w:pPr>
        <w:spacing w:after="0" w:line="44" w:lineRule="exact"/>
        <w:rPr>
          <w:sz w:val="20"/>
          <w:szCs w:val="20"/>
          <w:color w:val="auto"/>
        </w:rPr>
      </w:pPr>
    </w:p>
    <w:p>
      <w:pPr>
        <w:jc w:val="both"/>
        <w:ind w:left="140" w:right="60" w:firstLine="749"/>
        <w:spacing w:after="0" w:line="248" w:lineRule="auto"/>
        <w:rPr>
          <w:sz w:val="20"/>
          <w:szCs w:val="20"/>
          <w:color w:val="auto"/>
        </w:rPr>
      </w:pPr>
      <w:r>
        <w:rPr>
          <w:rFonts w:ascii="Arial" w:cs="Arial" w:eastAsia="Arial" w:hAnsi="Arial"/>
          <w:sz w:val="19"/>
          <w:szCs w:val="19"/>
          <w:color w:val="auto"/>
        </w:rPr>
        <w:t>WHEREAS, Landlord has worked with the Approved Contractor to mitigate delays caused by the existing Landlord’s Force Majeure delays and, subject to any Tenant Delays and any further Landlord’s Force Majeure delays, it is expected that (a) Phase 1 of the Premises will be delivered to Tenant in the condition required by the Lease on or before October 24, 2021, and (b) Phase 2 of the Premises will be delivered to Tenant in the condition required by the Lease on or before December 15, 2021;</w:t>
      </w:r>
    </w:p>
    <w:p>
      <w:pPr>
        <w:spacing w:after="0" w:line="69" w:lineRule="exact"/>
        <w:rPr>
          <w:sz w:val="20"/>
          <w:szCs w:val="20"/>
          <w:color w:val="auto"/>
        </w:rPr>
      </w:pPr>
    </w:p>
    <w:p>
      <w:pPr>
        <w:jc w:val="both"/>
        <w:ind w:left="140" w:right="60" w:firstLine="749"/>
        <w:spacing w:after="0" w:line="260" w:lineRule="auto"/>
        <w:rPr>
          <w:sz w:val="20"/>
          <w:szCs w:val="20"/>
          <w:color w:val="auto"/>
        </w:rPr>
      </w:pPr>
      <w:r>
        <w:rPr>
          <w:rFonts w:ascii="Arial" w:cs="Arial" w:eastAsia="Arial" w:hAnsi="Arial"/>
          <w:sz w:val="20"/>
          <w:szCs w:val="20"/>
          <w:color w:val="auto"/>
        </w:rPr>
        <w:t>WHEREAS, Landlord and Tenant have agreed to amend the Lease to accelerate the Estimated Delivery Dates to be more in line with the current construction schedule and</w:t>
      </w:r>
    </w:p>
    <w:p>
      <w:pPr>
        <w:spacing w:after="0" w:line="5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WHEREAS, Landlord and Tenant wish to memorialize their agreements with respect thereto.</w:t>
      </w:r>
    </w:p>
    <w:p>
      <w:pPr>
        <w:spacing w:after="0" w:line="94" w:lineRule="exact"/>
        <w:rPr>
          <w:sz w:val="20"/>
          <w:szCs w:val="20"/>
          <w:color w:val="auto"/>
        </w:rPr>
      </w:pPr>
    </w:p>
    <w:p>
      <w:pPr>
        <w:jc w:val="both"/>
        <w:ind w:left="140" w:right="60" w:firstLine="749"/>
        <w:spacing w:after="0" w:line="272" w:lineRule="auto"/>
        <w:rPr>
          <w:sz w:val="20"/>
          <w:szCs w:val="20"/>
          <w:color w:val="auto"/>
        </w:rPr>
      </w:pPr>
      <w:r>
        <w:rPr>
          <w:rFonts w:ascii="Arial" w:cs="Arial" w:eastAsia="Arial" w:hAnsi="Arial"/>
          <w:sz w:val="19"/>
          <w:szCs w:val="19"/>
          <w:color w:val="auto"/>
        </w:rPr>
        <w:t>NOW, THEREFORE, in consideration of the covenants herein reserved and contained, and other good and valuable consideration, the receipt and sufficiency of which are hereby acknowledged, Landlord and Tenant hereby agree as follows:</w:t>
      </w:r>
    </w:p>
    <w:p>
      <w:pPr>
        <w:spacing w:after="0" w:line="45" w:lineRule="exact"/>
        <w:rPr>
          <w:sz w:val="20"/>
          <w:szCs w:val="20"/>
          <w:color w:val="auto"/>
        </w:rPr>
      </w:pPr>
    </w:p>
    <w:p>
      <w:pPr>
        <w:ind w:left="140" w:right="60" w:firstLine="367"/>
        <w:spacing w:after="0" w:line="246" w:lineRule="auto"/>
        <w:tabs>
          <w:tab w:leader="none" w:pos="885" w:val="left"/>
        </w:tabs>
        <w:numPr>
          <w:ilvl w:val="1"/>
          <w:numId w:val="106"/>
        </w:numPr>
        <w:rPr>
          <w:rFonts w:ascii="Arial" w:cs="Arial" w:eastAsia="Arial" w:hAnsi="Arial"/>
          <w:sz w:val="20"/>
          <w:szCs w:val="20"/>
          <w:color w:val="auto"/>
        </w:rPr>
      </w:pPr>
      <w:r>
        <w:rPr>
          <w:rFonts w:ascii="Arial" w:cs="Arial" w:eastAsia="Arial" w:hAnsi="Arial"/>
          <w:sz w:val="20"/>
          <w:szCs w:val="20"/>
          <w:u w:val="single" w:color="auto"/>
          <w:color w:val="auto"/>
        </w:rPr>
        <w:t>Recitals; Capitalized Terms</w:t>
      </w:r>
      <w:r>
        <w:rPr>
          <w:rFonts w:ascii="Arial" w:cs="Arial" w:eastAsia="Arial" w:hAnsi="Arial"/>
          <w:sz w:val="20"/>
          <w:szCs w:val="20"/>
          <w:color w:val="auto"/>
        </w:rPr>
        <w:t>. The foregoing recitals are hereby incorporated by reference. All capitalized terms not otherwise defined herein shall have the meanings ascribed to them as set forth in the Lease.</w:t>
      </w:r>
    </w:p>
    <w:p>
      <w:pPr>
        <w:spacing w:after="0" w:line="55" w:lineRule="exact"/>
        <w:rPr>
          <w:rFonts w:ascii="Arial" w:cs="Arial" w:eastAsia="Arial" w:hAnsi="Arial"/>
          <w:sz w:val="20"/>
          <w:szCs w:val="20"/>
          <w:color w:val="auto"/>
        </w:rPr>
      </w:pPr>
    </w:p>
    <w:p>
      <w:pPr>
        <w:jc w:val="both"/>
        <w:ind w:left="140" w:right="60" w:firstLine="367"/>
        <w:spacing w:after="0" w:line="237" w:lineRule="auto"/>
        <w:tabs>
          <w:tab w:leader="none" w:pos="885" w:val="left"/>
        </w:tabs>
        <w:numPr>
          <w:ilvl w:val="1"/>
          <w:numId w:val="106"/>
        </w:numPr>
        <w:rPr>
          <w:rFonts w:ascii="Arial" w:cs="Arial" w:eastAsia="Arial" w:hAnsi="Arial"/>
          <w:sz w:val="20"/>
          <w:szCs w:val="20"/>
          <w:color w:val="auto"/>
        </w:rPr>
      </w:pPr>
      <w:r>
        <w:rPr>
          <w:rFonts w:ascii="Arial" w:cs="Arial" w:eastAsia="Arial" w:hAnsi="Arial"/>
          <w:sz w:val="20"/>
          <w:szCs w:val="20"/>
          <w:u w:val="single" w:color="auto"/>
          <w:color w:val="auto"/>
        </w:rPr>
        <w:t>Estimated Delivery Dates</w:t>
      </w:r>
      <w:r>
        <w:rPr>
          <w:rFonts w:ascii="Arial" w:cs="Arial" w:eastAsia="Arial" w:hAnsi="Arial"/>
          <w:sz w:val="20"/>
          <w:szCs w:val="20"/>
          <w:color w:val="auto"/>
        </w:rPr>
        <w:t>. Notwithstanding anything to the contrary contained in the Lease, from and after the date hereof, subject to any Tenant Delays and any further Landlord’s Force Majeure delays (a) the “</w:t>
      </w:r>
      <w:r>
        <w:rPr>
          <w:rFonts w:ascii="Arial" w:cs="Arial" w:eastAsia="Arial" w:hAnsi="Arial"/>
          <w:sz w:val="20"/>
          <w:szCs w:val="20"/>
          <w:b w:val="1"/>
          <w:bCs w:val="1"/>
          <w:u w:val="single" w:color="auto"/>
          <w:color w:val="auto"/>
        </w:rPr>
        <w:t>Estimated Phase 1 Delivery Date</w:t>
      </w:r>
      <w:r>
        <w:rPr>
          <w:rFonts w:ascii="Arial" w:cs="Arial" w:eastAsia="Arial" w:hAnsi="Arial"/>
          <w:sz w:val="20"/>
          <w:szCs w:val="20"/>
          <w:color w:val="auto"/>
        </w:rPr>
        <w:t>” shall mean October 24, 2021; and (b) the “</w:t>
      </w:r>
      <w:r>
        <w:rPr>
          <w:rFonts w:ascii="Arial" w:cs="Arial" w:eastAsia="Arial" w:hAnsi="Arial"/>
          <w:sz w:val="20"/>
          <w:szCs w:val="20"/>
          <w:b w:val="1"/>
          <w:bCs w:val="1"/>
          <w:u w:val="single" w:color="auto"/>
          <w:color w:val="auto"/>
        </w:rPr>
        <w:t>Estimated Phase 2 Delivery Date</w:t>
      </w:r>
      <w:r>
        <w:rPr>
          <w:rFonts w:ascii="Arial" w:cs="Arial" w:eastAsia="Arial" w:hAnsi="Arial"/>
          <w:sz w:val="20"/>
          <w:szCs w:val="20"/>
          <w:color w:val="auto"/>
        </w:rPr>
        <w:t>” shall mean December 15, 2021.</w:t>
      </w:r>
    </w:p>
    <w:p>
      <w:pPr>
        <w:spacing w:after="0" w:line="88" w:lineRule="exact"/>
        <w:rPr>
          <w:rFonts w:ascii="Arial" w:cs="Arial" w:eastAsia="Arial" w:hAnsi="Arial"/>
          <w:sz w:val="20"/>
          <w:szCs w:val="20"/>
          <w:color w:val="auto"/>
        </w:rPr>
      </w:pPr>
    </w:p>
    <w:p>
      <w:pPr>
        <w:jc w:val="both"/>
        <w:ind w:left="140" w:right="60" w:firstLine="367"/>
        <w:spacing w:after="0" w:line="230" w:lineRule="auto"/>
        <w:tabs>
          <w:tab w:leader="none" w:pos="884" w:val="left"/>
        </w:tabs>
        <w:numPr>
          <w:ilvl w:val="1"/>
          <w:numId w:val="106"/>
        </w:numPr>
        <w:rPr>
          <w:rFonts w:ascii="Arial" w:cs="Arial" w:eastAsia="Arial" w:hAnsi="Arial"/>
          <w:sz w:val="20"/>
          <w:szCs w:val="20"/>
          <w:color w:val="auto"/>
        </w:rPr>
      </w:pPr>
      <w:r>
        <w:rPr>
          <w:rFonts w:ascii="Arial" w:cs="Arial" w:eastAsia="Arial" w:hAnsi="Arial"/>
          <w:sz w:val="20"/>
          <w:szCs w:val="20"/>
          <w:u w:val="single" w:color="auto"/>
          <w:color w:val="auto"/>
        </w:rPr>
        <w:t>Ratification</w:t>
      </w:r>
      <w:r>
        <w:rPr>
          <w:rFonts w:ascii="Arial" w:cs="Arial" w:eastAsia="Arial" w:hAnsi="Arial"/>
          <w:sz w:val="20"/>
          <w:szCs w:val="20"/>
          <w:color w:val="auto"/>
        </w:rPr>
        <w:t>. Except as amended hereby, the terms and conditions of the Lease shall remain unaffected. From and after the date hereof, all references to the Lease shall mean the Lease as amended hereby. Additionally, Tenant confirms and ratifies that, as of the date hereof and to its actual knowledge,</w:t>
      </w:r>
    </w:p>
    <w:p>
      <w:pPr>
        <w:spacing w:after="0" w:line="2" w:lineRule="exact"/>
        <w:rPr>
          <w:rFonts w:ascii="Arial" w:cs="Arial" w:eastAsia="Arial" w:hAnsi="Arial"/>
          <w:sz w:val="20"/>
          <w:szCs w:val="20"/>
          <w:color w:val="auto"/>
        </w:rPr>
      </w:pPr>
    </w:p>
    <w:p>
      <w:pPr>
        <w:ind w:left="140" w:right="60" w:hanging="8"/>
        <w:spacing w:after="0" w:line="234" w:lineRule="auto"/>
        <w:tabs>
          <w:tab w:leader="none" w:pos="428" w:val="left"/>
        </w:tabs>
        <w:numPr>
          <w:ilvl w:val="0"/>
          <w:numId w:val="107"/>
        </w:numPr>
        <w:rPr>
          <w:rFonts w:ascii="Arial" w:cs="Arial" w:eastAsia="Arial" w:hAnsi="Arial"/>
          <w:sz w:val="20"/>
          <w:szCs w:val="20"/>
          <w:color w:val="auto"/>
        </w:rPr>
      </w:pPr>
      <w:r>
        <w:rPr>
          <w:rFonts w:ascii="Arial" w:cs="Arial" w:eastAsia="Arial" w:hAnsi="Arial"/>
          <w:sz w:val="20"/>
          <w:szCs w:val="20"/>
          <w:color w:val="auto"/>
        </w:rPr>
        <w:t>the Lease is and remains in good standing and in full force and effect, and (b) it has no claims, counterclaims, set-offs or defenses against Landlord arising out of the Lease or the Premises or in any way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6" w:right="399" w:bottom="1440" w:gutter="0" w:footer="0" w:header="0"/>
        </w:sectPr>
      </w:pPr>
    </w:p>
    <w:bookmarkStart w:id="191" w:name="page192"/>
    <w:bookmarkEnd w:id="191"/>
    <w:p>
      <w:pPr>
        <w:jc w:val="both"/>
        <w:ind w:firstLine="367"/>
        <w:spacing w:after="0" w:line="254" w:lineRule="auto"/>
        <w:tabs>
          <w:tab w:leader="none" w:pos="744"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Second Amendment shall be deemed to have been executed and delivered within the Commonwealth of Massachusetts, and the rights and obligations of Landlord and Tenant hereunder shall be construed and enforced in accordance with, and governed by, the laws of the Commonwealth of Massachusetts without regard to the laws governing conflicts of laws. If any term of this Second Amendment or the application thereof to any person or circumstances shall be invalid and unenforceable, the remaining provisions of this Second Amendment, the application of such term to persons or circumstances other than those as to which it is invalid or unenforceable, shall not be affected. This Second Amendment is binding upon and shall inure to the benefit of Landlord and Tenant and their respective successors and assigns. Each party has cooperated in the drafting and preparation of this Second Amendment and, therefore, in any construction to be made of this Second Amendment, the same shall not be construed against either party. In the event of litigation relating to this Second Amendment, the prevailing party shall be entitled to reimbursement from the other party of its reasonable attorneys' fees and costs. This Second Amendment constitutes the entire agreement of the parties with respect to the subject matter hereof and supersedes all prior and contemporaneous oral and written agreements and discussions, and may not be amended, waived, discharged or terminated except by a written instrument signed by all the parties hereto. A facsimile, PDF or other electronic signature on this Second Amendment shall be equivalent to, and have the same force and effect as, an original signature. This Second Amendment may be executed in counterparts which, taken together, shall constitute a single instrument.</w:t>
      </w:r>
    </w:p>
    <w:p>
      <w:pPr>
        <w:spacing w:after="0" w:line="17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314960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460" w:right="459" w:bottom="1440" w:gutter="0" w:footer="0" w:header="0"/>
        </w:sectPr>
      </w:pPr>
    </w:p>
    <w:bookmarkStart w:id="192" w:name="page193"/>
    <w:bookmarkEnd w:id="192"/>
    <w:p>
      <w:pPr>
        <w:ind w:left="460" w:firstLine="344"/>
        <w:spacing w:after="0" w:line="246" w:lineRule="auto"/>
        <w:rPr>
          <w:sz w:val="20"/>
          <w:szCs w:val="20"/>
          <w:color w:val="auto"/>
        </w:rPr>
      </w:pPr>
      <w:r>
        <w:rPr>
          <w:rFonts w:ascii="Arial" w:cs="Arial" w:eastAsia="Arial" w:hAnsi="Arial"/>
          <w:sz w:val="20"/>
          <w:szCs w:val="20"/>
          <w:color w:val="auto"/>
        </w:rPr>
        <w:t>[SIGNATURE PAGE TO SECOND AMENDMENT TO LEASE BY AND BETWEEN MASSACHUSETTS INSTITUTE OF TECHNOLOGY AND BEAM THERAPEUTICS, INC.]</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EXECUTED as of the date first set forth above.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LANDLORD: MASSACHUSETTS INSTITUTE OF TECHNOLOGY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By: /s/ Seth D.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2110105</wp:posOffset>
            </wp:positionH>
            <wp:positionV relativeFrom="paragraph">
              <wp:posOffset>-14605</wp:posOffset>
            </wp:positionV>
            <wp:extent cx="129476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9">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20"/>
          <w:szCs w:val="20"/>
          <w:color w:val="auto"/>
        </w:rPr>
        <w:t>Seth D. Alexander, Authorized Signatory, and not individually</w:t>
      </w:r>
    </w:p>
    <w:p>
      <w:pPr>
        <w:spacing w:after="0" w:line="200" w:lineRule="exact"/>
        <w:rPr>
          <w:sz w:val="20"/>
          <w:szCs w:val="20"/>
          <w:color w:val="auto"/>
        </w:rPr>
      </w:pPr>
    </w:p>
    <w:p>
      <w:pPr>
        <w:spacing w:after="0" w:line="27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auto"/>
        </w:rPr>
        <w:t>TENANT:</w:t>
      </w:r>
      <w:r>
        <w:rPr>
          <w:sz w:val="20"/>
          <w:szCs w:val="20"/>
          <w:color w:val="auto"/>
        </w:rPr>
        <w:tab/>
      </w:r>
      <w:r>
        <w:rPr>
          <w:rFonts w:ascii="Arial" w:cs="Arial" w:eastAsia="Arial" w:hAnsi="Arial"/>
          <w:sz w:val="20"/>
          <w:szCs w:val="20"/>
          <w:color w:val="auto"/>
        </w:rPr>
        <w:t>BEAM THERAPEUTICS, INC.</w:t>
      </w: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Evans</w:t>
      </w:r>
    </w:p>
    <w:p>
      <w:pPr>
        <w:ind w:left="2980"/>
        <w:spacing w:after="0" w:line="227" w:lineRule="auto"/>
        <w:rPr>
          <w:sz w:val="20"/>
          <w:szCs w:val="20"/>
          <w:color w:val="auto"/>
        </w:rPr>
      </w:pPr>
      <w:r>
        <w:rPr>
          <w:rFonts w:ascii="Arial" w:cs="Arial" w:eastAsia="Arial" w:hAnsi="Arial"/>
          <w:sz w:val="20"/>
          <w:szCs w:val="20"/>
          <w:color w:val="auto"/>
        </w:rPr>
        <w:t>Name: John Evans</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175895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-24765</wp:posOffset>
            </wp:positionV>
            <wp:extent cx="17208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1">
                      <a:extLst>
                        <a:ext uri="{28A0092B-C50C-407E-A947-70E740481C1C}"/>
                      </a:extLst>
                    </a:blip>
                    <a:srcRect/>
                    <a:stretch>
                      <a:fillRect/>
                    </a:stretch>
                  </pic:blipFill>
                  <pic:spPr bwMode="auto">
                    <a:xfrm>
                      <a:off x="0" y="0"/>
                      <a:ext cx="172085" cy="8255"/>
                    </a:xfrm>
                    <a:prstGeom prst="rect">
                      <a:avLst/>
                    </a:prstGeom>
                    <a:noFill/>
                  </pic:spPr>
                </pic:pic>
              </a:graphicData>
            </a:graphic>
          </wp:anchor>
        </w:drawing>
      </w:r>
    </w:p>
    <w:p>
      <w:pPr>
        <w:sectPr>
          <w:pgSz w:w="11900" w:h="16838" w:orient="portrait"/>
          <w:cols w:equalWidth="0" w:num="1">
            <w:col w:w="10860"/>
          </w:cols>
          <w:pgMar w:left="460" w:top="649" w:right="57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10.33</w:t>
      </w:r>
    </w:p>
    <w:p>
      <w:pPr>
        <w:spacing w:after="0" w:line="153"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u w:val="single" w:color="auto"/>
          <w:color w:val="2F2F2F"/>
        </w:rPr>
        <w:t>THIRD AMENDMENT TO LEASE</w:t>
      </w:r>
    </w:p>
    <w:p>
      <w:pPr>
        <w:spacing w:after="0" w:line="303" w:lineRule="exact"/>
        <w:rPr>
          <w:sz w:val="20"/>
          <w:szCs w:val="20"/>
          <w:color w:val="auto"/>
        </w:rPr>
      </w:pPr>
    </w:p>
    <w:p>
      <w:pPr>
        <w:jc w:val="both"/>
        <w:ind w:left="200" w:right="320" w:firstLine="749"/>
        <w:spacing w:after="0" w:line="219" w:lineRule="auto"/>
        <w:rPr>
          <w:sz w:val="20"/>
          <w:szCs w:val="20"/>
          <w:color w:val="auto"/>
        </w:rPr>
      </w:pPr>
      <w:r>
        <w:rPr>
          <w:rFonts w:ascii="Arial" w:cs="Arial" w:eastAsia="Arial" w:hAnsi="Arial"/>
          <w:sz w:val="20"/>
          <w:szCs w:val="20"/>
          <w:color w:val="2F2F2F"/>
        </w:rPr>
        <w:t xml:space="preserve">This Third Amendment to Lease (this </w:t>
      </w:r>
      <w:r>
        <w:rPr>
          <w:rFonts w:ascii="Arial" w:cs="Arial" w:eastAsia="Arial" w:hAnsi="Arial"/>
          <w:sz w:val="20"/>
          <w:szCs w:val="20"/>
          <w:u w:val="single" w:color="auto"/>
          <w:color w:val="2F2F2F"/>
        </w:rPr>
        <w:t>"Third Amendment")</w:t>
      </w:r>
      <w:r>
        <w:rPr>
          <w:rFonts w:ascii="Arial" w:cs="Arial" w:eastAsia="Arial" w:hAnsi="Arial"/>
          <w:sz w:val="20"/>
          <w:szCs w:val="20"/>
          <w:color w:val="2F2F2F"/>
        </w:rPr>
        <w:t xml:space="preserve"> is made as of August 24th 2021 by and between MIT 238 MAIN STREET LEASEHOLD LLC, a Massachusetts charitable corporation with an address of c</w:t>
      </w:r>
      <w:r>
        <w:rPr>
          <w:rFonts w:ascii="Arial" w:cs="Arial" w:eastAsia="Arial" w:hAnsi="Arial"/>
          <w:sz w:val="20"/>
          <w:szCs w:val="20"/>
          <w:color w:val="7E7E7E"/>
        </w:rPr>
        <w:t>/</w:t>
      </w:r>
      <w:r>
        <w:rPr>
          <w:rFonts w:ascii="Arial" w:cs="Arial" w:eastAsia="Arial" w:hAnsi="Arial"/>
          <w:sz w:val="20"/>
          <w:szCs w:val="20"/>
          <w:color w:val="2F2F2F"/>
        </w:rPr>
        <w:t xml:space="preserve">o MIT Cambridge Real Estate LLC, One Broadway, Suite 09-200, Cambridge, MA 02142 </w:t>
      </w:r>
      <w:r>
        <w:rPr>
          <w:rFonts w:ascii="Arial" w:cs="Arial" w:eastAsia="Arial" w:hAnsi="Arial"/>
          <w:sz w:val="20"/>
          <w:szCs w:val="20"/>
          <w:u w:val="single" w:color="auto"/>
          <w:color w:val="2F2F2F"/>
        </w:rPr>
        <w:t>("Landlord"),</w:t>
      </w:r>
      <w:r>
        <w:rPr>
          <w:rFonts w:ascii="Arial" w:cs="Arial" w:eastAsia="Arial" w:hAnsi="Arial"/>
          <w:sz w:val="20"/>
          <w:szCs w:val="20"/>
          <w:color w:val="2F2F2F"/>
        </w:rPr>
        <w:t xml:space="preserve"> successor-in-interest to Massachusetts Institute of Technology, and </w:t>
      </w:r>
      <w:r>
        <w:rPr>
          <w:rFonts w:ascii="Arial" w:cs="Arial" w:eastAsia="Arial" w:hAnsi="Arial"/>
          <w:sz w:val="20"/>
          <w:szCs w:val="20"/>
          <w:color w:val="161616"/>
        </w:rPr>
        <w:t>BEAM</w:t>
      </w:r>
      <w:r>
        <w:rPr>
          <w:rFonts w:ascii="Arial" w:cs="Arial" w:eastAsia="Arial" w:hAnsi="Arial"/>
          <w:sz w:val="20"/>
          <w:szCs w:val="20"/>
          <w:color w:val="2F2F2F"/>
        </w:rPr>
        <w:t xml:space="preserve"> THERAPEUTICS, INC., a </w:t>
      </w:r>
      <w:r>
        <w:rPr>
          <w:rFonts w:ascii="Arial" w:cs="Arial" w:eastAsia="Arial" w:hAnsi="Arial"/>
          <w:sz w:val="20"/>
          <w:szCs w:val="20"/>
          <w:color w:val="161616"/>
        </w:rPr>
        <w:t>Delaware</w:t>
      </w:r>
      <w:r>
        <w:rPr>
          <w:rFonts w:ascii="Arial" w:cs="Arial" w:eastAsia="Arial" w:hAnsi="Arial"/>
          <w:sz w:val="20"/>
          <w:szCs w:val="20"/>
          <w:color w:val="2F2F2F"/>
        </w:rPr>
        <w:t xml:space="preserve"> corporation with an address of 26 Lansdowne Street, 2</w:t>
      </w:r>
      <w:r>
        <w:rPr>
          <w:rFonts w:ascii="Arial" w:cs="Arial" w:eastAsia="Arial" w:hAnsi="Arial"/>
          <w:sz w:val="26"/>
          <w:szCs w:val="26"/>
          <w:color w:val="2F2F2F"/>
          <w:vertAlign w:val="superscript"/>
        </w:rPr>
        <w:t>nd</w:t>
      </w:r>
      <w:r>
        <w:rPr>
          <w:rFonts w:ascii="Arial" w:cs="Arial" w:eastAsia="Arial" w:hAnsi="Arial"/>
          <w:sz w:val="20"/>
          <w:szCs w:val="20"/>
          <w:color w:val="2F2F2F"/>
        </w:rPr>
        <w:t xml:space="preserve"> </w:t>
      </w:r>
      <w:r>
        <w:rPr>
          <w:rFonts w:ascii="Arial" w:cs="Arial" w:eastAsia="Arial" w:hAnsi="Arial"/>
          <w:sz w:val="20"/>
          <w:szCs w:val="20"/>
          <w:color w:val="4B4B4B"/>
        </w:rPr>
        <w:t>Floor,</w:t>
      </w:r>
      <w:r>
        <w:rPr>
          <w:rFonts w:ascii="Arial" w:cs="Arial" w:eastAsia="Arial" w:hAnsi="Arial"/>
          <w:sz w:val="20"/>
          <w:szCs w:val="20"/>
          <w:color w:val="2F2F2F"/>
        </w:rPr>
        <w:t xml:space="preserve"> Cambridge, MA 02139 </w:t>
      </w:r>
      <w:r>
        <w:rPr>
          <w:rFonts w:ascii="Arial" w:cs="Arial" w:eastAsia="Arial" w:hAnsi="Arial"/>
          <w:sz w:val="20"/>
          <w:szCs w:val="20"/>
          <w:u w:val="single" w:color="auto"/>
          <w:color w:val="2F2F2F"/>
        </w:rPr>
        <w:t>("Tenant"</w:t>
      </w:r>
      <w:r>
        <w:rPr>
          <w:rFonts w:ascii="Arial" w:cs="Arial" w:eastAsia="Arial" w:hAnsi="Arial"/>
          <w:sz w:val="20"/>
          <w:szCs w:val="20"/>
          <w:color w:val="2F2F2F"/>
        </w:rPr>
        <w:t>).</w:t>
      </w:r>
    </w:p>
    <w:p>
      <w:pPr>
        <w:spacing w:after="0" w:line="6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2F2F2F"/>
        </w:rPr>
        <w:t>WITNESSETH</w:t>
      </w:r>
    </w:p>
    <w:p>
      <w:pPr>
        <w:spacing w:after="0" w:line="94" w:lineRule="exact"/>
        <w:rPr>
          <w:sz w:val="20"/>
          <w:szCs w:val="20"/>
          <w:color w:val="auto"/>
        </w:rPr>
      </w:pPr>
    </w:p>
    <w:p>
      <w:pPr>
        <w:jc w:val="both"/>
        <w:ind w:left="200" w:right="280" w:firstLine="749"/>
        <w:spacing w:after="0" w:line="263" w:lineRule="auto"/>
        <w:rPr>
          <w:sz w:val="20"/>
          <w:szCs w:val="20"/>
          <w:color w:val="auto"/>
        </w:rPr>
      </w:pPr>
      <w:r>
        <w:rPr>
          <w:rFonts w:ascii="Arial" w:cs="Arial" w:eastAsia="Arial" w:hAnsi="Arial"/>
          <w:sz w:val="18"/>
          <w:szCs w:val="18"/>
          <w:color w:val="2F2F2F"/>
        </w:rPr>
        <w:t xml:space="preserve">WHEREAS, Landlord and Tenant are the current parties to that certain Lease dated April 24, 2019, as amended by that certain First Amendment to Lease dated as of April 14, 2020 and as further amended by that certain Second Amendment to Lease dated as of November </w:t>
      </w:r>
      <w:r>
        <w:rPr>
          <w:rFonts w:ascii="Arial" w:cs="Arial" w:eastAsia="Arial" w:hAnsi="Arial"/>
          <w:sz w:val="18"/>
          <w:szCs w:val="18"/>
          <w:color w:val="161616"/>
        </w:rPr>
        <w:t>1</w:t>
      </w:r>
      <w:r>
        <w:rPr>
          <w:rFonts w:ascii="Arial" w:cs="Arial" w:eastAsia="Arial" w:hAnsi="Arial"/>
          <w:sz w:val="18"/>
          <w:szCs w:val="18"/>
          <w:color w:val="2F2F2F"/>
        </w:rPr>
        <w:t>7</w:t>
      </w:r>
      <w:r>
        <w:rPr>
          <w:rFonts w:ascii="Arial" w:cs="Arial" w:eastAsia="Arial" w:hAnsi="Arial"/>
          <w:sz w:val="18"/>
          <w:szCs w:val="18"/>
          <w:color w:val="4B4B4B"/>
        </w:rPr>
        <w:t>,</w:t>
      </w:r>
      <w:r>
        <w:rPr>
          <w:rFonts w:ascii="Arial" w:cs="Arial" w:eastAsia="Arial" w:hAnsi="Arial"/>
          <w:sz w:val="18"/>
          <w:szCs w:val="18"/>
          <w:color w:val="2F2F2F"/>
        </w:rPr>
        <w:t xml:space="preserve"> 2020 (collectively, the "</w:t>
      </w:r>
      <w:r>
        <w:rPr>
          <w:rFonts w:ascii="Arial" w:cs="Arial" w:eastAsia="Arial" w:hAnsi="Arial"/>
          <w:sz w:val="18"/>
          <w:szCs w:val="18"/>
          <w:u w:val="single" w:color="auto"/>
          <w:color w:val="2F2F2F"/>
        </w:rPr>
        <w:t>Lease</w:t>
      </w:r>
      <w:r>
        <w:rPr>
          <w:rFonts w:ascii="Arial" w:cs="Arial" w:eastAsia="Arial" w:hAnsi="Arial"/>
          <w:sz w:val="18"/>
          <w:szCs w:val="18"/>
          <w:color w:val="2F2F2F"/>
        </w:rPr>
        <w:t xml:space="preserve">"), pursuant to which Landlord is </w:t>
      </w:r>
      <w:r>
        <w:rPr>
          <w:rFonts w:ascii="Arial" w:cs="Arial" w:eastAsia="Arial" w:hAnsi="Arial"/>
          <w:sz w:val="18"/>
          <w:szCs w:val="18"/>
          <w:color w:val="161616"/>
        </w:rPr>
        <w:t>leasing</w:t>
      </w:r>
      <w:r>
        <w:rPr>
          <w:rFonts w:ascii="Arial" w:cs="Arial" w:eastAsia="Arial" w:hAnsi="Arial"/>
          <w:sz w:val="18"/>
          <w:szCs w:val="18"/>
          <w:color w:val="2F2F2F"/>
        </w:rPr>
        <w:t xml:space="preserve"> to </w:t>
      </w:r>
      <w:r>
        <w:rPr>
          <w:rFonts w:ascii="Arial" w:cs="Arial" w:eastAsia="Arial" w:hAnsi="Arial"/>
          <w:sz w:val="18"/>
          <w:szCs w:val="18"/>
          <w:color w:val="4B4B4B"/>
        </w:rPr>
        <w:t>Tenant</w:t>
      </w:r>
      <w:r>
        <w:rPr>
          <w:rFonts w:ascii="Arial" w:cs="Arial" w:eastAsia="Arial" w:hAnsi="Arial"/>
          <w:sz w:val="18"/>
          <w:szCs w:val="18"/>
          <w:color w:val="2F2F2F"/>
        </w:rPr>
        <w:t xml:space="preserve"> approximately 122,620 rentable square feet (as more particularly </w:t>
      </w:r>
      <w:r>
        <w:rPr>
          <w:rFonts w:ascii="Arial" w:cs="Arial" w:eastAsia="Arial" w:hAnsi="Arial"/>
          <w:sz w:val="18"/>
          <w:szCs w:val="18"/>
          <w:color w:val="161616"/>
        </w:rPr>
        <w:t>described</w:t>
      </w:r>
      <w:r>
        <w:rPr>
          <w:rFonts w:ascii="Arial" w:cs="Arial" w:eastAsia="Arial" w:hAnsi="Arial"/>
          <w:sz w:val="18"/>
          <w:szCs w:val="18"/>
          <w:color w:val="2F2F2F"/>
        </w:rPr>
        <w:t xml:space="preserve"> in the Lease, the </w:t>
      </w:r>
      <w:r>
        <w:rPr>
          <w:rFonts w:ascii="Arial" w:cs="Arial" w:eastAsia="Arial" w:hAnsi="Arial"/>
          <w:sz w:val="18"/>
          <w:szCs w:val="18"/>
          <w:u w:val="single" w:color="auto"/>
          <w:color w:val="2F2F2F"/>
        </w:rPr>
        <w:t>"Original Premises")</w:t>
      </w:r>
      <w:r>
        <w:rPr>
          <w:rFonts w:ascii="Arial" w:cs="Arial" w:eastAsia="Arial" w:hAnsi="Arial"/>
          <w:sz w:val="18"/>
          <w:szCs w:val="18"/>
          <w:color w:val="2F2F2F"/>
        </w:rPr>
        <w:t xml:space="preserve"> </w:t>
      </w:r>
      <w:r>
        <w:rPr>
          <w:rFonts w:ascii="Arial" w:cs="Arial" w:eastAsia="Arial" w:hAnsi="Arial"/>
          <w:sz w:val="18"/>
          <w:szCs w:val="18"/>
          <w:color w:val="161616"/>
        </w:rPr>
        <w:t>located</w:t>
      </w:r>
      <w:r>
        <w:rPr>
          <w:rFonts w:ascii="Arial" w:cs="Arial" w:eastAsia="Arial" w:hAnsi="Arial"/>
          <w:sz w:val="18"/>
          <w:szCs w:val="18"/>
          <w:color w:val="2F2F2F"/>
        </w:rPr>
        <w:t xml:space="preserve"> on the seventh, eighth, ninth and tenth floors of the Laboratory Addition to the </w:t>
      </w:r>
      <w:r>
        <w:rPr>
          <w:rFonts w:ascii="Arial" w:cs="Arial" w:eastAsia="Arial" w:hAnsi="Arial"/>
          <w:sz w:val="18"/>
          <w:szCs w:val="18"/>
          <w:color w:val="161616"/>
        </w:rPr>
        <w:t>building</w:t>
      </w:r>
      <w:r>
        <w:rPr>
          <w:rFonts w:ascii="Arial" w:cs="Arial" w:eastAsia="Arial" w:hAnsi="Arial"/>
          <w:sz w:val="18"/>
          <w:szCs w:val="18"/>
          <w:color w:val="2F2F2F"/>
        </w:rPr>
        <w:t xml:space="preserve"> located at 238 Main Street, Cambridge, MA;</w:t>
      </w:r>
    </w:p>
    <w:p>
      <w:pPr>
        <w:spacing w:after="0" w:line="54" w:lineRule="exact"/>
        <w:rPr>
          <w:sz w:val="20"/>
          <w:szCs w:val="20"/>
          <w:color w:val="auto"/>
        </w:rPr>
      </w:pPr>
    </w:p>
    <w:p>
      <w:pPr>
        <w:jc w:val="both"/>
        <w:ind w:left="200" w:right="320" w:firstLine="764"/>
        <w:spacing w:after="0" w:line="237" w:lineRule="auto"/>
        <w:rPr>
          <w:sz w:val="20"/>
          <w:szCs w:val="20"/>
          <w:color w:val="auto"/>
        </w:rPr>
      </w:pPr>
      <w:r>
        <w:rPr>
          <w:rFonts w:ascii="Arial" w:cs="Arial" w:eastAsia="Arial" w:hAnsi="Arial"/>
          <w:sz w:val="20"/>
          <w:szCs w:val="20"/>
          <w:color w:val="2F2F2F"/>
        </w:rPr>
        <w:t xml:space="preserve">WHEREAS, Tenant </w:t>
      </w:r>
      <w:r>
        <w:rPr>
          <w:rFonts w:ascii="Arial" w:cs="Arial" w:eastAsia="Arial" w:hAnsi="Arial"/>
          <w:sz w:val="20"/>
          <w:szCs w:val="20"/>
          <w:color w:val="161616"/>
        </w:rPr>
        <w:t>desires</w:t>
      </w:r>
      <w:r>
        <w:rPr>
          <w:rFonts w:ascii="Arial" w:cs="Arial" w:eastAsia="Arial" w:hAnsi="Arial"/>
          <w:sz w:val="20"/>
          <w:szCs w:val="20"/>
          <w:color w:val="2F2F2F"/>
        </w:rPr>
        <w:t xml:space="preserve"> to lease additional </w:t>
      </w:r>
      <w:r>
        <w:rPr>
          <w:rFonts w:ascii="Arial" w:cs="Arial" w:eastAsia="Arial" w:hAnsi="Arial"/>
          <w:sz w:val="20"/>
          <w:szCs w:val="20"/>
          <w:color w:val="161616"/>
        </w:rPr>
        <w:t>premises</w:t>
      </w:r>
      <w:r>
        <w:rPr>
          <w:rFonts w:ascii="Arial" w:cs="Arial" w:eastAsia="Arial" w:hAnsi="Arial"/>
          <w:sz w:val="20"/>
          <w:szCs w:val="20"/>
          <w:color w:val="2F2F2F"/>
        </w:rPr>
        <w:t xml:space="preserve"> on the </w:t>
      </w:r>
      <w:r>
        <w:rPr>
          <w:rFonts w:ascii="Arial" w:cs="Arial" w:eastAsia="Arial" w:hAnsi="Arial"/>
          <w:sz w:val="20"/>
          <w:szCs w:val="20"/>
          <w:color w:val="161616"/>
        </w:rPr>
        <w:t>sixth (6th) floor of the Laboratory Addition consisting of</w:t>
      </w:r>
      <w:r>
        <w:rPr>
          <w:rFonts w:ascii="Arial" w:cs="Arial" w:eastAsia="Arial" w:hAnsi="Arial"/>
          <w:sz w:val="20"/>
          <w:szCs w:val="20"/>
          <w:color w:val="2F2F2F"/>
        </w:rPr>
        <w:t xml:space="preserve"> </w:t>
      </w:r>
      <w:r>
        <w:rPr>
          <w:rFonts w:ascii="Arial" w:cs="Arial" w:eastAsia="Arial" w:hAnsi="Arial"/>
          <w:sz w:val="20"/>
          <w:szCs w:val="20"/>
          <w:color w:val="161616"/>
        </w:rPr>
        <w:t xml:space="preserve">approximately 7,638 rentable square feet of space, including associated mechanical, ground floor lower level space (as more particularly shown on the plan </w:t>
      </w:r>
      <w:r>
        <w:rPr>
          <w:rFonts w:ascii="Arial" w:cs="Arial" w:eastAsia="Arial" w:hAnsi="Arial"/>
          <w:sz w:val="20"/>
          <w:szCs w:val="20"/>
          <w:color w:val="2F2F2F"/>
        </w:rPr>
        <w:t>attached hereto as</w:t>
      </w:r>
      <w:r>
        <w:rPr>
          <w:rFonts w:ascii="Arial" w:cs="Arial" w:eastAsia="Arial" w:hAnsi="Arial"/>
          <w:sz w:val="20"/>
          <w:szCs w:val="20"/>
          <w:color w:val="161616"/>
        </w:rPr>
        <w:t xml:space="preserve"> </w:t>
      </w:r>
      <w:r>
        <w:rPr>
          <w:rFonts w:ascii="Arial" w:cs="Arial" w:eastAsia="Arial" w:hAnsi="Arial"/>
          <w:sz w:val="20"/>
          <w:szCs w:val="20"/>
          <w:u w:val="single" w:color="auto"/>
          <w:color w:val="2F2F2F"/>
        </w:rPr>
        <w:t>Exhibit A,</w:t>
      </w:r>
      <w:r>
        <w:rPr>
          <w:rFonts w:ascii="Arial" w:cs="Arial" w:eastAsia="Arial" w:hAnsi="Arial"/>
          <w:sz w:val="20"/>
          <w:szCs w:val="20"/>
          <w:color w:val="161616"/>
        </w:rPr>
        <w:t xml:space="preserve"> </w:t>
      </w:r>
      <w:r>
        <w:rPr>
          <w:rFonts w:ascii="Arial" w:cs="Arial" w:eastAsia="Arial" w:hAnsi="Arial"/>
          <w:sz w:val="20"/>
          <w:szCs w:val="20"/>
          <w:color w:val="2F2F2F"/>
        </w:rPr>
        <w:t>the</w:t>
      </w:r>
      <w:r>
        <w:rPr>
          <w:rFonts w:ascii="Arial" w:cs="Arial" w:eastAsia="Arial" w:hAnsi="Arial"/>
          <w:sz w:val="20"/>
          <w:szCs w:val="20"/>
          <w:color w:val="161616"/>
        </w:rPr>
        <w:t xml:space="preserve"> </w:t>
      </w:r>
      <w:r>
        <w:rPr>
          <w:rFonts w:ascii="Arial" w:cs="Arial" w:eastAsia="Arial" w:hAnsi="Arial"/>
          <w:sz w:val="20"/>
          <w:szCs w:val="20"/>
          <w:u w:val="single" w:color="auto"/>
          <w:color w:val="2F2F2F"/>
        </w:rPr>
        <w:t>"Expansion</w:t>
      </w:r>
      <w:r>
        <w:rPr>
          <w:rFonts w:ascii="Arial" w:cs="Arial" w:eastAsia="Arial" w:hAnsi="Arial"/>
          <w:sz w:val="20"/>
          <w:szCs w:val="20"/>
          <w:color w:val="161616"/>
        </w:rPr>
        <w:t xml:space="preserve"> </w:t>
      </w:r>
      <w:r>
        <w:rPr>
          <w:rFonts w:ascii="Arial" w:cs="Arial" w:eastAsia="Arial" w:hAnsi="Arial"/>
          <w:sz w:val="20"/>
          <w:szCs w:val="20"/>
          <w:u w:val="single" w:color="auto"/>
          <w:color w:val="161616"/>
        </w:rPr>
        <w:t>Space</w:t>
      </w:r>
      <w:r>
        <w:rPr>
          <w:rFonts w:ascii="Arial" w:cs="Arial" w:eastAsia="Arial" w:hAnsi="Arial"/>
          <w:sz w:val="20"/>
          <w:szCs w:val="20"/>
          <w:u w:val="single" w:color="auto"/>
          <w:color w:val="2F2F2F"/>
        </w:rPr>
        <w:t>")</w:t>
      </w:r>
      <w:r>
        <w:rPr>
          <w:rFonts w:ascii="Arial" w:cs="Arial" w:eastAsia="Arial" w:hAnsi="Arial"/>
          <w:sz w:val="20"/>
          <w:szCs w:val="20"/>
          <w:u w:val="single" w:color="auto"/>
          <w:color w:val="4B4B4B"/>
        </w:rPr>
        <w:t>;</w:t>
      </w:r>
    </w:p>
    <w:p>
      <w:pPr>
        <w:spacing w:after="0" w:line="75" w:lineRule="exact"/>
        <w:rPr>
          <w:sz w:val="20"/>
          <w:szCs w:val="20"/>
          <w:color w:val="auto"/>
        </w:rPr>
      </w:pPr>
    </w:p>
    <w:p>
      <w:pPr>
        <w:ind w:left="940"/>
        <w:spacing w:after="0"/>
        <w:rPr>
          <w:sz w:val="20"/>
          <w:szCs w:val="20"/>
          <w:color w:val="auto"/>
        </w:rPr>
      </w:pPr>
      <w:r>
        <w:rPr>
          <w:rFonts w:ascii="Arial" w:cs="Arial" w:eastAsia="Arial" w:hAnsi="Arial"/>
          <w:sz w:val="19"/>
          <w:szCs w:val="19"/>
          <w:color w:val="2F2F2F"/>
        </w:rPr>
        <w:t xml:space="preserve">WHEREAS, Landlord is willing to lease the Expansion </w:t>
      </w:r>
      <w:r>
        <w:rPr>
          <w:rFonts w:ascii="Arial" w:cs="Arial" w:eastAsia="Arial" w:hAnsi="Arial"/>
          <w:sz w:val="19"/>
          <w:szCs w:val="19"/>
          <w:color w:val="161616"/>
        </w:rPr>
        <w:t>Space</w:t>
      </w:r>
      <w:r>
        <w:rPr>
          <w:rFonts w:ascii="Arial" w:cs="Arial" w:eastAsia="Arial" w:hAnsi="Arial"/>
          <w:sz w:val="19"/>
          <w:szCs w:val="19"/>
          <w:color w:val="2F2F2F"/>
        </w:rPr>
        <w:t xml:space="preserve"> to Tenant on the terms and conditions hereinafter set forth;</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20"/>
          <w:szCs w:val="20"/>
          <w:color w:val="2F2F2F"/>
        </w:rPr>
        <w:t>and</w:t>
      </w:r>
    </w:p>
    <w:p>
      <w:pPr>
        <w:spacing w:after="0" w:line="65" w:lineRule="exact"/>
        <w:rPr>
          <w:sz w:val="20"/>
          <w:szCs w:val="20"/>
          <w:color w:val="auto"/>
        </w:rPr>
      </w:pPr>
    </w:p>
    <w:p>
      <w:pPr>
        <w:ind w:left="960"/>
        <w:spacing w:after="0"/>
        <w:rPr>
          <w:sz w:val="20"/>
          <w:szCs w:val="20"/>
          <w:color w:val="auto"/>
        </w:rPr>
      </w:pPr>
      <w:r>
        <w:rPr>
          <w:rFonts w:ascii="Arial" w:cs="Arial" w:eastAsia="Arial" w:hAnsi="Arial"/>
          <w:sz w:val="20"/>
          <w:szCs w:val="20"/>
          <w:color w:val="2F2F2F"/>
        </w:rPr>
        <w:t>WHEREAS, Landlord and Tenant wish to amend the Lease on the terms and conditions hereinafter set forth.</w:t>
      </w:r>
    </w:p>
    <w:p>
      <w:pPr>
        <w:spacing w:after="0" w:line="94" w:lineRule="exact"/>
        <w:rPr>
          <w:sz w:val="20"/>
          <w:szCs w:val="20"/>
          <w:color w:val="auto"/>
        </w:rPr>
      </w:pPr>
    </w:p>
    <w:p>
      <w:pPr>
        <w:ind w:left="200" w:right="340" w:firstLine="750"/>
        <w:spacing w:after="0" w:line="272" w:lineRule="auto"/>
        <w:rPr>
          <w:sz w:val="20"/>
          <w:szCs w:val="20"/>
          <w:color w:val="auto"/>
        </w:rPr>
      </w:pPr>
      <w:r>
        <w:rPr>
          <w:rFonts w:ascii="Arial" w:cs="Arial" w:eastAsia="Arial" w:hAnsi="Arial"/>
          <w:sz w:val="19"/>
          <w:szCs w:val="19"/>
          <w:color w:val="2F2F2F"/>
        </w:rPr>
        <w:t xml:space="preserve">NOW, THEREFORE, in consideration of the covenants herein reserved and contained, and other good and valuable consideration, the receipt and sufficiency of which are hereby acknowledged, Landlord and </w:t>
      </w:r>
      <w:r>
        <w:rPr>
          <w:rFonts w:ascii="Arial" w:cs="Arial" w:eastAsia="Arial" w:hAnsi="Arial"/>
          <w:sz w:val="19"/>
          <w:szCs w:val="19"/>
          <w:color w:val="4B4B4B"/>
        </w:rPr>
        <w:t>Tenant</w:t>
      </w:r>
      <w:r>
        <w:rPr>
          <w:rFonts w:ascii="Arial" w:cs="Arial" w:eastAsia="Arial" w:hAnsi="Arial"/>
          <w:sz w:val="19"/>
          <w:szCs w:val="19"/>
          <w:color w:val="2F2F2F"/>
        </w:rPr>
        <w:t xml:space="preserve"> hereby agree as follows:</w:t>
      </w:r>
    </w:p>
    <w:p>
      <w:pPr>
        <w:spacing w:after="0" w:line="58" w:lineRule="exact"/>
        <w:rPr>
          <w:sz w:val="20"/>
          <w:szCs w:val="20"/>
          <w:color w:val="auto"/>
        </w:rPr>
      </w:pPr>
    </w:p>
    <w:p>
      <w:pPr>
        <w:ind w:left="200" w:right="340" w:firstLine="389"/>
        <w:spacing w:after="0" w:line="246" w:lineRule="auto"/>
        <w:tabs>
          <w:tab w:leader="none" w:pos="959" w:val="left"/>
        </w:tabs>
        <w:numPr>
          <w:ilvl w:val="1"/>
          <w:numId w:val="109"/>
        </w:numPr>
        <w:rPr>
          <w:rFonts w:ascii="Arial" w:cs="Arial" w:eastAsia="Arial" w:hAnsi="Arial"/>
          <w:sz w:val="20"/>
          <w:szCs w:val="20"/>
          <w:u w:val="single" w:color="auto"/>
          <w:color w:val="2F2F2F"/>
        </w:rPr>
      </w:pPr>
      <w:r>
        <w:rPr>
          <w:rFonts w:ascii="Arial" w:cs="Arial" w:eastAsia="Arial" w:hAnsi="Arial"/>
          <w:sz w:val="20"/>
          <w:szCs w:val="20"/>
          <w:u w:val="single" w:color="auto"/>
          <w:color w:val="2F2F2F"/>
        </w:rPr>
        <w:t>Recitals: Capitalized</w:t>
      </w:r>
      <w:r>
        <w:rPr>
          <w:rFonts w:ascii="Arial" w:cs="Arial" w:eastAsia="Arial" w:hAnsi="Arial"/>
          <w:sz w:val="20"/>
          <w:szCs w:val="20"/>
          <w:color w:val="2F2F2F"/>
        </w:rPr>
        <w:t xml:space="preserve"> </w:t>
      </w:r>
      <w:r>
        <w:rPr>
          <w:rFonts w:ascii="Arial" w:cs="Arial" w:eastAsia="Arial" w:hAnsi="Arial"/>
          <w:sz w:val="20"/>
          <w:szCs w:val="20"/>
          <w:u w:val="single" w:color="auto"/>
          <w:color w:val="4B4B4B"/>
        </w:rPr>
        <w:t>Terms</w:t>
      </w:r>
      <w:r>
        <w:rPr>
          <w:rFonts w:ascii="Arial" w:cs="Arial" w:eastAsia="Arial" w:hAnsi="Arial"/>
          <w:sz w:val="20"/>
          <w:szCs w:val="20"/>
          <w:color w:val="4B4B4B"/>
        </w:rPr>
        <w:t>.</w:t>
      </w:r>
      <w:r>
        <w:rPr>
          <w:rFonts w:ascii="Arial" w:cs="Arial" w:eastAsia="Arial" w:hAnsi="Arial"/>
          <w:sz w:val="20"/>
          <w:szCs w:val="20"/>
          <w:color w:val="2F2F2F"/>
        </w:rPr>
        <w:t xml:space="preserve"> The foregoing recitals are hereby incorporated </w:t>
      </w:r>
      <w:r>
        <w:rPr>
          <w:rFonts w:ascii="Arial" w:cs="Arial" w:eastAsia="Arial" w:hAnsi="Arial"/>
          <w:sz w:val="20"/>
          <w:szCs w:val="20"/>
          <w:color w:val="161616"/>
        </w:rPr>
        <w:t>by</w:t>
      </w:r>
      <w:r>
        <w:rPr>
          <w:rFonts w:ascii="Arial" w:cs="Arial" w:eastAsia="Arial" w:hAnsi="Arial"/>
          <w:sz w:val="20"/>
          <w:szCs w:val="20"/>
          <w:color w:val="2F2F2F"/>
        </w:rPr>
        <w:t xml:space="preserve"> reference. All capitalized terms not otherwise defined herein shall have the meanings ascribed to them as set forth in the Lease.</w:t>
      </w:r>
    </w:p>
    <w:p>
      <w:pPr>
        <w:spacing w:after="0" w:line="55" w:lineRule="exact"/>
        <w:rPr>
          <w:rFonts w:ascii="Arial" w:cs="Arial" w:eastAsia="Arial" w:hAnsi="Arial"/>
          <w:sz w:val="20"/>
          <w:szCs w:val="20"/>
          <w:u w:val="single" w:color="auto"/>
          <w:color w:val="2F2F2F"/>
        </w:rPr>
      </w:pPr>
    </w:p>
    <w:p>
      <w:pPr>
        <w:ind w:left="960" w:hanging="383"/>
        <w:spacing w:after="0"/>
        <w:tabs>
          <w:tab w:leader="none" w:pos="960" w:val="left"/>
        </w:tabs>
        <w:numPr>
          <w:ilvl w:val="0"/>
          <w:numId w:val="110"/>
        </w:numPr>
        <w:rPr>
          <w:rFonts w:ascii="Arial" w:cs="Arial" w:eastAsia="Arial" w:hAnsi="Arial"/>
          <w:sz w:val="20"/>
          <w:szCs w:val="20"/>
          <w:u w:val="single" w:color="auto"/>
          <w:color w:val="2F2F2F"/>
        </w:rPr>
      </w:pPr>
      <w:r>
        <w:rPr>
          <w:rFonts w:ascii="Arial" w:cs="Arial" w:eastAsia="Arial" w:hAnsi="Arial"/>
          <w:sz w:val="20"/>
          <w:szCs w:val="20"/>
          <w:u w:val="single" w:color="auto"/>
          <w:color w:val="2F2F2F"/>
        </w:rPr>
        <w:t>Lease of Expansion Space</w:t>
      </w:r>
      <w:r>
        <w:rPr>
          <w:rFonts w:ascii="Arial" w:cs="Arial" w:eastAsia="Arial" w:hAnsi="Arial"/>
          <w:sz w:val="20"/>
          <w:szCs w:val="20"/>
          <w:color w:val="2F2F2F"/>
        </w:rPr>
        <w:t>.</w:t>
      </w:r>
    </w:p>
    <w:p>
      <w:pPr>
        <w:spacing w:after="0" w:line="94" w:lineRule="exact"/>
        <w:rPr>
          <w:rFonts w:ascii="Arial" w:cs="Arial" w:eastAsia="Arial" w:hAnsi="Arial"/>
          <w:sz w:val="20"/>
          <w:szCs w:val="20"/>
          <w:u w:val="single" w:color="auto"/>
          <w:color w:val="2F2F2F"/>
        </w:rPr>
      </w:pPr>
    </w:p>
    <w:p>
      <w:pPr>
        <w:jc w:val="both"/>
        <w:ind w:left="200" w:right="340" w:firstLine="753"/>
        <w:spacing w:after="0" w:line="229" w:lineRule="auto"/>
        <w:tabs>
          <w:tab w:leader="none" w:pos="1689" w:val="left"/>
        </w:tabs>
        <w:numPr>
          <w:ilvl w:val="2"/>
          <w:numId w:val="110"/>
        </w:numPr>
        <w:rPr>
          <w:rFonts w:ascii="Arial" w:cs="Arial" w:eastAsia="Arial" w:hAnsi="Arial"/>
          <w:sz w:val="20"/>
          <w:szCs w:val="20"/>
          <w:color w:val="161616"/>
        </w:rPr>
      </w:pPr>
      <w:r>
        <w:rPr>
          <w:rFonts w:ascii="Arial" w:cs="Arial" w:eastAsia="Arial" w:hAnsi="Arial"/>
          <w:sz w:val="20"/>
          <w:szCs w:val="20"/>
          <w:color w:val="161616"/>
        </w:rPr>
        <w:t xml:space="preserve">Landlord hereby leases to Tenant, and Tenant hereby leases from Landlord, the Expansion Space for a term </w:t>
      </w:r>
      <w:r>
        <w:rPr>
          <w:rFonts w:ascii="Arial" w:cs="Arial" w:eastAsia="Arial" w:hAnsi="Arial"/>
          <w:sz w:val="20"/>
          <w:szCs w:val="20"/>
          <w:color w:val="2F2F2F"/>
        </w:rPr>
        <w:t>(the</w:t>
      </w:r>
      <w:r>
        <w:rPr>
          <w:rFonts w:ascii="Arial" w:cs="Arial" w:eastAsia="Arial" w:hAnsi="Arial"/>
          <w:sz w:val="20"/>
          <w:szCs w:val="20"/>
          <w:color w:val="161616"/>
        </w:rPr>
        <w:t xml:space="preserve"> </w:t>
      </w:r>
      <w:r>
        <w:rPr>
          <w:rFonts w:ascii="Arial" w:cs="Arial" w:eastAsia="Arial" w:hAnsi="Arial"/>
          <w:sz w:val="20"/>
          <w:szCs w:val="20"/>
          <w:u w:val="single" w:color="auto"/>
          <w:color w:val="2F2F2F"/>
        </w:rPr>
        <w:t>"ES Term")</w:t>
      </w:r>
      <w:r>
        <w:rPr>
          <w:rFonts w:ascii="Arial" w:cs="Arial" w:eastAsia="Arial" w:hAnsi="Arial"/>
          <w:sz w:val="20"/>
          <w:szCs w:val="20"/>
          <w:color w:val="2F2F2F"/>
        </w:rPr>
        <w:t xml:space="preserve"> </w:t>
      </w:r>
      <w:r>
        <w:rPr>
          <w:rFonts w:ascii="Arial" w:cs="Arial" w:eastAsia="Arial" w:hAnsi="Arial"/>
          <w:sz w:val="20"/>
          <w:szCs w:val="20"/>
          <w:color w:val="161616"/>
        </w:rPr>
        <w:t>commencing on the date on which the Expansion Space is delivered</w:t>
      </w:r>
      <w:r>
        <w:rPr>
          <w:rFonts w:ascii="Arial" w:cs="Arial" w:eastAsia="Arial" w:hAnsi="Arial"/>
          <w:sz w:val="20"/>
          <w:szCs w:val="20"/>
          <w:color w:val="2F2F2F"/>
        </w:rPr>
        <w:t xml:space="preserve"> to Tenant </w:t>
      </w:r>
      <w:r>
        <w:rPr>
          <w:rFonts w:ascii="Arial" w:cs="Arial" w:eastAsia="Arial" w:hAnsi="Arial"/>
          <w:sz w:val="20"/>
          <w:szCs w:val="20"/>
          <w:color w:val="161616"/>
        </w:rPr>
        <w:t>in</w:t>
      </w:r>
      <w:r>
        <w:rPr>
          <w:rFonts w:ascii="Arial" w:cs="Arial" w:eastAsia="Arial" w:hAnsi="Arial"/>
          <w:sz w:val="20"/>
          <w:szCs w:val="20"/>
          <w:color w:val="2F2F2F"/>
        </w:rPr>
        <w:t xml:space="preserve"> the condition required by </w:t>
      </w:r>
      <w:r>
        <w:rPr>
          <w:rFonts w:ascii="Arial" w:cs="Arial" w:eastAsia="Arial" w:hAnsi="Arial"/>
          <w:sz w:val="20"/>
          <w:szCs w:val="20"/>
          <w:u w:val="single" w:color="auto"/>
          <w:color w:val="2F2F2F"/>
        </w:rPr>
        <w:t>Section 2(b)</w:t>
      </w:r>
      <w:r>
        <w:rPr>
          <w:rFonts w:ascii="Arial" w:cs="Arial" w:eastAsia="Arial" w:hAnsi="Arial"/>
          <w:sz w:val="20"/>
          <w:szCs w:val="20"/>
          <w:color w:val="2F2F2F"/>
        </w:rPr>
        <w:t xml:space="preserve"> </w:t>
      </w:r>
      <w:r>
        <w:rPr>
          <w:rFonts w:ascii="Arial" w:cs="Arial" w:eastAsia="Arial" w:hAnsi="Arial"/>
          <w:sz w:val="20"/>
          <w:szCs w:val="20"/>
          <w:color w:val="161616"/>
        </w:rPr>
        <w:t xml:space="preserve">below </w:t>
      </w:r>
      <w:r>
        <w:rPr>
          <w:rFonts w:ascii="Arial" w:cs="Arial" w:eastAsia="Arial" w:hAnsi="Arial"/>
          <w:sz w:val="20"/>
          <w:szCs w:val="20"/>
          <w:color w:val="2F2F2F"/>
        </w:rPr>
        <w:t>(the</w:t>
      </w:r>
      <w:r>
        <w:rPr>
          <w:rFonts w:ascii="Arial" w:cs="Arial" w:eastAsia="Arial" w:hAnsi="Arial"/>
          <w:sz w:val="20"/>
          <w:szCs w:val="20"/>
          <w:color w:val="161616"/>
        </w:rPr>
        <w:t xml:space="preserve"> </w:t>
      </w:r>
      <w:r>
        <w:rPr>
          <w:rFonts w:ascii="Arial" w:cs="Arial" w:eastAsia="Arial" w:hAnsi="Arial"/>
          <w:sz w:val="20"/>
          <w:szCs w:val="20"/>
          <w:u w:val="single" w:color="auto"/>
          <w:color w:val="2F2F2F"/>
        </w:rPr>
        <w:t>"ES Commencement Date")</w:t>
      </w:r>
      <w:r>
        <w:rPr>
          <w:rFonts w:ascii="Arial" w:cs="Arial" w:eastAsia="Arial" w:hAnsi="Arial"/>
          <w:sz w:val="20"/>
          <w:szCs w:val="20"/>
          <w:color w:val="161616"/>
        </w:rPr>
        <w:t xml:space="preserve"> </w:t>
      </w:r>
      <w:r>
        <w:rPr>
          <w:rFonts w:ascii="Arial" w:cs="Arial" w:eastAsia="Arial" w:hAnsi="Arial"/>
          <w:sz w:val="20"/>
          <w:szCs w:val="20"/>
          <w:color w:val="2F2F2F"/>
        </w:rPr>
        <w:t>and ending on the last day of the Term (as</w:t>
      </w:r>
      <w:r>
        <w:rPr>
          <w:rFonts w:ascii="Arial" w:cs="Arial" w:eastAsia="Arial" w:hAnsi="Arial"/>
          <w:sz w:val="20"/>
          <w:szCs w:val="20"/>
          <w:color w:val="161616"/>
        </w:rPr>
        <w:t xml:space="preserve"> it </w:t>
      </w:r>
      <w:r>
        <w:rPr>
          <w:rFonts w:ascii="Arial" w:cs="Arial" w:eastAsia="Arial" w:hAnsi="Arial"/>
          <w:sz w:val="20"/>
          <w:szCs w:val="20"/>
          <w:color w:val="2F2F2F"/>
        </w:rPr>
        <w:t>may be extended pursuant to</w:t>
      </w:r>
      <w:r>
        <w:rPr>
          <w:rFonts w:ascii="Arial" w:cs="Arial" w:eastAsia="Arial" w:hAnsi="Arial"/>
          <w:sz w:val="20"/>
          <w:szCs w:val="20"/>
          <w:color w:val="161616"/>
        </w:rPr>
        <w:t xml:space="preserve"> </w:t>
      </w:r>
      <w:r>
        <w:rPr>
          <w:rFonts w:ascii="Arial" w:cs="Arial" w:eastAsia="Arial" w:hAnsi="Arial"/>
          <w:sz w:val="20"/>
          <w:szCs w:val="20"/>
          <w:color w:val="4B4B4B"/>
        </w:rPr>
        <w:t>the</w:t>
      </w:r>
      <w:r>
        <w:rPr>
          <w:rFonts w:ascii="Arial" w:cs="Arial" w:eastAsia="Arial" w:hAnsi="Arial"/>
          <w:sz w:val="20"/>
          <w:szCs w:val="20"/>
          <w:color w:val="161616"/>
        </w:rPr>
        <w:t xml:space="preserve"> </w:t>
      </w:r>
      <w:r>
        <w:rPr>
          <w:rFonts w:ascii="Arial" w:cs="Arial" w:eastAsia="Arial" w:hAnsi="Arial"/>
          <w:sz w:val="20"/>
          <w:szCs w:val="20"/>
          <w:color w:val="2F2F2F"/>
        </w:rPr>
        <w:t>terms of the</w:t>
      </w:r>
      <w:r>
        <w:rPr>
          <w:rFonts w:ascii="Arial" w:cs="Arial" w:eastAsia="Arial" w:hAnsi="Arial"/>
          <w:sz w:val="20"/>
          <w:szCs w:val="20"/>
          <w:color w:val="161616"/>
        </w:rPr>
        <w:t xml:space="preserve"> </w:t>
      </w:r>
      <w:r>
        <w:rPr>
          <w:rFonts w:ascii="Arial" w:cs="Arial" w:eastAsia="Arial" w:hAnsi="Arial"/>
          <w:sz w:val="20"/>
          <w:szCs w:val="20"/>
          <w:color w:val="2F2F2F"/>
        </w:rPr>
        <w:t xml:space="preserve">Lease), subject to all of the terms and conditions of the Lease (including without </w:t>
      </w:r>
      <w:r>
        <w:rPr>
          <w:rFonts w:ascii="Arial" w:cs="Arial" w:eastAsia="Arial" w:hAnsi="Arial"/>
          <w:sz w:val="20"/>
          <w:szCs w:val="20"/>
          <w:color w:val="161616"/>
        </w:rPr>
        <w:t>limitation</w:t>
      </w:r>
      <w:r>
        <w:rPr>
          <w:rFonts w:ascii="Arial" w:cs="Arial" w:eastAsia="Arial" w:hAnsi="Arial"/>
          <w:sz w:val="20"/>
          <w:szCs w:val="20"/>
          <w:color w:val="2F2F2F"/>
        </w:rPr>
        <w:t xml:space="preserve"> the </w:t>
      </w:r>
      <w:r>
        <w:rPr>
          <w:rFonts w:ascii="Arial" w:cs="Arial" w:eastAsia="Arial" w:hAnsi="Arial"/>
          <w:sz w:val="20"/>
          <w:szCs w:val="20"/>
          <w:color w:val="161616"/>
        </w:rPr>
        <w:t>payment</w:t>
      </w:r>
      <w:r>
        <w:rPr>
          <w:rFonts w:ascii="Arial" w:cs="Arial" w:eastAsia="Arial" w:hAnsi="Arial"/>
          <w:sz w:val="20"/>
          <w:szCs w:val="20"/>
          <w:color w:val="2F2F2F"/>
        </w:rPr>
        <w:t xml:space="preserve"> of utility charges) except as expressly set forth </w:t>
      </w:r>
      <w:r>
        <w:rPr>
          <w:rFonts w:ascii="Arial" w:cs="Arial" w:eastAsia="Arial" w:hAnsi="Arial"/>
          <w:sz w:val="20"/>
          <w:szCs w:val="20"/>
          <w:color w:val="161616"/>
        </w:rPr>
        <w:t>in</w:t>
      </w:r>
      <w:r>
        <w:rPr>
          <w:rFonts w:ascii="Arial" w:cs="Arial" w:eastAsia="Arial" w:hAnsi="Arial"/>
          <w:sz w:val="20"/>
          <w:szCs w:val="20"/>
          <w:color w:val="2F2F2F"/>
        </w:rPr>
        <w:t xml:space="preserve"> this Third </w:t>
      </w:r>
      <w:r>
        <w:rPr>
          <w:rFonts w:ascii="Arial" w:cs="Arial" w:eastAsia="Arial" w:hAnsi="Arial"/>
          <w:sz w:val="20"/>
          <w:szCs w:val="20"/>
          <w:color w:val="161616"/>
        </w:rPr>
        <w:t>Amendment.</w:t>
      </w:r>
      <w:r>
        <w:rPr>
          <w:rFonts w:ascii="Arial" w:cs="Arial" w:eastAsia="Arial" w:hAnsi="Arial"/>
          <w:sz w:val="20"/>
          <w:szCs w:val="20"/>
          <w:color w:val="2F2F2F"/>
        </w:rPr>
        <w:t xml:space="preserve"> From and after the ES Commencement </w:t>
      </w:r>
      <w:r>
        <w:rPr>
          <w:rFonts w:ascii="Arial" w:cs="Arial" w:eastAsia="Arial" w:hAnsi="Arial"/>
          <w:sz w:val="20"/>
          <w:szCs w:val="20"/>
          <w:color w:val="161616"/>
        </w:rPr>
        <w:t>Date,</w:t>
      </w:r>
      <w:r>
        <w:rPr>
          <w:rFonts w:ascii="Arial" w:cs="Arial" w:eastAsia="Arial" w:hAnsi="Arial"/>
          <w:sz w:val="20"/>
          <w:szCs w:val="20"/>
          <w:color w:val="2F2F2F"/>
        </w:rPr>
        <w:t xml:space="preserve"> (i) the </w:t>
      </w:r>
      <w:r>
        <w:rPr>
          <w:rFonts w:ascii="Arial" w:cs="Arial" w:eastAsia="Arial" w:hAnsi="Arial"/>
          <w:sz w:val="20"/>
          <w:szCs w:val="20"/>
          <w:u w:val="single" w:color="auto"/>
          <w:color w:val="2F2F2F"/>
        </w:rPr>
        <w:t>"Premises"</w:t>
      </w:r>
      <w:r>
        <w:rPr>
          <w:rFonts w:ascii="Arial" w:cs="Arial" w:eastAsia="Arial" w:hAnsi="Arial"/>
          <w:sz w:val="20"/>
          <w:szCs w:val="20"/>
          <w:color w:val="2F2F2F"/>
        </w:rPr>
        <w:t xml:space="preserve"> shall be </w:t>
      </w:r>
      <w:r>
        <w:rPr>
          <w:rFonts w:ascii="Arial" w:cs="Arial" w:eastAsia="Arial" w:hAnsi="Arial"/>
          <w:sz w:val="20"/>
          <w:szCs w:val="20"/>
          <w:color w:val="161616"/>
        </w:rPr>
        <w:t>deemed</w:t>
      </w:r>
      <w:r>
        <w:rPr>
          <w:rFonts w:ascii="Arial" w:cs="Arial" w:eastAsia="Arial" w:hAnsi="Arial"/>
          <w:sz w:val="20"/>
          <w:szCs w:val="20"/>
          <w:color w:val="2F2F2F"/>
        </w:rPr>
        <w:t xml:space="preserve"> to mean, for all purposes of the Lease (as amended hereby), collectively the Original Premises and the Expansion Space (comprising a </w:t>
      </w:r>
      <w:r>
        <w:rPr>
          <w:rFonts w:ascii="Arial" w:cs="Arial" w:eastAsia="Arial" w:hAnsi="Arial"/>
          <w:sz w:val="20"/>
          <w:szCs w:val="20"/>
          <w:color w:val="4B4B4B"/>
        </w:rPr>
        <w:t>t</w:t>
      </w:r>
      <w:r>
        <w:rPr>
          <w:rFonts w:ascii="Arial" w:cs="Arial" w:eastAsia="Arial" w:hAnsi="Arial"/>
          <w:sz w:val="20"/>
          <w:szCs w:val="20"/>
          <w:color w:val="2F2F2F"/>
        </w:rPr>
        <w:t>ota</w:t>
      </w:r>
      <w:r>
        <w:rPr>
          <w:rFonts w:ascii="Arial" w:cs="Arial" w:eastAsia="Arial" w:hAnsi="Arial"/>
          <w:sz w:val="20"/>
          <w:szCs w:val="20"/>
          <w:color w:val="161616"/>
        </w:rPr>
        <w:t>l</w:t>
      </w:r>
      <w:r>
        <w:rPr>
          <w:rFonts w:ascii="Arial" w:cs="Arial" w:eastAsia="Arial" w:hAnsi="Arial"/>
          <w:sz w:val="20"/>
          <w:szCs w:val="20"/>
          <w:color w:val="4B4B4B"/>
        </w:rPr>
        <w:t xml:space="preserve"> </w:t>
      </w:r>
      <w:r>
        <w:rPr>
          <w:rFonts w:ascii="Arial" w:cs="Arial" w:eastAsia="Arial" w:hAnsi="Arial"/>
          <w:sz w:val="20"/>
          <w:szCs w:val="20"/>
          <w:color w:val="2F2F2F"/>
        </w:rPr>
        <w:t>of</w:t>
      </w:r>
      <w:r>
        <w:rPr>
          <w:rFonts w:ascii="Arial" w:cs="Arial" w:eastAsia="Arial" w:hAnsi="Arial"/>
          <w:sz w:val="20"/>
          <w:szCs w:val="20"/>
          <w:color w:val="4B4B4B"/>
        </w:rPr>
        <w:t xml:space="preserve"> </w:t>
      </w:r>
      <w:r>
        <w:rPr>
          <w:rFonts w:ascii="Arial" w:cs="Arial" w:eastAsia="Arial" w:hAnsi="Arial"/>
          <w:sz w:val="20"/>
          <w:szCs w:val="20"/>
          <w:color w:val="161616"/>
        </w:rPr>
        <w:t>130</w:t>
      </w:r>
      <w:r>
        <w:rPr>
          <w:rFonts w:ascii="Arial" w:cs="Arial" w:eastAsia="Arial" w:hAnsi="Arial"/>
          <w:sz w:val="20"/>
          <w:szCs w:val="20"/>
          <w:color w:val="4B4B4B"/>
        </w:rPr>
        <w:t>,</w:t>
      </w:r>
      <w:r>
        <w:rPr>
          <w:rFonts w:ascii="Arial" w:cs="Arial" w:eastAsia="Arial" w:hAnsi="Arial"/>
          <w:sz w:val="20"/>
          <w:szCs w:val="20"/>
          <w:color w:val="2F2F2F"/>
        </w:rPr>
        <w:t>258 rentable square feet in the aggregate), and (ii)</w:t>
      </w:r>
      <w:r>
        <w:rPr>
          <w:rFonts w:ascii="Arial" w:cs="Arial" w:eastAsia="Arial" w:hAnsi="Arial"/>
          <w:sz w:val="20"/>
          <w:szCs w:val="20"/>
          <w:color w:val="4B4B4B"/>
        </w:rPr>
        <w:t xml:space="preserve"> </w:t>
      </w:r>
      <w:r>
        <w:rPr>
          <w:rFonts w:ascii="Arial" w:cs="Arial" w:eastAsia="Arial" w:hAnsi="Arial"/>
          <w:sz w:val="20"/>
          <w:szCs w:val="20"/>
          <w:u w:val="single" w:color="auto"/>
          <w:color w:val="2F2F2F"/>
        </w:rPr>
        <w:t>Exhibit 2A</w:t>
      </w:r>
      <w:r>
        <w:rPr>
          <w:rFonts w:ascii="Arial" w:cs="Arial" w:eastAsia="Arial" w:hAnsi="Arial"/>
          <w:sz w:val="20"/>
          <w:szCs w:val="20"/>
          <w:color w:val="4B4B4B"/>
        </w:rPr>
        <w:t xml:space="preserve"> </w:t>
      </w:r>
      <w:r>
        <w:rPr>
          <w:rFonts w:ascii="Arial" w:cs="Arial" w:eastAsia="Arial" w:hAnsi="Arial"/>
          <w:sz w:val="20"/>
          <w:szCs w:val="20"/>
          <w:color w:val="2F2F2F"/>
        </w:rPr>
        <w:t>to the Lease shall be deemed to include</w:t>
      </w:r>
      <w:r>
        <w:rPr>
          <w:rFonts w:ascii="Arial" w:cs="Arial" w:eastAsia="Arial" w:hAnsi="Arial"/>
          <w:sz w:val="20"/>
          <w:szCs w:val="20"/>
          <w:color w:val="4B4B4B"/>
        </w:rPr>
        <w:t xml:space="preserve"> </w:t>
      </w:r>
      <w:r>
        <w:rPr>
          <w:rFonts w:ascii="Arial" w:cs="Arial" w:eastAsia="Arial" w:hAnsi="Arial"/>
          <w:sz w:val="20"/>
          <w:szCs w:val="20"/>
          <w:u w:val="single" w:color="auto"/>
          <w:color w:val="2F2F2F"/>
        </w:rPr>
        <w:t>Exhibit A</w:t>
      </w:r>
      <w:r>
        <w:rPr>
          <w:rFonts w:ascii="Arial" w:cs="Arial" w:eastAsia="Arial" w:hAnsi="Arial"/>
          <w:sz w:val="20"/>
          <w:szCs w:val="20"/>
          <w:color w:val="4B4B4B"/>
        </w:rPr>
        <w:t xml:space="preserve"> </w:t>
      </w:r>
      <w:r>
        <w:rPr>
          <w:rFonts w:ascii="Arial" w:cs="Arial" w:eastAsia="Arial" w:hAnsi="Arial"/>
          <w:sz w:val="20"/>
          <w:szCs w:val="20"/>
          <w:color w:val="2F2F2F"/>
        </w:rPr>
        <w:t>to this</w:t>
      </w:r>
      <w:r>
        <w:rPr>
          <w:rFonts w:ascii="Arial" w:cs="Arial" w:eastAsia="Arial" w:hAnsi="Arial"/>
          <w:sz w:val="20"/>
          <w:szCs w:val="20"/>
          <w:color w:val="4B4B4B"/>
        </w:rPr>
        <w:t xml:space="preserve"> </w:t>
      </w:r>
      <w:r>
        <w:rPr>
          <w:rFonts w:ascii="Arial" w:cs="Arial" w:eastAsia="Arial" w:hAnsi="Arial"/>
          <w:sz w:val="20"/>
          <w:szCs w:val="20"/>
          <w:color w:val="2F2F2F"/>
        </w:rPr>
        <w:t>Third Amendment.</w:t>
      </w:r>
    </w:p>
    <w:p>
      <w:pPr>
        <w:spacing w:after="0" w:line="80" w:lineRule="exact"/>
        <w:rPr>
          <w:rFonts w:ascii="Arial" w:cs="Arial" w:eastAsia="Arial" w:hAnsi="Arial"/>
          <w:sz w:val="20"/>
          <w:szCs w:val="20"/>
          <w:color w:val="161616"/>
        </w:rPr>
      </w:pPr>
    </w:p>
    <w:p>
      <w:pPr>
        <w:jc w:val="both"/>
        <w:ind w:left="200" w:right="340" w:firstLine="754"/>
        <w:spacing w:after="0" w:line="230" w:lineRule="auto"/>
        <w:tabs>
          <w:tab w:leader="none" w:pos="1687" w:val="left"/>
        </w:tabs>
        <w:numPr>
          <w:ilvl w:val="2"/>
          <w:numId w:val="110"/>
        </w:numPr>
        <w:rPr>
          <w:rFonts w:ascii="Arial" w:cs="Arial" w:eastAsia="Arial" w:hAnsi="Arial"/>
          <w:sz w:val="20"/>
          <w:szCs w:val="20"/>
          <w:color w:val="161616"/>
        </w:rPr>
      </w:pPr>
      <w:r>
        <w:rPr>
          <w:rFonts w:ascii="Arial" w:cs="Arial" w:eastAsia="Arial" w:hAnsi="Arial"/>
          <w:sz w:val="20"/>
          <w:szCs w:val="20"/>
          <w:color w:val="161616"/>
        </w:rPr>
        <w:t xml:space="preserve">On </w:t>
      </w:r>
      <w:r>
        <w:rPr>
          <w:rFonts w:ascii="Arial" w:cs="Arial" w:eastAsia="Arial" w:hAnsi="Arial"/>
          <w:sz w:val="20"/>
          <w:szCs w:val="20"/>
          <w:color w:val="2F2F2F"/>
        </w:rPr>
        <w:t>the ES Commencement Date, Landlord shall deliver to Tenant the Expansion Space with (i) Tenant's ES Fitout</w:t>
      </w:r>
      <w:r>
        <w:rPr>
          <w:rFonts w:ascii="Arial" w:cs="Arial" w:eastAsia="Arial" w:hAnsi="Arial"/>
          <w:sz w:val="20"/>
          <w:szCs w:val="20"/>
          <w:color w:val="161616"/>
        </w:rPr>
        <w:t xml:space="preserve"> </w:t>
      </w:r>
      <w:r>
        <w:rPr>
          <w:rFonts w:ascii="Arial" w:cs="Arial" w:eastAsia="Arial" w:hAnsi="Arial"/>
          <w:sz w:val="20"/>
          <w:szCs w:val="20"/>
          <w:color w:val="2F2F2F"/>
        </w:rPr>
        <w:t xml:space="preserve">(hereinafter </w:t>
      </w:r>
      <w:r>
        <w:rPr>
          <w:rFonts w:ascii="Arial" w:cs="Arial" w:eastAsia="Arial" w:hAnsi="Arial"/>
          <w:sz w:val="20"/>
          <w:szCs w:val="20"/>
          <w:color w:val="161616"/>
        </w:rPr>
        <w:t>defined)</w:t>
      </w:r>
      <w:r>
        <w:rPr>
          <w:rFonts w:ascii="Arial" w:cs="Arial" w:eastAsia="Arial" w:hAnsi="Arial"/>
          <w:sz w:val="20"/>
          <w:szCs w:val="20"/>
          <w:color w:val="2F2F2F"/>
        </w:rPr>
        <w:t xml:space="preserve"> completed except for </w:t>
      </w:r>
      <w:r>
        <w:rPr>
          <w:rFonts w:ascii="Arial" w:cs="Arial" w:eastAsia="Arial" w:hAnsi="Arial"/>
          <w:sz w:val="20"/>
          <w:szCs w:val="20"/>
          <w:color w:val="4B4B4B"/>
        </w:rPr>
        <w:t>T</w:t>
      </w:r>
      <w:r>
        <w:rPr>
          <w:rFonts w:ascii="Arial" w:cs="Arial" w:eastAsia="Arial" w:hAnsi="Arial"/>
          <w:sz w:val="20"/>
          <w:szCs w:val="20"/>
          <w:color w:val="2F2F2F"/>
        </w:rPr>
        <w:t>E</w:t>
      </w:r>
      <w:r>
        <w:rPr>
          <w:rFonts w:ascii="Arial" w:cs="Arial" w:eastAsia="Arial" w:hAnsi="Arial"/>
          <w:sz w:val="20"/>
          <w:szCs w:val="20"/>
          <w:color w:val="161616"/>
        </w:rPr>
        <w:t>S</w:t>
      </w:r>
      <w:r>
        <w:rPr>
          <w:rFonts w:ascii="Arial" w:cs="Arial" w:eastAsia="Arial" w:hAnsi="Arial"/>
          <w:sz w:val="20"/>
          <w:szCs w:val="20"/>
          <w:color w:val="2F2F2F"/>
        </w:rPr>
        <w:t xml:space="preserve">F Punchlist Items (hereinafter </w:t>
      </w:r>
      <w:r>
        <w:rPr>
          <w:rFonts w:ascii="Arial" w:cs="Arial" w:eastAsia="Arial" w:hAnsi="Arial"/>
          <w:sz w:val="20"/>
          <w:szCs w:val="20"/>
          <w:color w:val="161616"/>
        </w:rPr>
        <w:t>defined),</w:t>
      </w:r>
      <w:r>
        <w:rPr>
          <w:rFonts w:ascii="Arial" w:cs="Arial" w:eastAsia="Arial" w:hAnsi="Arial"/>
          <w:sz w:val="20"/>
          <w:szCs w:val="20"/>
          <w:color w:val="2F2F2F"/>
        </w:rPr>
        <w:t xml:space="preserve"> as certified </w:t>
      </w:r>
      <w:r>
        <w:rPr>
          <w:rFonts w:ascii="Arial" w:cs="Arial" w:eastAsia="Arial" w:hAnsi="Arial"/>
          <w:sz w:val="20"/>
          <w:szCs w:val="20"/>
          <w:color w:val="161616"/>
        </w:rPr>
        <w:t>in</w:t>
      </w:r>
      <w:r>
        <w:rPr>
          <w:rFonts w:ascii="Arial" w:cs="Arial" w:eastAsia="Arial" w:hAnsi="Arial"/>
          <w:sz w:val="20"/>
          <w:szCs w:val="20"/>
          <w:color w:val="2F2F2F"/>
        </w:rPr>
        <w:t xml:space="preserve"> writing by Tenant's architect (subject to </w:t>
      </w:r>
      <w:r>
        <w:rPr>
          <w:rFonts w:ascii="Arial" w:cs="Arial" w:eastAsia="Arial" w:hAnsi="Arial"/>
          <w:sz w:val="20"/>
          <w:szCs w:val="20"/>
          <w:u w:val="single" w:color="auto"/>
          <w:color w:val="2F2F2F"/>
        </w:rPr>
        <w:t>Section 3(e)</w:t>
      </w:r>
      <w:r>
        <w:rPr>
          <w:rFonts w:ascii="Arial" w:cs="Arial" w:eastAsia="Arial" w:hAnsi="Arial"/>
          <w:sz w:val="20"/>
          <w:szCs w:val="20"/>
          <w:color w:val="2F2F2F"/>
        </w:rPr>
        <w:t xml:space="preserve"> of the Work Letter </w:t>
      </w:r>
      <w:r>
        <w:rPr>
          <w:rFonts w:ascii="Arial" w:cs="Arial" w:eastAsia="Arial" w:hAnsi="Arial"/>
          <w:sz w:val="20"/>
          <w:szCs w:val="20"/>
          <w:color w:val="161616"/>
        </w:rPr>
        <w:t>(as</w:t>
      </w:r>
      <w:r>
        <w:rPr>
          <w:rFonts w:ascii="Arial" w:cs="Arial" w:eastAsia="Arial" w:hAnsi="Arial"/>
          <w:sz w:val="20"/>
          <w:szCs w:val="20"/>
          <w:color w:val="2F2F2F"/>
        </w:rPr>
        <w:t xml:space="preserve"> incorporated herein pursuant to </w:t>
      </w:r>
      <w:r>
        <w:rPr>
          <w:rFonts w:ascii="Arial" w:cs="Arial" w:eastAsia="Arial" w:hAnsi="Arial"/>
          <w:sz w:val="20"/>
          <w:szCs w:val="20"/>
          <w:u w:val="single" w:color="auto"/>
          <w:color w:val="2F2F2F"/>
        </w:rPr>
        <w:t>Section 3(a)</w:t>
      </w:r>
      <w:r>
        <w:rPr>
          <w:rFonts w:ascii="Arial" w:cs="Arial" w:eastAsia="Arial" w:hAnsi="Arial"/>
          <w:sz w:val="20"/>
          <w:szCs w:val="20"/>
          <w:color w:val="2F2F2F"/>
        </w:rPr>
        <w:t xml:space="preserve"> below)), and (ii) Landlord's Base Building </w:t>
      </w:r>
      <w:r>
        <w:rPr>
          <w:rFonts w:ascii="Arial" w:cs="Arial" w:eastAsia="Arial" w:hAnsi="Arial"/>
          <w:sz w:val="20"/>
          <w:szCs w:val="20"/>
          <w:color w:val="161616"/>
        </w:rPr>
        <w:t xml:space="preserve">Work </w:t>
      </w:r>
      <w:r>
        <w:rPr>
          <w:rFonts w:ascii="Arial" w:cs="Arial" w:eastAsia="Arial" w:hAnsi="Arial"/>
          <w:sz w:val="20"/>
          <w:szCs w:val="20"/>
          <w:color w:val="2F2F2F"/>
        </w:rPr>
        <w:t>with respect thereto substantially complete (as defined in Section 4(b) of the</w:t>
      </w:r>
      <w:r>
        <w:rPr>
          <w:rFonts w:ascii="Arial" w:cs="Arial" w:eastAsia="Arial" w:hAnsi="Arial"/>
          <w:sz w:val="20"/>
          <w:szCs w:val="20"/>
          <w:color w:val="161616"/>
        </w:rPr>
        <w:t xml:space="preserve"> Work L</w:t>
      </w:r>
      <w:r>
        <w:rPr>
          <w:rFonts w:ascii="Arial" w:cs="Arial" w:eastAsia="Arial" w:hAnsi="Arial"/>
          <w:sz w:val="20"/>
          <w:szCs w:val="20"/>
          <w:color w:val="2F2F2F"/>
        </w:rPr>
        <w:t>etter</w:t>
      </w:r>
      <w:r>
        <w:rPr>
          <w:rFonts w:ascii="Arial" w:cs="Arial" w:eastAsia="Arial" w:hAnsi="Arial"/>
          <w:sz w:val="20"/>
          <w:szCs w:val="20"/>
          <w:color w:val="161616"/>
        </w:rPr>
        <w:t>)</w:t>
      </w:r>
      <w:r>
        <w:rPr>
          <w:rFonts w:ascii="Arial" w:cs="Arial" w:eastAsia="Arial" w:hAnsi="Arial"/>
          <w:sz w:val="20"/>
          <w:szCs w:val="20"/>
          <w:color w:val="4B4B4B"/>
        </w:rPr>
        <w:t>.</w:t>
      </w:r>
      <w:r>
        <w:rPr>
          <w:rFonts w:ascii="Arial" w:cs="Arial" w:eastAsia="Arial" w:hAnsi="Arial"/>
          <w:sz w:val="20"/>
          <w:szCs w:val="20"/>
          <w:color w:val="161616"/>
        </w:rPr>
        <w:t xml:space="preserve"> </w:t>
      </w:r>
      <w:r>
        <w:rPr>
          <w:rFonts w:ascii="Arial" w:cs="Arial" w:eastAsia="Arial" w:hAnsi="Arial"/>
          <w:sz w:val="20"/>
          <w:szCs w:val="20"/>
          <w:color w:val="2F2F2F"/>
        </w:rPr>
        <w:t>Subject to</w:t>
      </w:r>
      <w:r>
        <w:rPr>
          <w:rFonts w:ascii="Arial" w:cs="Arial" w:eastAsia="Arial" w:hAnsi="Arial"/>
          <w:sz w:val="20"/>
          <w:szCs w:val="20"/>
          <w:color w:val="161616"/>
        </w:rPr>
        <w:t xml:space="preserve"> the </w:t>
      </w:r>
      <w:r>
        <w:rPr>
          <w:rFonts w:ascii="Arial" w:cs="Arial" w:eastAsia="Arial" w:hAnsi="Arial"/>
          <w:sz w:val="20"/>
          <w:szCs w:val="20"/>
          <w:color w:val="2F2F2F"/>
        </w:rPr>
        <w:t>foregoing, Tenant</w:t>
      </w:r>
      <w:r>
        <w:rPr>
          <w:rFonts w:ascii="Arial" w:cs="Arial" w:eastAsia="Arial" w:hAnsi="Arial"/>
          <w:sz w:val="20"/>
          <w:szCs w:val="20"/>
          <w:color w:val="161616"/>
        </w:rPr>
        <w:t xml:space="preserve"> </w:t>
      </w:r>
      <w:r>
        <w:rPr>
          <w:rFonts w:ascii="Arial" w:cs="Arial" w:eastAsia="Arial" w:hAnsi="Arial"/>
          <w:sz w:val="20"/>
          <w:szCs w:val="20"/>
          <w:color w:val="2F2F2F"/>
        </w:rPr>
        <w:t xml:space="preserve">acknowledges and agrees that </w:t>
      </w:r>
      <w:r>
        <w:rPr>
          <w:rFonts w:ascii="Arial" w:cs="Arial" w:eastAsia="Arial" w:hAnsi="Arial"/>
          <w:sz w:val="20"/>
          <w:szCs w:val="20"/>
          <w:color w:val="4B4B4B"/>
        </w:rPr>
        <w:t>Tenant</w:t>
      </w:r>
      <w:r>
        <w:rPr>
          <w:rFonts w:ascii="Arial" w:cs="Arial" w:eastAsia="Arial" w:hAnsi="Arial"/>
          <w:sz w:val="20"/>
          <w:szCs w:val="20"/>
          <w:color w:val="2F2F2F"/>
        </w:rPr>
        <w:t xml:space="preserve"> hereby leases the Expansion </w:t>
      </w:r>
      <w:r>
        <w:rPr>
          <w:rFonts w:ascii="Arial" w:cs="Arial" w:eastAsia="Arial" w:hAnsi="Arial"/>
          <w:sz w:val="20"/>
          <w:szCs w:val="20"/>
          <w:color w:val="161616"/>
        </w:rPr>
        <w:t>Space</w:t>
      </w:r>
      <w:r>
        <w:rPr>
          <w:rFonts w:ascii="Arial" w:cs="Arial" w:eastAsia="Arial" w:hAnsi="Arial"/>
          <w:sz w:val="20"/>
          <w:szCs w:val="20"/>
          <w:color w:val="2F2F2F"/>
        </w:rPr>
        <w:t xml:space="preserve"> in its </w:t>
      </w:r>
      <w:r>
        <w:rPr>
          <w:rFonts w:ascii="Arial" w:cs="Arial" w:eastAsia="Arial" w:hAnsi="Arial"/>
          <w:sz w:val="20"/>
          <w:szCs w:val="20"/>
          <w:color w:val="4B4B4B"/>
        </w:rPr>
        <w:t>"AS</w:t>
      </w:r>
      <w:r>
        <w:rPr>
          <w:rFonts w:ascii="Arial" w:cs="Arial" w:eastAsia="Arial" w:hAnsi="Arial"/>
          <w:sz w:val="20"/>
          <w:szCs w:val="20"/>
          <w:color w:val="2F2F2F"/>
        </w:rPr>
        <w:t xml:space="preserve"> IS," "WHERE IS" condition and with all faults on the ES Commencement Date, without representations or warranties, express or implied, in fact or by </w:t>
      </w:r>
      <w:r>
        <w:rPr>
          <w:rFonts w:ascii="Arial" w:cs="Arial" w:eastAsia="Arial" w:hAnsi="Arial"/>
          <w:sz w:val="20"/>
          <w:szCs w:val="20"/>
          <w:color w:val="161616"/>
        </w:rPr>
        <w:t>l</w:t>
      </w:r>
      <w:r>
        <w:rPr>
          <w:rFonts w:ascii="Arial" w:cs="Arial" w:eastAsia="Arial" w:hAnsi="Arial"/>
          <w:sz w:val="20"/>
          <w:szCs w:val="20"/>
          <w:color w:val="2F2F2F"/>
        </w:rPr>
        <w:t>aw</w:t>
      </w:r>
      <w:r>
        <w:rPr>
          <w:rFonts w:ascii="Arial" w:cs="Arial" w:eastAsia="Arial" w:hAnsi="Arial"/>
          <w:sz w:val="20"/>
          <w:szCs w:val="20"/>
          <w:color w:val="4B4B4B"/>
        </w:rPr>
        <w:t>,</w:t>
      </w:r>
      <w:r>
        <w:rPr>
          <w:rFonts w:ascii="Arial" w:cs="Arial" w:eastAsia="Arial" w:hAnsi="Arial"/>
          <w:sz w:val="20"/>
          <w:szCs w:val="20"/>
          <w:color w:val="2F2F2F"/>
        </w:rPr>
        <w:t xml:space="preserve"> of any kind, and without recourse to Landlord.</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color w:val="16161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52705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432" w:right="399" w:bottom="1440" w:gutter="0" w:footer="0" w:header="0"/>
        </w:sectPr>
      </w:pPr>
    </w:p>
    <w:bookmarkStart w:id="194" w:name="page195"/>
    <w:bookmarkEnd w:id="194"/>
    <w:p>
      <w:pPr>
        <w:ind w:left="742" w:hanging="368"/>
        <w:spacing w:after="0"/>
        <w:tabs>
          <w:tab w:leader="none" w:pos="742" w:val="left"/>
        </w:tabs>
        <w:numPr>
          <w:ilvl w:val="1"/>
          <w:numId w:val="111"/>
        </w:numPr>
        <w:rPr>
          <w:rFonts w:ascii="Arial" w:cs="Arial" w:eastAsia="Arial" w:hAnsi="Arial"/>
          <w:sz w:val="20"/>
          <w:szCs w:val="20"/>
          <w:u w:val="single" w:color="auto"/>
          <w:color w:val="2F2F2F"/>
        </w:rPr>
      </w:pPr>
      <w:r>
        <w:rPr>
          <w:rFonts w:ascii="Arial" w:cs="Arial" w:eastAsia="Arial" w:hAnsi="Arial"/>
          <w:sz w:val="20"/>
          <w:szCs w:val="20"/>
          <w:u w:val="single" w:color="auto"/>
          <w:color w:val="2F2F2F"/>
        </w:rPr>
        <w:t>Construction.</w:t>
      </w:r>
    </w:p>
    <w:p>
      <w:pPr>
        <w:spacing w:after="0" w:line="94" w:lineRule="exact"/>
        <w:rPr>
          <w:rFonts w:ascii="Arial" w:cs="Arial" w:eastAsia="Arial" w:hAnsi="Arial"/>
          <w:sz w:val="20"/>
          <w:szCs w:val="20"/>
          <w:u w:val="single" w:color="auto"/>
          <w:color w:val="2F2F2F"/>
        </w:rPr>
      </w:pPr>
    </w:p>
    <w:p>
      <w:pPr>
        <w:jc w:val="both"/>
        <w:ind w:left="2" w:firstLine="761"/>
        <w:spacing w:after="0" w:line="256" w:lineRule="auto"/>
        <w:tabs>
          <w:tab w:leader="none" w:pos="1502" w:val="left"/>
        </w:tabs>
        <w:numPr>
          <w:ilvl w:val="2"/>
          <w:numId w:val="111"/>
        </w:numPr>
        <w:rPr>
          <w:rFonts w:ascii="Arial" w:cs="Arial" w:eastAsia="Arial" w:hAnsi="Arial"/>
          <w:sz w:val="18"/>
          <w:szCs w:val="18"/>
          <w:u w:val="single" w:color="auto"/>
          <w:color w:val="2F2F2F"/>
        </w:rPr>
      </w:pPr>
      <w:r>
        <w:rPr>
          <w:rFonts w:ascii="Arial" w:cs="Arial" w:eastAsia="Arial" w:hAnsi="Arial"/>
          <w:sz w:val="18"/>
          <w:szCs w:val="18"/>
          <w:u w:val="single" w:color="auto"/>
          <w:color w:val="2F2F2F"/>
        </w:rPr>
        <w:t>Incorporation of Work Letter.</w:t>
      </w:r>
      <w:r>
        <w:rPr>
          <w:rFonts w:ascii="Arial" w:cs="Arial" w:eastAsia="Arial" w:hAnsi="Arial"/>
          <w:sz w:val="18"/>
          <w:szCs w:val="18"/>
          <w:color w:val="2F2F2F"/>
        </w:rPr>
        <w:t xml:space="preserve"> The following provisions of </w:t>
      </w:r>
      <w:r>
        <w:rPr>
          <w:rFonts w:ascii="Arial" w:cs="Arial" w:eastAsia="Arial" w:hAnsi="Arial"/>
          <w:sz w:val="18"/>
          <w:szCs w:val="18"/>
          <w:color w:val="494949"/>
        </w:rPr>
        <w:t>the</w:t>
      </w:r>
      <w:r>
        <w:rPr>
          <w:rFonts w:ascii="Arial" w:cs="Arial" w:eastAsia="Arial" w:hAnsi="Arial"/>
          <w:sz w:val="18"/>
          <w:szCs w:val="18"/>
          <w:color w:val="2F2F2F"/>
        </w:rPr>
        <w:t xml:space="preserve"> Work Letter shall be incorporated herein so as to also apply to Tenant's ES </w:t>
      </w:r>
      <w:r>
        <w:rPr>
          <w:rFonts w:ascii="Arial" w:cs="Arial" w:eastAsia="Arial" w:hAnsi="Arial"/>
          <w:sz w:val="18"/>
          <w:szCs w:val="18"/>
          <w:color w:val="494949"/>
        </w:rPr>
        <w:t>F</w:t>
      </w:r>
      <w:r>
        <w:rPr>
          <w:rFonts w:ascii="Arial" w:cs="Arial" w:eastAsia="Arial" w:hAnsi="Arial"/>
          <w:sz w:val="18"/>
          <w:szCs w:val="18"/>
          <w:color w:val="161616"/>
        </w:rPr>
        <w:t>i</w:t>
      </w:r>
      <w:r>
        <w:rPr>
          <w:rFonts w:ascii="Arial" w:cs="Arial" w:eastAsia="Arial" w:hAnsi="Arial"/>
          <w:sz w:val="18"/>
          <w:szCs w:val="18"/>
          <w:color w:val="2F2F2F"/>
        </w:rPr>
        <w:t xml:space="preserve">tout: </w:t>
      </w:r>
      <w:r>
        <w:rPr>
          <w:rFonts w:ascii="Arial" w:cs="Arial" w:eastAsia="Arial" w:hAnsi="Arial"/>
          <w:sz w:val="18"/>
          <w:szCs w:val="18"/>
          <w:u w:val="single" w:color="auto"/>
          <w:color w:val="2F2F2F"/>
        </w:rPr>
        <w:t>Sections 1, 2(c), 2(d), 2(g), 3(b), 3(e), 3(f), 3(h), 5(c)(ii), 5(c)(iii), 5(c)(iv), 5(c)(v), 5(d)(i), 5(d)(ii),</w:t>
      </w:r>
      <w:r>
        <w:rPr>
          <w:rFonts w:ascii="Arial" w:cs="Arial" w:eastAsia="Arial" w:hAnsi="Arial"/>
          <w:sz w:val="18"/>
          <w:szCs w:val="18"/>
          <w:color w:val="2F2F2F"/>
        </w:rPr>
        <w:t xml:space="preserve"> and </w:t>
      </w:r>
      <w:r>
        <w:rPr>
          <w:rFonts w:ascii="Arial" w:cs="Arial" w:eastAsia="Arial" w:hAnsi="Arial"/>
          <w:sz w:val="18"/>
          <w:szCs w:val="18"/>
          <w:u w:val="single" w:color="auto"/>
          <w:color w:val="2F2F2F"/>
        </w:rPr>
        <w:t>5(d)(iii)</w:t>
      </w:r>
      <w:r>
        <w:rPr>
          <w:rFonts w:ascii="Arial" w:cs="Arial" w:eastAsia="Arial" w:hAnsi="Arial"/>
          <w:sz w:val="18"/>
          <w:szCs w:val="18"/>
          <w:color w:val="2F2F2F"/>
        </w:rPr>
        <w:t xml:space="preserve">; </w:t>
      </w:r>
      <w:r>
        <w:rPr>
          <w:rFonts w:ascii="Arial" w:cs="Arial" w:eastAsia="Arial" w:hAnsi="Arial"/>
          <w:sz w:val="18"/>
          <w:szCs w:val="18"/>
          <w:u w:val="single" w:color="auto"/>
          <w:color w:val="2F2F2F"/>
        </w:rPr>
        <w:t>provided, however,</w:t>
      </w:r>
      <w:r>
        <w:rPr>
          <w:rFonts w:ascii="Arial" w:cs="Arial" w:eastAsia="Arial" w:hAnsi="Arial"/>
          <w:sz w:val="18"/>
          <w:szCs w:val="18"/>
          <w:color w:val="2F2F2F"/>
        </w:rPr>
        <w:t xml:space="preserve"> all references in such </w:t>
      </w:r>
      <w:r>
        <w:rPr>
          <w:rFonts w:ascii="Arial" w:cs="Arial" w:eastAsia="Arial" w:hAnsi="Arial"/>
          <w:sz w:val="18"/>
          <w:szCs w:val="18"/>
          <w:color w:val="161616"/>
        </w:rPr>
        <w:t>provisions</w:t>
      </w:r>
      <w:r>
        <w:rPr>
          <w:rFonts w:ascii="Arial" w:cs="Arial" w:eastAsia="Arial" w:hAnsi="Arial"/>
          <w:sz w:val="18"/>
          <w:szCs w:val="18"/>
          <w:color w:val="2F2F2F"/>
        </w:rPr>
        <w:t xml:space="preserve"> to (i) "this Work Letter" shall </w:t>
      </w:r>
      <w:r>
        <w:rPr>
          <w:rFonts w:ascii="Arial" w:cs="Arial" w:eastAsia="Arial" w:hAnsi="Arial"/>
          <w:sz w:val="18"/>
          <w:szCs w:val="18"/>
          <w:color w:val="161616"/>
        </w:rPr>
        <w:t>be deemed</w:t>
      </w:r>
      <w:r>
        <w:rPr>
          <w:rFonts w:ascii="Arial" w:cs="Arial" w:eastAsia="Arial" w:hAnsi="Arial"/>
          <w:sz w:val="18"/>
          <w:szCs w:val="18"/>
          <w:color w:val="2F2F2F"/>
        </w:rPr>
        <w:t xml:space="preserve"> to refer to this </w:t>
      </w:r>
      <w:r>
        <w:rPr>
          <w:rFonts w:ascii="Arial" w:cs="Arial" w:eastAsia="Arial" w:hAnsi="Arial"/>
          <w:sz w:val="18"/>
          <w:szCs w:val="18"/>
          <w:u w:val="single" w:color="auto"/>
          <w:color w:val="2F2F2F"/>
        </w:rPr>
        <w:t>Section 3</w:t>
      </w:r>
      <w:r>
        <w:rPr>
          <w:rFonts w:ascii="Arial" w:cs="Arial" w:eastAsia="Arial" w:hAnsi="Arial"/>
          <w:sz w:val="18"/>
          <w:szCs w:val="18"/>
          <w:color w:val="2F2F2F"/>
        </w:rPr>
        <w:t>,</w:t>
      </w:r>
    </w:p>
    <w:p>
      <w:pPr>
        <w:spacing w:after="0" w:line="1" w:lineRule="exact"/>
        <w:rPr>
          <w:rFonts w:ascii="Arial" w:cs="Arial" w:eastAsia="Arial" w:hAnsi="Arial"/>
          <w:sz w:val="18"/>
          <w:szCs w:val="18"/>
          <w:u w:val="single" w:color="auto"/>
          <w:color w:val="2F2F2F"/>
        </w:rPr>
      </w:pPr>
    </w:p>
    <w:p>
      <w:pPr>
        <w:jc w:val="both"/>
        <w:ind w:left="2" w:hanging="2"/>
        <w:spacing w:after="0" w:line="250" w:lineRule="auto"/>
        <w:tabs>
          <w:tab w:leader="none" w:pos="314" w:val="left"/>
        </w:tabs>
        <w:numPr>
          <w:ilvl w:val="0"/>
          <w:numId w:val="112"/>
        </w:numPr>
        <w:rPr>
          <w:rFonts w:ascii="Arial" w:cs="Arial" w:eastAsia="Arial" w:hAnsi="Arial"/>
          <w:sz w:val="18"/>
          <w:szCs w:val="18"/>
          <w:color w:val="2F2F2F"/>
        </w:rPr>
      </w:pPr>
      <w:r>
        <w:rPr>
          <w:rFonts w:ascii="Arial" w:cs="Arial" w:eastAsia="Arial" w:hAnsi="Arial"/>
          <w:sz w:val="18"/>
          <w:szCs w:val="18"/>
          <w:color w:val="2F2F2F"/>
        </w:rPr>
        <w:t xml:space="preserve">"Tenant's </w:t>
      </w:r>
      <w:r>
        <w:rPr>
          <w:rFonts w:ascii="Arial" w:cs="Arial" w:eastAsia="Arial" w:hAnsi="Arial"/>
          <w:sz w:val="18"/>
          <w:szCs w:val="18"/>
          <w:color w:val="494949"/>
        </w:rPr>
        <w:t>F</w:t>
      </w:r>
      <w:r>
        <w:rPr>
          <w:rFonts w:ascii="Arial" w:cs="Arial" w:eastAsia="Arial" w:hAnsi="Arial"/>
          <w:sz w:val="18"/>
          <w:szCs w:val="18"/>
          <w:color w:val="161616"/>
        </w:rPr>
        <w:t>i</w:t>
      </w:r>
      <w:r>
        <w:rPr>
          <w:rFonts w:ascii="Arial" w:cs="Arial" w:eastAsia="Arial" w:hAnsi="Arial"/>
          <w:sz w:val="18"/>
          <w:szCs w:val="18"/>
          <w:color w:val="2F2F2F"/>
        </w:rPr>
        <w:t xml:space="preserve">tout" (including references </w:t>
      </w:r>
      <w:r>
        <w:rPr>
          <w:rFonts w:ascii="Arial" w:cs="Arial" w:eastAsia="Arial" w:hAnsi="Arial"/>
          <w:sz w:val="18"/>
          <w:szCs w:val="18"/>
          <w:color w:val="494949"/>
        </w:rPr>
        <w:t>to</w:t>
      </w:r>
      <w:r>
        <w:rPr>
          <w:rFonts w:ascii="Arial" w:cs="Arial" w:eastAsia="Arial" w:hAnsi="Arial"/>
          <w:sz w:val="18"/>
          <w:szCs w:val="18"/>
          <w:color w:val="2F2F2F"/>
        </w:rPr>
        <w:t xml:space="preserve"> Tenant's Fitout by way of reference to Landlord's Work) shall be deemed to refer to Tenant's ES Fitout, (iii) "TF Punchlist" shall be </w:t>
      </w:r>
      <w:r>
        <w:rPr>
          <w:rFonts w:ascii="Arial" w:cs="Arial" w:eastAsia="Arial" w:hAnsi="Arial"/>
          <w:sz w:val="18"/>
          <w:szCs w:val="18"/>
          <w:color w:val="161616"/>
        </w:rPr>
        <w:t>deemed</w:t>
      </w:r>
      <w:r>
        <w:rPr>
          <w:rFonts w:ascii="Arial" w:cs="Arial" w:eastAsia="Arial" w:hAnsi="Arial"/>
          <w:sz w:val="18"/>
          <w:szCs w:val="18"/>
          <w:color w:val="2F2F2F"/>
        </w:rPr>
        <w:t xml:space="preserve"> to refer to the TESF Punchlist, (iv) the "Execution Date" shall be deemed to refer to the date of this </w:t>
      </w:r>
      <w:r>
        <w:rPr>
          <w:rFonts w:ascii="Arial" w:cs="Arial" w:eastAsia="Arial" w:hAnsi="Arial"/>
          <w:sz w:val="18"/>
          <w:szCs w:val="18"/>
          <w:color w:val="494949"/>
        </w:rPr>
        <w:t>T</w:t>
      </w:r>
      <w:r>
        <w:rPr>
          <w:rFonts w:ascii="Arial" w:cs="Arial" w:eastAsia="Arial" w:hAnsi="Arial"/>
          <w:sz w:val="18"/>
          <w:szCs w:val="18"/>
          <w:color w:val="2F2F2F"/>
        </w:rPr>
        <w:t>hir</w:t>
      </w:r>
      <w:r>
        <w:rPr>
          <w:rFonts w:ascii="Arial" w:cs="Arial" w:eastAsia="Arial" w:hAnsi="Arial"/>
          <w:sz w:val="18"/>
          <w:szCs w:val="18"/>
          <w:color w:val="161616"/>
        </w:rPr>
        <w:t>d</w:t>
      </w:r>
      <w:r>
        <w:rPr>
          <w:rFonts w:ascii="Arial" w:cs="Arial" w:eastAsia="Arial" w:hAnsi="Arial"/>
          <w:sz w:val="18"/>
          <w:szCs w:val="18"/>
          <w:color w:val="2F2F2F"/>
        </w:rPr>
        <w:t xml:space="preserve"> Amendment, (v) </w:t>
      </w:r>
      <w:r>
        <w:rPr>
          <w:rFonts w:ascii="Arial" w:cs="Arial" w:eastAsia="Arial" w:hAnsi="Arial"/>
          <w:sz w:val="18"/>
          <w:szCs w:val="18"/>
          <w:color w:val="494949"/>
        </w:rPr>
        <w:t>"the Final</w:t>
      </w:r>
      <w:r>
        <w:rPr>
          <w:rFonts w:ascii="Arial" w:cs="Arial" w:eastAsia="Arial" w:hAnsi="Arial"/>
          <w:sz w:val="18"/>
          <w:szCs w:val="18"/>
          <w:color w:val="2F2F2F"/>
        </w:rPr>
        <w:t xml:space="preserve"> Cost Estimate" shall be </w:t>
      </w:r>
      <w:r>
        <w:rPr>
          <w:rFonts w:ascii="Arial" w:cs="Arial" w:eastAsia="Arial" w:hAnsi="Arial"/>
          <w:sz w:val="18"/>
          <w:szCs w:val="18"/>
          <w:color w:val="161616"/>
        </w:rPr>
        <w:t>deemed</w:t>
      </w:r>
      <w:r>
        <w:rPr>
          <w:rFonts w:ascii="Arial" w:cs="Arial" w:eastAsia="Arial" w:hAnsi="Arial"/>
          <w:sz w:val="18"/>
          <w:szCs w:val="18"/>
          <w:color w:val="2F2F2F"/>
        </w:rPr>
        <w:t xml:space="preserve"> to refer to the Final Cost Estimate </w:t>
      </w:r>
      <w:r>
        <w:rPr>
          <w:rFonts w:ascii="Arial" w:cs="Arial" w:eastAsia="Arial" w:hAnsi="Arial"/>
          <w:sz w:val="18"/>
          <w:szCs w:val="18"/>
          <w:color w:val="161616"/>
        </w:rPr>
        <w:t>prepared</w:t>
      </w:r>
      <w:r>
        <w:rPr>
          <w:rFonts w:ascii="Arial" w:cs="Arial" w:eastAsia="Arial" w:hAnsi="Arial"/>
          <w:sz w:val="18"/>
          <w:szCs w:val="18"/>
          <w:color w:val="2F2F2F"/>
        </w:rPr>
        <w:t xml:space="preserve"> with respect to the Approved ES Plans pursuant to </w:t>
      </w:r>
      <w:r>
        <w:rPr>
          <w:rFonts w:ascii="Arial" w:cs="Arial" w:eastAsia="Arial" w:hAnsi="Arial"/>
          <w:sz w:val="18"/>
          <w:szCs w:val="18"/>
          <w:u w:val="single" w:color="auto"/>
          <w:color w:val="2F2F2F"/>
        </w:rPr>
        <w:t>Section 5(c)</w:t>
      </w:r>
      <w:r>
        <w:rPr>
          <w:rFonts w:ascii="Arial" w:cs="Arial" w:eastAsia="Arial" w:hAnsi="Arial"/>
          <w:sz w:val="18"/>
          <w:szCs w:val="18"/>
          <w:color w:val="2F2F2F"/>
        </w:rPr>
        <w:t xml:space="preserve"> of the Work Letter (incorporated herein pursuant to this </w:t>
      </w:r>
      <w:r>
        <w:rPr>
          <w:rFonts w:ascii="Arial" w:cs="Arial" w:eastAsia="Arial" w:hAnsi="Arial"/>
          <w:sz w:val="18"/>
          <w:szCs w:val="18"/>
          <w:u w:val="single" w:color="auto"/>
          <w:color w:val="2F2F2F"/>
        </w:rPr>
        <w:t>Section 3(a)),</w:t>
      </w:r>
    </w:p>
    <w:p>
      <w:pPr>
        <w:spacing w:after="0" w:line="1" w:lineRule="exact"/>
        <w:rPr>
          <w:rFonts w:ascii="Arial" w:cs="Arial" w:eastAsia="Arial" w:hAnsi="Arial"/>
          <w:sz w:val="18"/>
          <w:szCs w:val="18"/>
          <w:color w:val="2F2F2F"/>
        </w:rPr>
      </w:pPr>
    </w:p>
    <w:p>
      <w:pPr>
        <w:jc w:val="both"/>
        <w:ind w:left="2" w:hanging="2"/>
        <w:spacing w:after="0" w:line="261" w:lineRule="auto"/>
        <w:tabs>
          <w:tab w:leader="none" w:pos="351" w:val="left"/>
        </w:tabs>
        <w:numPr>
          <w:ilvl w:val="0"/>
          <w:numId w:val="113"/>
        </w:numPr>
        <w:rPr>
          <w:rFonts w:ascii="Arial" w:cs="Arial" w:eastAsia="Arial" w:hAnsi="Arial"/>
          <w:sz w:val="18"/>
          <w:szCs w:val="18"/>
          <w:color w:val="2F2F2F"/>
        </w:rPr>
      </w:pPr>
      <w:r>
        <w:rPr>
          <w:rFonts w:ascii="Arial" w:cs="Arial" w:eastAsia="Arial" w:hAnsi="Arial"/>
          <w:sz w:val="18"/>
          <w:szCs w:val="18"/>
          <w:color w:val="2F2F2F"/>
        </w:rPr>
        <w:t xml:space="preserve">"Work Costs" shall </w:t>
      </w:r>
      <w:r>
        <w:rPr>
          <w:rFonts w:ascii="Arial" w:cs="Arial" w:eastAsia="Arial" w:hAnsi="Arial"/>
          <w:sz w:val="18"/>
          <w:szCs w:val="18"/>
          <w:color w:val="161616"/>
        </w:rPr>
        <w:t>be</w:t>
      </w:r>
      <w:r>
        <w:rPr>
          <w:rFonts w:ascii="Arial" w:cs="Arial" w:eastAsia="Arial" w:hAnsi="Arial"/>
          <w:sz w:val="18"/>
          <w:szCs w:val="18"/>
          <w:color w:val="2F2F2F"/>
        </w:rPr>
        <w:t xml:space="preserve"> deemed to refer to the ES Costs, (vii) </w:t>
      </w:r>
      <w:r>
        <w:rPr>
          <w:rFonts w:ascii="Arial" w:cs="Arial" w:eastAsia="Arial" w:hAnsi="Arial"/>
          <w:sz w:val="18"/>
          <w:szCs w:val="18"/>
          <w:color w:val="494949"/>
        </w:rPr>
        <w:t>"Premises"</w:t>
      </w:r>
      <w:r>
        <w:rPr>
          <w:rFonts w:ascii="Arial" w:cs="Arial" w:eastAsia="Arial" w:hAnsi="Arial"/>
          <w:sz w:val="18"/>
          <w:szCs w:val="18"/>
          <w:color w:val="2F2F2F"/>
        </w:rPr>
        <w:t xml:space="preserve"> (or any Phase thereof) shall </w:t>
      </w:r>
      <w:r>
        <w:rPr>
          <w:rFonts w:ascii="Arial" w:cs="Arial" w:eastAsia="Arial" w:hAnsi="Arial"/>
          <w:sz w:val="18"/>
          <w:szCs w:val="18"/>
          <w:color w:val="161616"/>
        </w:rPr>
        <w:t>be deemed</w:t>
      </w:r>
      <w:r>
        <w:rPr>
          <w:rFonts w:ascii="Arial" w:cs="Arial" w:eastAsia="Arial" w:hAnsi="Arial"/>
          <w:sz w:val="18"/>
          <w:szCs w:val="18"/>
          <w:color w:val="2F2F2F"/>
        </w:rPr>
        <w:t xml:space="preserve"> to refer to the Expansion </w:t>
      </w:r>
      <w:r>
        <w:rPr>
          <w:rFonts w:ascii="Arial" w:cs="Arial" w:eastAsia="Arial" w:hAnsi="Arial"/>
          <w:sz w:val="18"/>
          <w:szCs w:val="18"/>
          <w:color w:val="161616"/>
        </w:rPr>
        <w:t>S</w:t>
      </w:r>
      <w:r>
        <w:rPr>
          <w:rFonts w:ascii="Arial" w:cs="Arial" w:eastAsia="Arial" w:hAnsi="Arial"/>
          <w:sz w:val="18"/>
          <w:szCs w:val="18"/>
          <w:color w:val="2F2F2F"/>
        </w:rPr>
        <w:t>pace</w:t>
      </w:r>
      <w:r>
        <w:rPr>
          <w:rFonts w:ascii="Arial" w:cs="Arial" w:eastAsia="Arial" w:hAnsi="Arial"/>
          <w:sz w:val="18"/>
          <w:szCs w:val="18"/>
          <w:color w:val="494949"/>
        </w:rPr>
        <w:t>,</w:t>
      </w:r>
      <w:r>
        <w:rPr>
          <w:rFonts w:ascii="Arial" w:cs="Arial" w:eastAsia="Arial" w:hAnsi="Arial"/>
          <w:sz w:val="18"/>
          <w:szCs w:val="18"/>
          <w:color w:val="2F2F2F"/>
        </w:rPr>
        <w:t xml:space="preserve"> (viii) </w:t>
      </w:r>
      <w:r>
        <w:rPr>
          <w:rFonts w:ascii="Arial" w:cs="Arial" w:eastAsia="Arial" w:hAnsi="Arial"/>
          <w:sz w:val="18"/>
          <w:szCs w:val="18"/>
          <w:color w:val="494949"/>
        </w:rPr>
        <w:t>"Estimated</w:t>
      </w:r>
      <w:r>
        <w:rPr>
          <w:rFonts w:ascii="Arial" w:cs="Arial" w:eastAsia="Arial" w:hAnsi="Arial"/>
          <w:sz w:val="18"/>
          <w:szCs w:val="18"/>
          <w:color w:val="2F2F2F"/>
        </w:rPr>
        <w:t xml:space="preserve"> Delivery Date" shall be deemed to refer to the Estimated ES Delivery Date, (ix) the "Plans" (or any of the </w:t>
      </w:r>
      <w:r>
        <w:rPr>
          <w:rFonts w:ascii="Arial" w:cs="Arial" w:eastAsia="Arial" w:hAnsi="Arial"/>
          <w:sz w:val="18"/>
          <w:szCs w:val="18"/>
          <w:color w:val="161616"/>
        </w:rPr>
        <w:t>plans</w:t>
      </w:r>
      <w:r>
        <w:rPr>
          <w:rFonts w:ascii="Arial" w:cs="Arial" w:eastAsia="Arial" w:hAnsi="Arial"/>
          <w:sz w:val="18"/>
          <w:szCs w:val="18"/>
          <w:color w:val="2F2F2F"/>
        </w:rPr>
        <w:t xml:space="preserve"> constituting the Plans) shall </w:t>
      </w:r>
      <w:r>
        <w:rPr>
          <w:rFonts w:ascii="Arial" w:cs="Arial" w:eastAsia="Arial" w:hAnsi="Arial"/>
          <w:sz w:val="18"/>
          <w:szCs w:val="18"/>
          <w:color w:val="161616"/>
        </w:rPr>
        <w:t>be</w:t>
      </w:r>
      <w:r>
        <w:rPr>
          <w:rFonts w:ascii="Arial" w:cs="Arial" w:eastAsia="Arial" w:hAnsi="Arial"/>
          <w:sz w:val="18"/>
          <w:szCs w:val="18"/>
          <w:color w:val="2F2F2F"/>
        </w:rPr>
        <w:t xml:space="preserve"> deemed to refer to the ES Plans (or the corresponding ES Plan), and (x) the "Shell Space" (or the Shell Space Allowance) shall be </w:t>
      </w:r>
      <w:r>
        <w:rPr>
          <w:rFonts w:ascii="Arial" w:cs="Arial" w:eastAsia="Arial" w:hAnsi="Arial"/>
          <w:sz w:val="18"/>
          <w:szCs w:val="18"/>
          <w:color w:val="161616"/>
        </w:rPr>
        <w:t>deemed</w:t>
      </w:r>
      <w:r>
        <w:rPr>
          <w:rFonts w:ascii="Arial" w:cs="Arial" w:eastAsia="Arial" w:hAnsi="Arial"/>
          <w:sz w:val="18"/>
          <w:szCs w:val="18"/>
          <w:color w:val="2F2F2F"/>
        </w:rPr>
        <w:t xml:space="preserve"> to refer to the ES Shell Space (or the ES Shell Space </w:t>
      </w:r>
      <w:r>
        <w:rPr>
          <w:rFonts w:ascii="Arial" w:cs="Arial" w:eastAsia="Arial" w:hAnsi="Arial"/>
          <w:sz w:val="18"/>
          <w:szCs w:val="18"/>
          <w:color w:val="161616"/>
        </w:rPr>
        <w:t>Allowance).</w:t>
      </w:r>
    </w:p>
    <w:p>
      <w:pPr>
        <w:spacing w:after="0" w:line="55" w:lineRule="exact"/>
        <w:rPr>
          <w:rFonts w:ascii="Arial" w:cs="Arial" w:eastAsia="Arial" w:hAnsi="Arial"/>
          <w:sz w:val="18"/>
          <w:szCs w:val="18"/>
          <w:color w:val="2F2F2F"/>
        </w:rPr>
      </w:pPr>
    </w:p>
    <w:p>
      <w:pPr>
        <w:jc w:val="both"/>
        <w:ind w:left="2" w:firstLine="754"/>
        <w:spacing w:after="0" w:line="254" w:lineRule="auto"/>
        <w:tabs>
          <w:tab w:leader="none" w:pos="1490" w:val="left"/>
        </w:tabs>
        <w:numPr>
          <w:ilvl w:val="2"/>
          <w:numId w:val="113"/>
        </w:numPr>
        <w:rPr>
          <w:rFonts w:ascii="Arial" w:cs="Arial" w:eastAsia="Arial" w:hAnsi="Arial"/>
          <w:sz w:val="18"/>
          <w:szCs w:val="18"/>
          <w:u w:val="single" w:color="auto"/>
          <w:color w:val="2F2F2F"/>
        </w:rPr>
      </w:pPr>
      <w:r>
        <w:rPr>
          <w:rFonts w:ascii="Arial" w:cs="Arial" w:eastAsia="Arial" w:hAnsi="Arial"/>
          <w:sz w:val="18"/>
          <w:szCs w:val="18"/>
          <w:u w:val="single" w:color="auto"/>
          <w:color w:val="2F2F2F"/>
        </w:rPr>
        <w:t>Tenant's ES Fitout.</w:t>
      </w:r>
      <w:r>
        <w:rPr>
          <w:rFonts w:ascii="Arial" w:cs="Arial" w:eastAsia="Arial" w:hAnsi="Arial"/>
          <w:sz w:val="18"/>
          <w:szCs w:val="18"/>
          <w:color w:val="2F2F2F"/>
        </w:rPr>
        <w:t xml:space="preserve"> Landlord, at Landlord's sole cost and expense (subject to </w:t>
      </w:r>
      <w:r>
        <w:rPr>
          <w:rFonts w:ascii="Arial" w:cs="Arial" w:eastAsia="Arial" w:hAnsi="Arial"/>
          <w:sz w:val="18"/>
          <w:szCs w:val="18"/>
          <w:u w:val="single" w:color="auto"/>
          <w:color w:val="2F2F2F"/>
        </w:rPr>
        <w:t>Section 3(h)</w:t>
      </w:r>
      <w:r>
        <w:rPr>
          <w:rFonts w:ascii="Arial" w:cs="Arial" w:eastAsia="Arial" w:hAnsi="Arial"/>
          <w:sz w:val="18"/>
          <w:szCs w:val="18"/>
          <w:color w:val="2F2F2F"/>
        </w:rPr>
        <w:t xml:space="preserve"> below), shall engage the Approved Contractor to construct all of </w:t>
      </w:r>
      <w:r>
        <w:rPr>
          <w:rFonts w:ascii="Arial" w:cs="Arial" w:eastAsia="Arial" w:hAnsi="Arial"/>
          <w:sz w:val="18"/>
          <w:szCs w:val="18"/>
          <w:color w:val="161616"/>
        </w:rPr>
        <w:t>the</w:t>
      </w:r>
      <w:r>
        <w:rPr>
          <w:rFonts w:ascii="Arial" w:cs="Arial" w:eastAsia="Arial" w:hAnsi="Arial"/>
          <w:sz w:val="18"/>
          <w:szCs w:val="18"/>
          <w:color w:val="2F2F2F"/>
        </w:rPr>
        <w:t xml:space="preserve"> improvements set forth in the Final ES Plans (hereinafter </w:t>
      </w:r>
      <w:r>
        <w:rPr>
          <w:rFonts w:ascii="Arial" w:cs="Arial" w:eastAsia="Arial" w:hAnsi="Arial"/>
          <w:sz w:val="18"/>
          <w:szCs w:val="18"/>
          <w:color w:val="161616"/>
        </w:rPr>
        <w:t>defined)</w:t>
      </w:r>
      <w:r>
        <w:rPr>
          <w:rFonts w:ascii="Arial" w:cs="Arial" w:eastAsia="Arial" w:hAnsi="Arial"/>
          <w:sz w:val="18"/>
          <w:szCs w:val="18"/>
          <w:color w:val="2F2F2F"/>
        </w:rPr>
        <w:t xml:space="preserve"> using new materials of the </w:t>
      </w:r>
      <w:r>
        <w:rPr>
          <w:rFonts w:ascii="Arial" w:cs="Arial" w:eastAsia="Arial" w:hAnsi="Arial"/>
          <w:sz w:val="18"/>
          <w:szCs w:val="18"/>
          <w:color w:val="161616"/>
        </w:rPr>
        <w:t>quality</w:t>
      </w:r>
      <w:r>
        <w:rPr>
          <w:rFonts w:ascii="Arial" w:cs="Arial" w:eastAsia="Arial" w:hAnsi="Arial"/>
          <w:sz w:val="18"/>
          <w:szCs w:val="18"/>
          <w:color w:val="2F2F2F"/>
        </w:rPr>
        <w:t xml:space="preserve"> called for in such </w:t>
      </w:r>
      <w:r>
        <w:rPr>
          <w:rFonts w:ascii="Arial" w:cs="Arial" w:eastAsia="Arial" w:hAnsi="Arial"/>
          <w:sz w:val="18"/>
          <w:szCs w:val="18"/>
          <w:color w:val="161616"/>
        </w:rPr>
        <w:t>p</w:t>
      </w:r>
      <w:r>
        <w:rPr>
          <w:rFonts w:ascii="Arial" w:cs="Arial" w:eastAsia="Arial" w:hAnsi="Arial"/>
          <w:sz w:val="18"/>
          <w:szCs w:val="18"/>
          <w:color w:val="2F2F2F"/>
        </w:rPr>
        <w:t>lans</w:t>
      </w:r>
      <w:r>
        <w:rPr>
          <w:rFonts w:ascii="Arial" w:cs="Arial" w:eastAsia="Arial" w:hAnsi="Arial"/>
          <w:sz w:val="18"/>
          <w:szCs w:val="18"/>
          <w:color w:val="494949"/>
        </w:rPr>
        <w:t>,</w:t>
      </w:r>
      <w:r>
        <w:rPr>
          <w:rFonts w:ascii="Arial" w:cs="Arial" w:eastAsia="Arial" w:hAnsi="Arial"/>
          <w:sz w:val="18"/>
          <w:szCs w:val="18"/>
          <w:color w:val="2F2F2F"/>
        </w:rPr>
        <w:t xml:space="preserve"> in a good and workmanlike manner, and in accordance with all Legal Requirements. </w:t>
      </w:r>
      <w:r>
        <w:rPr>
          <w:rFonts w:ascii="Arial" w:cs="Arial" w:eastAsia="Arial" w:hAnsi="Arial"/>
          <w:sz w:val="18"/>
          <w:szCs w:val="18"/>
          <w:color w:val="161616"/>
        </w:rPr>
        <w:t>Subject</w:t>
      </w:r>
      <w:r>
        <w:rPr>
          <w:rFonts w:ascii="Arial" w:cs="Arial" w:eastAsia="Arial" w:hAnsi="Arial"/>
          <w:sz w:val="18"/>
          <w:szCs w:val="18"/>
          <w:color w:val="2F2F2F"/>
        </w:rPr>
        <w:t xml:space="preserve"> to </w:t>
      </w:r>
      <w:r>
        <w:rPr>
          <w:rFonts w:ascii="Arial" w:cs="Arial" w:eastAsia="Arial" w:hAnsi="Arial"/>
          <w:sz w:val="18"/>
          <w:szCs w:val="18"/>
          <w:color w:val="161616"/>
        </w:rPr>
        <w:t xml:space="preserve">day-for-day </w:t>
      </w:r>
      <w:r>
        <w:rPr>
          <w:rFonts w:ascii="Arial" w:cs="Arial" w:eastAsia="Arial" w:hAnsi="Arial"/>
          <w:sz w:val="18"/>
          <w:szCs w:val="18"/>
          <w:color w:val="2F2F2F"/>
        </w:rPr>
        <w:t>delays on account of Landlord's Force Majeure and</w:t>
      </w:r>
      <w:r>
        <w:rPr>
          <w:rFonts w:ascii="Arial" w:cs="Arial" w:eastAsia="Arial" w:hAnsi="Arial"/>
          <w:sz w:val="18"/>
          <w:szCs w:val="18"/>
          <w:color w:val="161616"/>
        </w:rPr>
        <w:t xml:space="preserve"> </w:t>
      </w:r>
      <w:r>
        <w:rPr>
          <w:rFonts w:ascii="Arial" w:cs="Arial" w:eastAsia="Arial" w:hAnsi="Arial"/>
          <w:sz w:val="18"/>
          <w:szCs w:val="18"/>
          <w:color w:val="494949"/>
        </w:rPr>
        <w:t>Tenant</w:t>
      </w:r>
      <w:r>
        <w:rPr>
          <w:rFonts w:ascii="Arial" w:cs="Arial" w:eastAsia="Arial" w:hAnsi="Arial"/>
          <w:sz w:val="18"/>
          <w:szCs w:val="18"/>
          <w:color w:val="161616"/>
        </w:rPr>
        <w:t xml:space="preserve"> </w:t>
      </w:r>
      <w:r>
        <w:rPr>
          <w:rFonts w:ascii="Arial" w:cs="Arial" w:eastAsia="Arial" w:hAnsi="Arial"/>
          <w:sz w:val="18"/>
          <w:szCs w:val="18"/>
          <w:color w:val="2F2F2F"/>
        </w:rPr>
        <w:t>Delays, Landlord shall use commercially reasonable efforts to</w:t>
      </w:r>
      <w:r>
        <w:rPr>
          <w:rFonts w:ascii="Arial" w:cs="Arial" w:eastAsia="Arial" w:hAnsi="Arial"/>
          <w:sz w:val="18"/>
          <w:szCs w:val="18"/>
          <w:color w:val="161616"/>
        </w:rPr>
        <w:t xml:space="preserve"> </w:t>
      </w:r>
      <w:r>
        <w:rPr>
          <w:rFonts w:ascii="Arial" w:cs="Arial" w:eastAsia="Arial" w:hAnsi="Arial"/>
          <w:sz w:val="18"/>
          <w:szCs w:val="18"/>
          <w:color w:val="2F2F2F"/>
        </w:rPr>
        <w:t xml:space="preserve">substantially complete </w:t>
      </w:r>
      <w:r>
        <w:rPr>
          <w:rFonts w:ascii="Arial" w:cs="Arial" w:eastAsia="Arial" w:hAnsi="Arial"/>
          <w:sz w:val="18"/>
          <w:szCs w:val="18"/>
          <w:color w:val="494949"/>
        </w:rPr>
        <w:t>Tenant's</w:t>
      </w:r>
      <w:r>
        <w:rPr>
          <w:rFonts w:ascii="Arial" w:cs="Arial" w:eastAsia="Arial" w:hAnsi="Arial"/>
          <w:sz w:val="18"/>
          <w:szCs w:val="18"/>
          <w:color w:val="2F2F2F"/>
        </w:rPr>
        <w:t xml:space="preserve"> ES </w:t>
      </w:r>
      <w:r>
        <w:rPr>
          <w:rFonts w:ascii="Arial" w:cs="Arial" w:eastAsia="Arial" w:hAnsi="Arial"/>
          <w:sz w:val="18"/>
          <w:szCs w:val="18"/>
          <w:color w:val="494949"/>
        </w:rPr>
        <w:t>F</w:t>
      </w:r>
      <w:r>
        <w:rPr>
          <w:rFonts w:ascii="Arial" w:cs="Arial" w:eastAsia="Arial" w:hAnsi="Arial"/>
          <w:sz w:val="18"/>
          <w:szCs w:val="18"/>
          <w:color w:val="161616"/>
        </w:rPr>
        <w:t>i</w:t>
      </w:r>
      <w:r>
        <w:rPr>
          <w:rFonts w:ascii="Arial" w:cs="Arial" w:eastAsia="Arial" w:hAnsi="Arial"/>
          <w:sz w:val="18"/>
          <w:szCs w:val="18"/>
          <w:color w:val="2F2F2F"/>
        </w:rPr>
        <w:t>tou</w:t>
      </w:r>
      <w:r>
        <w:rPr>
          <w:rFonts w:ascii="Arial" w:cs="Arial" w:eastAsia="Arial" w:hAnsi="Arial"/>
          <w:sz w:val="18"/>
          <w:szCs w:val="18"/>
          <w:color w:val="494949"/>
        </w:rPr>
        <w:t>t</w:t>
      </w:r>
      <w:r>
        <w:rPr>
          <w:rFonts w:ascii="Arial" w:cs="Arial" w:eastAsia="Arial" w:hAnsi="Arial"/>
          <w:sz w:val="18"/>
          <w:szCs w:val="18"/>
          <w:color w:val="2F2F2F"/>
        </w:rPr>
        <w:t xml:space="preserve"> on or before January </w:t>
      </w:r>
      <w:r>
        <w:rPr>
          <w:rFonts w:ascii="Arial" w:cs="Arial" w:eastAsia="Arial" w:hAnsi="Arial"/>
          <w:sz w:val="18"/>
          <w:szCs w:val="18"/>
          <w:color w:val="161616"/>
        </w:rPr>
        <w:t>1</w:t>
      </w:r>
      <w:r>
        <w:rPr>
          <w:rFonts w:ascii="Arial" w:cs="Arial" w:eastAsia="Arial" w:hAnsi="Arial"/>
          <w:sz w:val="18"/>
          <w:szCs w:val="18"/>
          <w:color w:val="2F2F2F"/>
        </w:rPr>
        <w:t>5</w:t>
      </w:r>
      <w:r>
        <w:rPr>
          <w:rFonts w:ascii="Arial" w:cs="Arial" w:eastAsia="Arial" w:hAnsi="Arial"/>
          <w:sz w:val="18"/>
          <w:szCs w:val="18"/>
          <w:color w:val="494949"/>
        </w:rPr>
        <w:t>,</w:t>
      </w:r>
      <w:r>
        <w:rPr>
          <w:rFonts w:ascii="Arial" w:cs="Arial" w:eastAsia="Arial" w:hAnsi="Arial"/>
          <w:sz w:val="18"/>
          <w:szCs w:val="18"/>
          <w:color w:val="2F2F2F"/>
        </w:rPr>
        <w:t xml:space="preserve"> 2023 (the </w:t>
      </w:r>
      <w:r>
        <w:rPr>
          <w:rFonts w:ascii="Arial" w:cs="Arial" w:eastAsia="Arial" w:hAnsi="Arial"/>
          <w:sz w:val="18"/>
          <w:szCs w:val="18"/>
          <w:u w:val="single" w:color="auto"/>
          <w:color w:val="2F2F2F"/>
        </w:rPr>
        <w:t>"Estimated ES Delivery Date").</w:t>
      </w:r>
      <w:r>
        <w:rPr>
          <w:rFonts w:ascii="Arial" w:cs="Arial" w:eastAsia="Arial" w:hAnsi="Arial"/>
          <w:sz w:val="18"/>
          <w:szCs w:val="18"/>
          <w:color w:val="2F2F2F"/>
        </w:rPr>
        <w:t xml:space="preserve"> Subject to </w:t>
      </w:r>
      <w:r>
        <w:rPr>
          <w:rFonts w:ascii="Arial" w:cs="Arial" w:eastAsia="Arial" w:hAnsi="Arial"/>
          <w:sz w:val="18"/>
          <w:szCs w:val="18"/>
          <w:color w:val="161616"/>
        </w:rPr>
        <w:t>performance</w:t>
      </w:r>
      <w:r>
        <w:rPr>
          <w:rFonts w:ascii="Arial" w:cs="Arial" w:eastAsia="Arial" w:hAnsi="Arial"/>
          <w:sz w:val="18"/>
          <w:szCs w:val="18"/>
          <w:color w:val="2F2F2F"/>
        </w:rPr>
        <w:t xml:space="preserve"> of the TESF Punchlist Items, Landlord will be deemed to have fully performed all of its obligations under this </w:t>
      </w:r>
      <w:r>
        <w:rPr>
          <w:rFonts w:ascii="Arial" w:cs="Arial" w:eastAsia="Arial" w:hAnsi="Arial"/>
          <w:sz w:val="18"/>
          <w:szCs w:val="18"/>
          <w:u w:val="single" w:color="auto"/>
          <w:color w:val="2F2F2F"/>
        </w:rPr>
        <w:t>Section 3</w:t>
      </w:r>
      <w:r>
        <w:rPr>
          <w:rFonts w:ascii="Arial" w:cs="Arial" w:eastAsia="Arial" w:hAnsi="Arial"/>
          <w:sz w:val="18"/>
          <w:szCs w:val="18"/>
          <w:color w:val="2F2F2F"/>
        </w:rPr>
        <w:t xml:space="preserve"> upon the ES Commencement </w:t>
      </w:r>
      <w:r>
        <w:rPr>
          <w:rFonts w:ascii="Arial" w:cs="Arial" w:eastAsia="Arial" w:hAnsi="Arial"/>
          <w:sz w:val="18"/>
          <w:szCs w:val="18"/>
          <w:color w:val="161616"/>
        </w:rPr>
        <w:t>Date:</w:t>
      </w:r>
      <w:r>
        <w:rPr>
          <w:rFonts w:ascii="Arial" w:cs="Arial" w:eastAsia="Arial" w:hAnsi="Arial"/>
          <w:sz w:val="18"/>
          <w:szCs w:val="18"/>
          <w:color w:val="2F2F2F"/>
        </w:rPr>
        <w:t xml:space="preserve"> </w:t>
      </w:r>
      <w:r>
        <w:rPr>
          <w:rFonts w:ascii="Arial" w:cs="Arial" w:eastAsia="Arial" w:hAnsi="Arial"/>
          <w:sz w:val="18"/>
          <w:szCs w:val="18"/>
          <w:u w:val="single" w:color="auto"/>
          <w:color w:val="2F2F2F"/>
        </w:rPr>
        <w:t>provided, however,</w:t>
      </w:r>
      <w:r>
        <w:rPr>
          <w:rFonts w:ascii="Arial" w:cs="Arial" w:eastAsia="Arial" w:hAnsi="Arial"/>
          <w:sz w:val="18"/>
          <w:szCs w:val="18"/>
          <w:color w:val="2F2F2F"/>
        </w:rPr>
        <w:t xml:space="preserve"> if timely notice has been given and if Landlord has the </w:t>
      </w:r>
      <w:r>
        <w:rPr>
          <w:rFonts w:ascii="Arial" w:cs="Arial" w:eastAsia="Arial" w:hAnsi="Arial"/>
          <w:sz w:val="18"/>
          <w:szCs w:val="18"/>
          <w:color w:val="161616"/>
        </w:rPr>
        <w:t>benefit</w:t>
      </w:r>
      <w:r>
        <w:rPr>
          <w:rFonts w:ascii="Arial" w:cs="Arial" w:eastAsia="Arial" w:hAnsi="Arial"/>
          <w:sz w:val="18"/>
          <w:szCs w:val="18"/>
          <w:color w:val="2F2F2F"/>
        </w:rPr>
        <w:t xml:space="preserve"> of any guarantees, contract rights, or other claims against contractors, material men or architects, Landlord shall, with regard </w:t>
      </w:r>
      <w:r>
        <w:rPr>
          <w:rFonts w:ascii="Arial" w:cs="Arial" w:eastAsia="Arial" w:hAnsi="Arial"/>
          <w:sz w:val="18"/>
          <w:szCs w:val="18"/>
          <w:color w:val="494949"/>
        </w:rPr>
        <w:t>to</w:t>
      </w:r>
      <w:r>
        <w:rPr>
          <w:rFonts w:ascii="Arial" w:cs="Arial" w:eastAsia="Arial" w:hAnsi="Arial"/>
          <w:sz w:val="18"/>
          <w:szCs w:val="18"/>
          <w:color w:val="2F2F2F"/>
        </w:rPr>
        <w:t xml:space="preserve"> any </w:t>
      </w:r>
      <w:r>
        <w:rPr>
          <w:rFonts w:ascii="Arial" w:cs="Arial" w:eastAsia="Arial" w:hAnsi="Arial"/>
          <w:sz w:val="18"/>
          <w:szCs w:val="18"/>
          <w:color w:val="161616"/>
        </w:rPr>
        <w:t>defects</w:t>
      </w:r>
      <w:r>
        <w:rPr>
          <w:rFonts w:ascii="Arial" w:cs="Arial" w:eastAsia="Arial" w:hAnsi="Arial"/>
          <w:sz w:val="18"/>
          <w:szCs w:val="18"/>
          <w:color w:val="2F2F2F"/>
        </w:rPr>
        <w:t xml:space="preserve"> in Tenant's ES Fitout, exercise commercially reasonable efforts (which shall not require any </w:t>
      </w:r>
      <w:r>
        <w:rPr>
          <w:rFonts w:ascii="Arial" w:cs="Arial" w:eastAsia="Arial" w:hAnsi="Arial"/>
          <w:sz w:val="18"/>
          <w:szCs w:val="18"/>
          <w:color w:val="161616"/>
        </w:rPr>
        <w:t>litigation</w:t>
      </w:r>
      <w:r>
        <w:rPr>
          <w:rFonts w:ascii="Arial" w:cs="Arial" w:eastAsia="Arial" w:hAnsi="Arial"/>
          <w:sz w:val="18"/>
          <w:szCs w:val="18"/>
          <w:color w:val="2F2F2F"/>
        </w:rPr>
        <w:t xml:space="preserve"> or alternative dispute resolution) </w:t>
      </w:r>
      <w:r>
        <w:rPr>
          <w:rFonts w:ascii="Arial" w:cs="Arial" w:eastAsia="Arial" w:hAnsi="Arial"/>
          <w:sz w:val="18"/>
          <w:szCs w:val="18"/>
          <w:color w:val="494949"/>
        </w:rPr>
        <w:t>to</w:t>
      </w:r>
      <w:r>
        <w:rPr>
          <w:rFonts w:ascii="Arial" w:cs="Arial" w:eastAsia="Arial" w:hAnsi="Arial"/>
          <w:sz w:val="18"/>
          <w:szCs w:val="18"/>
          <w:color w:val="2F2F2F"/>
        </w:rPr>
        <w:t xml:space="preserve"> enforce such guarantees or contract rights; </w:t>
      </w:r>
      <w:r>
        <w:rPr>
          <w:rFonts w:ascii="Arial" w:cs="Arial" w:eastAsia="Arial" w:hAnsi="Arial"/>
          <w:sz w:val="18"/>
          <w:szCs w:val="18"/>
          <w:u w:val="single" w:color="auto"/>
          <w:color w:val="2F2F2F"/>
        </w:rPr>
        <w:t>provided, further,</w:t>
      </w:r>
      <w:r>
        <w:rPr>
          <w:rFonts w:ascii="Arial" w:cs="Arial" w:eastAsia="Arial" w:hAnsi="Arial"/>
          <w:sz w:val="18"/>
          <w:szCs w:val="18"/>
          <w:color w:val="2F2F2F"/>
        </w:rPr>
        <w:t xml:space="preserve"> Landlord shall have no such obligation with respect to any (A) </w:t>
      </w:r>
      <w:r>
        <w:rPr>
          <w:rFonts w:ascii="Arial" w:cs="Arial" w:eastAsia="Arial" w:hAnsi="Arial"/>
          <w:sz w:val="18"/>
          <w:szCs w:val="18"/>
          <w:color w:val="161616"/>
        </w:rPr>
        <w:t>defect(s)</w:t>
      </w:r>
      <w:r>
        <w:rPr>
          <w:rFonts w:ascii="Arial" w:cs="Arial" w:eastAsia="Arial" w:hAnsi="Arial"/>
          <w:sz w:val="18"/>
          <w:szCs w:val="18"/>
          <w:color w:val="2F2F2F"/>
        </w:rPr>
        <w:t xml:space="preserve"> in the Final ES Plans, (B) manufacturer's </w:t>
      </w:r>
      <w:r>
        <w:rPr>
          <w:rFonts w:ascii="Arial" w:cs="Arial" w:eastAsia="Arial" w:hAnsi="Arial"/>
          <w:sz w:val="18"/>
          <w:szCs w:val="18"/>
          <w:color w:val="161616"/>
        </w:rPr>
        <w:t>defects</w:t>
      </w:r>
      <w:r>
        <w:rPr>
          <w:rFonts w:ascii="Arial" w:cs="Arial" w:eastAsia="Arial" w:hAnsi="Arial"/>
          <w:sz w:val="18"/>
          <w:szCs w:val="18"/>
          <w:color w:val="2F2F2F"/>
        </w:rPr>
        <w:t xml:space="preserve"> with respect to any equipment or fixtures </w:t>
      </w:r>
      <w:r>
        <w:rPr>
          <w:rFonts w:ascii="Arial" w:cs="Arial" w:eastAsia="Arial" w:hAnsi="Arial"/>
          <w:sz w:val="18"/>
          <w:szCs w:val="18"/>
          <w:color w:val="161616"/>
        </w:rPr>
        <w:t>purchased directly by</w:t>
      </w:r>
      <w:r>
        <w:rPr>
          <w:rFonts w:ascii="Arial" w:cs="Arial" w:eastAsia="Arial" w:hAnsi="Arial"/>
          <w:sz w:val="18"/>
          <w:szCs w:val="18"/>
          <w:color w:val="2F2F2F"/>
        </w:rPr>
        <w:t xml:space="preserve"> Tenant, nor (C) with respect to any </w:t>
      </w:r>
      <w:r>
        <w:rPr>
          <w:rFonts w:ascii="Arial" w:cs="Arial" w:eastAsia="Arial" w:hAnsi="Arial"/>
          <w:sz w:val="18"/>
          <w:szCs w:val="18"/>
          <w:color w:val="161616"/>
        </w:rPr>
        <w:t>defect(s)</w:t>
      </w:r>
      <w:r>
        <w:rPr>
          <w:rFonts w:ascii="Arial" w:cs="Arial" w:eastAsia="Arial" w:hAnsi="Arial"/>
          <w:sz w:val="18"/>
          <w:szCs w:val="18"/>
          <w:color w:val="2F2F2F"/>
        </w:rPr>
        <w:t xml:space="preserve"> resulting from (w) misuse, (x) </w:t>
      </w:r>
      <w:r>
        <w:rPr>
          <w:rFonts w:ascii="Arial" w:cs="Arial" w:eastAsia="Arial" w:hAnsi="Arial"/>
          <w:sz w:val="18"/>
          <w:szCs w:val="18"/>
          <w:color w:val="494949"/>
        </w:rPr>
        <w:t>Tenant's</w:t>
      </w:r>
      <w:r>
        <w:rPr>
          <w:rFonts w:ascii="Arial" w:cs="Arial" w:eastAsia="Arial" w:hAnsi="Arial"/>
          <w:sz w:val="18"/>
          <w:szCs w:val="18"/>
          <w:color w:val="2F2F2F"/>
        </w:rPr>
        <w:t xml:space="preserve"> breach of its maintenance and repair obligations under the Lease, (y) the negligence or willful misconduct of any Tenant Party, or (z) reasonable wear and tear.</w:t>
      </w:r>
    </w:p>
    <w:p>
      <w:pPr>
        <w:spacing w:after="0" w:line="68" w:lineRule="exact"/>
        <w:rPr>
          <w:rFonts w:ascii="Arial" w:cs="Arial" w:eastAsia="Arial" w:hAnsi="Arial"/>
          <w:sz w:val="18"/>
          <w:szCs w:val="18"/>
          <w:u w:val="single" w:color="auto"/>
          <w:color w:val="2F2F2F"/>
        </w:rPr>
      </w:pPr>
    </w:p>
    <w:p>
      <w:pPr>
        <w:jc w:val="both"/>
        <w:ind w:left="2" w:firstLine="753"/>
        <w:spacing w:after="0" w:line="263" w:lineRule="auto"/>
        <w:tabs>
          <w:tab w:leader="none" w:pos="1491" w:val="left"/>
        </w:tabs>
        <w:numPr>
          <w:ilvl w:val="2"/>
          <w:numId w:val="113"/>
        </w:numPr>
        <w:rPr>
          <w:rFonts w:ascii="Arial" w:cs="Arial" w:eastAsia="Arial" w:hAnsi="Arial"/>
          <w:sz w:val="18"/>
          <w:szCs w:val="18"/>
          <w:u w:val="single" w:color="auto"/>
          <w:color w:val="2F2F2F"/>
        </w:rPr>
      </w:pPr>
      <w:r>
        <w:rPr>
          <w:rFonts w:ascii="Arial" w:cs="Arial" w:eastAsia="Arial" w:hAnsi="Arial"/>
          <w:sz w:val="18"/>
          <w:szCs w:val="18"/>
          <w:u w:val="single" w:color="auto"/>
          <w:color w:val="2F2F2F"/>
        </w:rPr>
        <w:t>Schedule.</w:t>
      </w:r>
      <w:r>
        <w:rPr>
          <w:rFonts w:ascii="Arial" w:cs="Arial" w:eastAsia="Arial" w:hAnsi="Arial"/>
          <w:sz w:val="18"/>
          <w:szCs w:val="18"/>
          <w:color w:val="2F2F2F"/>
        </w:rPr>
        <w:t xml:space="preserve"> </w:t>
      </w:r>
      <w:r>
        <w:rPr>
          <w:rFonts w:ascii="Arial" w:cs="Arial" w:eastAsia="Arial" w:hAnsi="Arial"/>
          <w:sz w:val="18"/>
          <w:szCs w:val="18"/>
          <w:color w:val="161616"/>
        </w:rPr>
        <w:t>Attached</w:t>
      </w:r>
      <w:r>
        <w:rPr>
          <w:rFonts w:ascii="Arial" w:cs="Arial" w:eastAsia="Arial" w:hAnsi="Arial"/>
          <w:sz w:val="18"/>
          <w:szCs w:val="18"/>
          <w:color w:val="2F2F2F"/>
        </w:rPr>
        <w:t xml:space="preserve"> hereto as </w:t>
      </w:r>
      <w:r>
        <w:rPr>
          <w:rFonts w:ascii="Arial" w:cs="Arial" w:eastAsia="Arial" w:hAnsi="Arial"/>
          <w:sz w:val="18"/>
          <w:szCs w:val="18"/>
          <w:u w:val="single" w:color="auto"/>
          <w:color w:val="2F2F2F"/>
        </w:rPr>
        <w:t>Exhibit B</w:t>
      </w:r>
      <w:r>
        <w:rPr>
          <w:rFonts w:ascii="Arial" w:cs="Arial" w:eastAsia="Arial" w:hAnsi="Arial"/>
          <w:sz w:val="18"/>
          <w:szCs w:val="18"/>
          <w:color w:val="2F2F2F"/>
        </w:rPr>
        <w:t xml:space="preserve"> </w:t>
      </w:r>
      <w:r>
        <w:rPr>
          <w:rFonts w:ascii="Arial" w:cs="Arial" w:eastAsia="Arial" w:hAnsi="Arial"/>
          <w:sz w:val="18"/>
          <w:szCs w:val="18"/>
          <w:color w:val="161616"/>
        </w:rPr>
        <w:t>is</w:t>
      </w:r>
      <w:r>
        <w:rPr>
          <w:rFonts w:ascii="Arial" w:cs="Arial" w:eastAsia="Arial" w:hAnsi="Arial"/>
          <w:sz w:val="18"/>
          <w:szCs w:val="18"/>
          <w:color w:val="2F2F2F"/>
        </w:rPr>
        <w:t xml:space="preserve"> the estimated schedule for design and construction </w:t>
      </w:r>
      <w:r>
        <w:rPr>
          <w:rFonts w:ascii="Arial" w:cs="Arial" w:eastAsia="Arial" w:hAnsi="Arial"/>
          <w:sz w:val="18"/>
          <w:szCs w:val="18"/>
          <w:color w:val="161616"/>
        </w:rPr>
        <w:t>phases</w:t>
      </w:r>
      <w:r>
        <w:rPr>
          <w:rFonts w:ascii="Arial" w:cs="Arial" w:eastAsia="Arial" w:hAnsi="Arial"/>
          <w:sz w:val="18"/>
          <w:szCs w:val="18"/>
          <w:color w:val="2F2F2F"/>
        </w:rPr>
        <w:t xml:space="preserve"> of Tenant's ES Fitout (as the same </w:t>
      </w:r>
      <w:r>
        <w:rPr>
          <w:rFonts w:ascii="Arial" w:cs="Arial" w:eastAsia="Arial" w:hAnsi="Arial"/>
          <w:sz w:val="18"/>
          <w:szCs w:val="18"/>
          <w:color w:val="161616"/>
        </w:rPr>
        <w:t>is</w:t>
      </w:r>
      <w:r>
        <w:rPr>
          <w:rFonts w:ascii="Arial" w:cs="Arial" w:eastAsia="Arial" w:hAnsi="Arial"/>
          <w:sz w:val="18"/>
          <w:szCs w:val="18"/>
          <w:color w:val="2F2F2F"/>
        </w:rPr>
        <w:t xml:space="preserve"> updated pursuant to the terms hereof, the </w:t>
      </w:r>
      <w:r>
        <w:rPr>
          <w:rFonts w:ascii="Arial" w:cs="Arial" w:eastAsia="Arial" w:hAnsi="Arial"/>
          <w:sz w:val="18"/>
          <w:szCs w:val="18"/>
          <w:u w:val="single" w:color="auto"/>
          <w:color w:val="2F2F2F"/>
        </w:rPr>
        <w:t>"ES Construction Schedule").</w:t>
      </w:r>
      <w:r>
        <w:rPr>
          <w:rFonts w:ascii="Arial" w:cs="Arial" w:eastAsia="Arial" w:hAnsi="Arial"/>
          <w:sz w:val="18"/>
          <w:szCs w:val="18"/>
          <w:color w:val="2F2F2F"/>
        </w:rPr>
        <w:t xml:space="preserve"> </w:t>
      </w:r>
      <w:r>
        <w:rPr>
          <w:rFonts w:ascii="Arial" w:cs="Arial" w:eastAsia="Arial" w:hAnsi="Arial"/>
          <w:sz w:val="18"/>
          <w:szCs w:val="18"/>
          <w:color w:val="161616"/>
        </w:rPr>
        <w:t>During</w:t>
      </w:r>
      <w:r>
        <w:rPr>
          <w:rFonts w:ascii="Arial" w:cs="Arial" w:eastAsia="Arial" w:hAnsi="Arial"/>
          <w:sz w:val="18"/>
          <w:szCs w:val="18"/>
          <w:color w:val="2F2F2F"/>
        </w:rPr>
        <w:t xml:space="preserve"> the course of </w:t>
      </w:r>
      <w:r>
        <w:rPr>
          <w:rFonts w:ascii="Arial" w:cs="Arial" w:eastAsia="Arial" w:hAnsi="Arial"/>
          <w:sz w:val="18"/>
          <w:szCs w:val="18"/>
          <w:color w:val="161616"/>
        </w:rPr>
        <w:t>design</w:t>
      </w:r>
      <w:r>
        <w:rPr>
          <w:rFonts w:ascii="Arial" w:cs="Arial" w:eastAsia="Arial" w:hAnsi="Arial"/>
          <w:sz w:val="18"/>
          <w:szCs w:val="18"/>
          <w:color w:val="2F2F2F"/>
        </w:rPr>
        <w:t xml:space="preserve"> and construction of Tenant's ES Fitout, Landlord shall cause the ES Construction </w:t>
      </w:r>
      <w:r>
        <w:rPr>
          <w:rFonts w:ascii="Arial" w:cs="Arial" w:eastAsia="Arial" w:hAnsi="Arial"/>
          <w:sz w:val="18"/>
          <w:szCs w:val="18"/>
          <w:color w:val="161616"/>
        </w:rPr>
        <w:t>Schedule</w:t>
      </w:r>
      <w:r>
        <w:rPr>
          <w:rFonts w:ascii="Arial" w:cs="Arial" w:eastAsia="Arial" w:hAnsi="Arial"/>
          <w:sz w:val="18"/>
          <w:szCs w:val="18"/>
          <w:color w:val="2F2F2F"/>
        </w:rPr>
        <w:t xml:space="preserve"> to </w:t>
      </w:r>
      <w:r>
        <w:rPr>
          <w:rFonts w:ascii="Arial" w:cs="Arial" w:eastAsia="Arial" w:hAnsi="Arial"/>
          <w:sz w:val="18"/>
          <w:szCs w:val="18"/>
          <w:color w:val="161616"/>
        </w:rPr>
        <w:t>be</w:t>
      </w:r>
      <w:r>
        <w:rPr>
          <w:rFonts w:ascii="Arial" w:cs="Arial" w:eastAsia="Arial" w:hAnsi="Arial"/>
          <w:sz w:val="18"/>
          <w:szCs w:val="18"/>
          <w:color w:val="2F2F2F"/>
        </w:rPr>
        <w:t xml:space="preserve"> updated periodically to reflect the actual progress of such </w:t>
      </w:r>
      <w:r>
        <w:rPr>
          <w:rFonts w:ascii="Arial" w:cs="Arial" w:eastAsia="Arial" w:hAnsi="Arial"/>
          <w:sz w:val="18"/>
          <w:szCs w:val="18"/>
          <w:color w:val="161616"/>
        </w:rPr>
        <w:t>design</w:t>
      </w:r>
      <w:r>
        <w:rPr>
          <w:rFonts w:ascii="Arial" w:cs="Arial" w:eastAsia="Arial" w:hAnsi="Arial"/>
          <w:sz w:val="18"/>
          <w:szCs w:val="18"/>
          <w:color w:val="2F2F2F"/>
        </w:rPr>
        <w:t xml:space="preserve"> and construction, as applicable, and shall cause such updates to be delivered to </w:t>
      </w:r>
      <w:r>
        <w:rPr>
          <w:rFonts w:ascii="Arial" w:cs="Arial" w:eastAsia="Arial" w:hAnsi="Arial"/>
          <w:sz w:val="18"/>
          <w:szCs w:val="18"/>
          <w:color w:val="494949"/>
        </w:rPr>
        <w:t>Tenant</w:t>
      </w:r>
      <w:r>
        <w:rPr>
          <w:rFonts w:ascii="Arial" w:cs="Arial" w:eastAsia="Arial" w:hAnsi="Arial"/>
          <w:sz w:val="18"/>
          <w:szCs w:val="18"/>
          <w:color w:val="2F2F2F"/>
        </w:rPr>
        <w:t xml:space="preserve"> monthly, </w:t>
      </w:r>
      <w:r>
        <w:rPr>
          <w:rFonts w:ascii="Arial" w:cs="Arial" w:eastAsia="Arial" w:hAnsi="Arial"/>
          <w:sz w:val="18"/>
          <w:szCs w:val="18"/>
          <w:color w:val="161616"/>
        </w:rPr>
        <w:t>but</w:t>
      </w:r>
      <w:r>
        <w:rPr>
          <w:rFonts w:ascii="Arial" w:cs="Arial" w:eastAsia="Arial" w:hAnsi="Arial"/>
          <w:sz w:val="18"/>
          <w:szCs w:val="18"/>
          <w:color w:val="2F2F2F"/>
        </w:rPr>
        <w:t xml:space="preserve"> such updates shall not be deemed to amend or modify any of Landlord's obligations under this </w:t>
      </w:r>
      <w:r>
        <w:rPr>
          <w:rFonts w:ascii="Arial" w:cs="Arial" w:eastAsia="Arial" w:hAnsi="Arial"/>
          <w:sz w:val="18"/>
          <w:szCs w:val="18"/>
          <w:u w:val="single" w:color="auto"/>
          <w:color w:val="2F2F2F"/>
        </w:rPr>
        <w:t>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32385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2"/>
          </w:cols>
          <w:pgMar w:left="538" w:top="393" w:right="739" w:bottom="1440" w:gutter="0" w:footer="0" w:header="0"/>
        </w:sectPr>
      </w:pPr>
    </w:p>
    <w:bookmarkStart w:id="195" w:name="page196"/>
    <w:bookmarkEnd w:id="195"/>
    <w:p>
      <w:pPr>
        <w:jc w:val="both"/>
        <w:ind w:left="-753" w:firstLine="753"/>
        <w:spacing w:after="0" w:line="251" w:lineRule="auto"/>
        <w:tabs>
          <w:tab w:leader="none" w:pos="736" w:val="left"/>
        </w:tabs>
        <w:numPr>
          <w:ilvl w:val="0"/>
          <w:numId w:val="114"/>
        </w:numPr>
        <w:rPr>
          <w:rFonts w:ascii="Arial" w:cs="Arial" w:eastAsia="Arial" w:hAnsi="Arial"/>
          <w:sz w:val="18"/>
          <w:szCs w:val="18"/>
          <w:u w:val="single" w:color="auto"/>
          <w:color w:val="2F2F2F"/>
        </w:rPr>
      </w:pPr>
      <w:r>
        <w:rPr>
          <w:rFonts w:ascii="Arial" w:cs="Arial" w:eastAsia="Arial" w:hAnsi="Arial"/>
          <w:sz w:val="18"/>
          <w:szCs w:val="18"/>
          <w:u w:val="single" w:color="auto"/>
          <w:color w:val="2F2F2F"/>
        </w:rPr>
        <w:t>Plans.</w:t>
      </w:r>
      <w:r>
        <w:rPr>
          <w:rFonts w:ascii="Arial" w:cs="Arial" w:eastAsia="Arial" w:hAnsi="Arial"/>
          <w:sz w:val="18"/>
          <w:szCs w:val="18"/>
          <w:color w:val="2F2F2F"/>
        </w:rPr>
        <w:t xml:space="preserve"> In connection with the performance of the work necessary to </w:t>
      </w:r>
      <w:r>
        <w:rPr>
          <w:rFonts w:ascii="Arial" w:cs="Arial" w:eastAsia="Arial" w:hAnsi="Arial"/>
          <w:sz w:val="18"/>
          <w:szCs w:val="18"/>
          <w:color w:val="161616"/>
        </w:rPr>
        <w:t>prepare</w:t>
      </w:r>
      <w:r>
        <w:rPr>
          <w:rFonts w:ascii="Arial" w:cs="Arial" w:eastAsia="Arial" w:hAnsi="Arial"/>
          <w:sz w:val="18"/>
          <w:szCs w:val="18"/>
          <w:color w:val="2F2F2F"/>
        </w:rPr>
        <w:t xml:space="preserve"> the Expansion Space for Tenant's occupancy and business operations </w:t>
      </w:r>
      <w:r>
        <w:rPr>
          <w:rFonts w:ascii="Arial" w:cs="Arial" w:eastAsia="Arial" w:hAnsi="Arial"/>
          <w:sz w:val="18"/>
          <w:szCs w:val="18"/>
          <w:u w:val="single" w:color="auto"/>
          <w:color w:val="2F2F2F"/>
        </w:rPr>
        <w:t>("Tenant’s ES Fitout"),</w:t>
      </w:r>
      <w:r>
        <w:rPr>
          <w:rFonts w:ascii="Arial" w:cs="Arial" w:eastAsia="Arial" w:hAnsi="Arial"/>
          <w:sz w:val="18"/>
          <w:szCs w:val="18"/>
          <w:color w:val="2F2F2F"/>
        </w:rPr>
        <w:t xml:space="preserve"> Tenant shall engage </w:t>
      </w:r>
      <w:r>
        <w:rPr>
          <w:rFonts w:ascii="Arial" w:cs="Arial" w:eastAsia="Arial" w:hAnsi="Arial"/>
          <w:sz w:val="18"/>
          <w:szCs w:val="18"/>
          <w:color w:val="161616"/>
        </w:rPr>
        <w:t>AHA</w:t>
      </w:r>
      <w:r>
        <w:rPr>
          <w:rFonts w:ascii="Arial" w:cs="Arial" w:eastAsia="Arial" w:hAnsi="Arial"/>
          <w:sz w:val="18"/>
          <w:szCs w:val="18"/>
          <w:color w:val="2F2F2F"/>
        </w:rPr>
        <w:t xml:space="preserve"> Consulting Engineers, Inc. or AEI Affiliated Engineers as Tenant's MEP Engineer and shall engage Perkins </w:t>
      </w:r>
      <w:r>
        <w:rPr>
          <w:rFonts w:ascii="Arial" w:cs="Arial" w:eastAsia="Arial" w:hAnsi="Arial"/>
          <w:sz w:val="18"/>
          <w:szCs w:val="18"/>
          <w:color w:val="161616"/>
        </w:rPr>
        <w:t>&amp;</w:t>
      </w:r>
      <w:r>
        <w:rPr>
          <w:rFonts w:ascii="Arial" w:cs="Arial" w:eastAsia="Arial" w:hAnsi="Arial"/>
          <w:sz w:val="18"/>
          <w:szCs w:val="18"/>
          <w:color w:val="2F2F2F"/>
        </w:rPr>
        <w:t xml:space="preserve"> Will as Tenant's architect. Furthermore, </w:t>
      </w:r>
      <w:r>
        <w:rPr>
          <w:rFonts w:ascii="Arial" w:cs="Arial" w:eastAsia="Arial" w:hAnsi="Arial"/>
          <w:sz w:val="18"/>
          <w:szCs w:val="18"/>
          <w:color w:val="161616"/>
        </w:rPr>
        <w:t>in</w:t>
      </w:r>
      <w:r>
        <w:rPr>
          <w:rFonts w:ascii="Arial" w:cs="Arial" w:eastAsia="Arial" w:hAnsi="Arial"/>
          <w:sz w:val="18"/>
          <w:szCs w:val="18"/>
          <w:color w:val="2F2F2F"/>
        </w:rPr>
        <w:t xml:space="preserve"> connection with Tenant's ES Fitout, Tenant shall </w:t>
      </w:r>
      <w:r>
        <w:rPr>
          <w:rFonts w:ascii="Arial" w:cs="Arial" w:eastAsia="Arial" w:hAnsi="Arial"/>
          <w:sz w:val="18"/>
          <w:szCs w:val="18"/>
          <w:color w:val="161616"/>
        </w:rPr>
        <w:t>deliver</w:t>
      </w:r>
      <w:r>
        <w:rPr>
          <w:rFonts w:ascii="Arial" w:cs="Arial" w:eastAsia="Arial" w:hAnsi="Arial"/>
          <w:sz w:val="18"/>
          <w:szCs w:val="18"/>
          <w:color w:val="2F2F2F"/>
        </w:rPr>
        <w:t xml:space="preserve"> to Landlord for Landlord's approval (i) on or </w:t>
      </w:r>
      <w:r>
        <w:rPr>
          <w:rFonts w:ascii="Arial" w:cs="Arial" w:eastAsia="Arial" w:hAnsi="Arial"/>
          <w:sz w:val="18"/>
          <w:szCs w:val="18"/>
          <w:color w:val="161616"/>
        </w:rPr>
        <w:t>before October</w:t>
      </w:r>
      <w:r>
        <w:rPr>
          <w:rFonts w:ascii="Arial" w:cs="Arial" w:eastAsia="Arial" w:hAnsi="Arial"/>
          <w:sz w:val="18"/>
          <w:szCs w:val="18"/>
          <w:color w:val="2F2F2F"/>
        </w:rPr>
        <w:t xml:space="preserve"> 1, 2021, an electronic copy and four (4) full sized copies of </w:t>
      </w:r>
      <w:r>
        <w:rPr>
          <w:rFonts w:ascii="Arial" w:cs="Arial" w:eastAsia="Arial" w:hAnsi="Arial"/>
          <w:sz w:val="18"/>
          <w:szCs w:val="18"/>
          <w:color w:val="161616"/>
        </w:rPr>
        <w:t>design</w:t>
      </w:r>
      <w:r>
        <w:rPr>
          <w:rFonts w:ascii="Arial" w:cs="Arial" w:eastAsia="Arial" w:hAnsi="Arial"/>
          <w:sz w:val="18"/>
          <w:szCs w:val="18"/>
          <w:color w:val="2F2F2F"/>
        </w:rPr>
        <w:t xml:space="preserve"> development </w:t>
      </w:r>
      <w:r>
        <w:rPr>
          <w:rFonts w:ascii="Arial" w:cs="Arial" w:eastAsia="Arial" w:hAnsi="Arial"/>
          <w:sz w:val="18"/>
          <w:szCs w:val="18"/>
          <w:color w:val="161616"/>
        </w:rPr>
        <w:t>p</w:t>
      </w:r>
      <w:r>
        <w:rPr>
          <w:rFonts w:ascii="Arial" w:cs="Arial" w:eastAsia="Arial" w:hAnsi="Arial"/>
          <w:sz w:val="18"/>
          <w:szCs w:val="18"/>
          <w:color w:val="2F2F2F"/>
        </w:rPr>
        <w:t>lans</w:t>
      </w:r>
      <w:r>
        <w:rPr>
          <w:rFonts w:ascii="Arial" w:cs="Arial" w:eastAsia="Arial" w:hAnsi="Arial"/>
          <w:sz w:val="18"/>
          <w:szCs w:val="18"/>
          <w:color w:val="494949"/>
        </w:rPr>
        <w:t>,</w:t>
      </w:r>
      <w:r>
        <w:rPr>
          <w:rFonts w:ascii="Arial" w:cs="Arial" w:eastAsia="Arial" w:hAnsi="Arial"/>
          <w:sz w:val="18"/>
          <w:szCs w:val="18"/>
          <w:color w:val="2F2F2F"/>
        </w:rPr>
        <w:t xml:space="preserve"> with sufficient information and </w:t>
      </w:r>
      <w:r>
        <w:rPr>
          <w:rFonts w:ascii="Arial" w:cs="Arial" w:eastAsia="Arial" w:hAnsi="Arial"/>
          <w:sz w:val="18"/>
          <w:szCs w:val="18"/>
          <w:color w:val="161616"/>
        </w:rPr>
        <w:t>detail</w:t>
      </w:r>
      <w:r>
        <w:rPr>
          <w:rFonts w:ascii="Arial" w:cs="Arial" w:eastAsia="Arial" w:hAnsi="Arial"/>
          <w:sz w:val="18"/>
          <w:szCs w:val="18"/>
          <w:color w:val="2F2F2F"/>
        </w:rPr>
        <w:t xml:space="preserve"> to accurately describe the proposed design of the Expansion Space and </w:t>
      </w:r>
      <w:r>
        <w:rPr>
          <w:rFonts w:ascii="Arial" w:cs="Arial" w:eastAsia="Arial" w:hAnsi="Arial"/>
          <w:sz w:val="18"/>
          <w:szCs w:val="18"/>
          <w:color w:val="161616"/>
        </w:rPr>
        <w:t>document</w:t>
      </w:r>
      <w:r>
        <w:rPr>
          <w:rFonts w:ascii="Arial" w:cs="Arial" w:eastAsia="Arial" w:hAnsi="Arial"/>
          <w:sz w:val="18"/>
          <w:szCs w:val="18"/>
          <w:color w:val="2F2F2F"/>
        </w:rPr>
        <w:t xml:space="preserve"> the </w:t>
      </w:r>
      <w:r>
        <w:rPr>
          <w:rFonts w:ascii="Arial" w:cs="Arial" w:eastAsia="Arial" w:hAnsi="Arial"/>
          <w:sz w:val="18"/>
          <w:szCs w:val="18"/>
          <w:color w:val="161616"/>
        </w:rPr>
        <w:t>programmatic</w:t>
      </w:r>
      <w:r>
        <w:rPr>
          <w:rFonts w:ascii="Arial" w:cs="Arial" w:eastAsia="Arial" w:hAnsi="Arial"/>
          <w:sz w:val="18"/>
          <w:szCs w:val="18"/>
          <w:color w:val="2F2F2F"/>
        </w:rPr>
        <w:t xml:space="preserve"> requirements for Tenant's ES </w:t>
      </w:r>
      <w:r>
        <w:rPr>
          <w:rFonts w:ascii="Arial" w:cs="Arial" w:eastAsia="Arial" w:hAnsi="Arial"/>
          <w:sz w:val="18"/>
          <w:szCs w:val="18"/>
          <w:color w:val="494949"/>
        </w:rPr>
        <w:t>Fitout</w:t>
      </w:r>
      <w:r>
        <w:rPr>
          <w:rFonts w:ascii="Arial" w:cs="Arial" w:eastAsia="Arial" w:hAnsi="Arial"/>
          <w:sz w:val="18"/>
          <w:szCs w:val="18"/>
          <w:color w:val="2F2F2F"/>
        </w:rPr>
        <w:t xml:space="preserve"> (it being understood and agreed that the mechanical and electrical portions of such </w:t>
      </w:r>
      <w:r>
        <w:rPr>
          <w:rFonts w:ascii="Arial" w:cs="Arial" w:eastAsia="Arial" w:hAnsi="Arial"/>
          <w:sz w:val="18"/>
          <w:szCs w:val="18"/>
          <w:color w:val="161616"/>
        </w:rPr>
        <w:t>plans</w:t>
      </w:r>
      <w:r>
        <w:rPr>
          <w:rFonts w:ascii="Arial" w:cs="Arial" w:eastAsia="Arial" w:hAnsi="Arial"/>
          <w:sz w:val="18"/>
          <w:szCs w:val="18"/>
          <w:color w:val="2F2F2F"/>
        </w:rPr>
        <w:t xml:space="preserve"> shall be suitable for </w:t>
      </w:r>
      <w:r>
        <w:rPr>
          <w:rFonts w:ascii="Arial" w:cs="Arial" w:eastAsia="Arial" w:hAnsi="Arial"/>
          <w:sz w:val="18"/>
          <w:szCs w:val="18"/>
          <w:color w:val="161616"/>
        </w:rPr>
        <w:t>purchase</w:t>
      </w:r>
      <w:r>
        <w:rPr>
          <w:rFonts w:ascii="Arial" w:cs="Arial" w:eastAsia="Arial" w:hAnsi="Arial"/>
          <w:sz w:val="18"/>
          <w:szCs w:val="18"/>
          <w:color w:val="2F2F2F"/>
        </w:rPr>
        <w:t xml:space="preserve"> of subcontract </w:t>
      </w:r>
      <w:r>
        <w:rPr>
          <w:rFonts w:ascii="Arial" w:cs="Arial" w:eastAsia="Arial" w:hAnsi="Arial"/>
          <w:sz w:val="18"/>
          <w:szCs w:val="18"/>
          <w:color w:val="161616"/>
        </w:rPr>
        <w:t>bidding</w:t>
      </w:r>
      <w:r>
        <w:rPr>
          <w:rFonts w:ascii="Arial" w:cs="Arial" w:eastAsia="Arial" w:hAnsi="Arial"/>
          <w:sz w:val="18"/>
          <w:szCs w:val="18"/>
          <w:color w:val="2F2F2F"/>
        </w:rPr>
        <w:t xml:space="preserve"> and contracting) (the </w:t>
      </w:r>
      <w:r>
        <w:rPr>
          <w:rFonts w:ascii="Arial" w:cs="Arial" w:eastAsia="Arial" w:hAnsi="Arial"/>
          <w:sz w:val="18"/>
          <w:szCs w:val="18"/>
          <w:u w:val="single" w:color="auto"/>
          <w:color w:val="2F2F2F"/>
        </w:rPr>
        <w:t>"ES</w:t>
      </w:r>
      <w:r>
        <w:rPr>
          <w:rFonts w:ascii="Arial" w:cs="Arial" w:eastAsia="Arial" w:hAnsi="Arial"/>
          <w:sz w:val="18"/>
          <w:szCs w:val="18"/>
          <w:color w:val="2F2F2F"/>
        </w:rPr>
        <w:t xml:space="preserve"> </w:t>
      </w:r>
      <w:r>
        <w:rPr>
          <w:rFonts w:ascii="Arial" w:cs="Arial" w:eastAsia="Arial" w:hAnsi="Arial"/>
          <w:sz w:val="18"/>
          <w:szCs w:val="18"/>
          <w:u w:val="single" w:color="auto"/>
          <w:color w:val="2F2F2F"/>
        </w:rPr>
        <w:t>Design Development Plans"),</w:t>
      </w:r>
      <w:r>
        <w:rPr>
          <w:rFonts w:ascii="Arial" w:cs="Arial" w:eastAsia="Arial" w:hAnsi="Arial"/>
          <w:sz w:val="18"/>
          <w:szCs w:val="18"/>
          <w:color w:val="2F2F2F"/>
        </w:rPr>
        <w:t xml:space="preserve"> and (ii) on or before December </w:t>
      </w:r>
      <w:r>
        <w:rPr>
          <w:rFonts w:ascii="Arial" w:cs="Arial" w:eastAsia="Arial" w:hAnsi="Arial"/>
          <w:sz w:val="18"/>
          <w:szCs w:val="18"/>
          <w:color w:val="161616"/>
        </w:rPr>
        <w:t>1</w:t>
      </w:r>
      <w:r>
        <w:rPr>
          <w:rFonts w:ascii="Arial" w:cs="Arial" w:eastAsia="Arial" w:hAnsi="Arial"/>
          <w:sz w:val="18"/>
          <w:szCs w:val="18"/>
          <w:color w:val="2F2F2F"/>
        </w:rPr>
        <w:t>5</w:t>
      </w:r>
      <w:r>
        <w:rPr>
          <w:rFonts w:ascii="Arial" w:cs="Arial" w:eastAsia="Arial" w:hAnsi="Arial"/>
          <w:sz w:val="18"/>
          <w:szCs w:val="18"/>
          <w:color w:val="494949"/>
        </w:rPr>
        <w:t>,</w:t>
      </w:r>
      <w:r>
        <w:rPr>
          <w:rFonts w:ascii="Arial" w:cs="Arial" w:eastAsia="Arial" w:hAnsi="Arial"/>
          <w:sz w:val="18"/>
          <w:szCs w:val="18"/>
          <w:color w:val="2F2F2F"/>
        </w:rPr>
        <w:t xml:space="preserve"> 2021, an electronic copy and four (4) full sized copies of a fully coordinated set of architectural, structural, mechanical, electrical and plumbing engineering plans and specifications based on the approved ES Design Development Plans and in a form which is sufficiently complete to allow the Approved Contractor and subcontractors to bid on the work and to obtain all applicable </w:t>
      </w:r>
      <w:r>
        <w:rPr>
          <w:rFonts w:ascii="Arial" w:cs="Arial" w:eastAsia="Arial" w:hAnsi="Arial"/>
          <w:sz w:val="18"/>
          <w:szCs w:val="18"/>
          <w:color w:val="161616"/>
        </w:rPr>
        <w:t>permits</w:t>
      </w:r>
      <w:r>
        <w:rPr>
          <w:rFonts w:ascii="Arial" w:cs="Arial" w:eastAsia="Arial" w:hAnsi="Arial"/>
          <w:sz w:val="18"/>
          <w:szCs w:val="18"/>
          <w:color w:val="2F2F2F"/>
        </w:rPr>
        <w:t xml:space="preserve"> for Tenant's ES Fitout </w:t>
      </w:r>
      <w:r>
        <w:rPr>
          <w:rFonts w:ascii="Arial" w:cs="Arial" w:eastAsia="Arial" w:hAnsi="Arial"/>
          <w:sz w:val="18"/>
          <w:szCs w:val="18"/>
          <w:u w:val="single" w:color="auto"/>
          <w:color w:val="2F2F2F"/>
        </w:rPr>
        <w:t>("Final ES Construction Drawings").</w:t>
      </w:r>
      <w:r>
        <w:rPr>
          <w:rFonts w:ascii="Arial" w:cs="Arial" w:eastAsia="Arial" w:hAnsi="Arial"/>
          <w:sz w:val="18"/>
          <w:szCs w:val="18"/>
          <w:color w:val="2F2F2F"/>
        </w:rPr>
        <w:t xml:space="preserve"> The ES Design Development </w:t>
      </w:r>
      <w:r>
        <w:rPr>
          <w:rFonts w:ascii="Arial" w:cs="Arial" w:eastAsia="Arial" w:hAnsi="Arial"/>
          <w:sz w:val="18"/>
          <w:szCs w:val="18"/>
          <w:color w:val="161616"/>
        </w:rPr>
        <w:t>Plans</w:t>
      </w:r>
      <w:r>
        <w:rPr>
          <w:rFonts w:ascii="Arial" w:cs="Arial" w:eastAsia="Arial" w:hAnsi="Arial"/>
          <w:sz w:val="18"/>
          <w:szCs w:val="18"/>
          <w:color w:val="2F2F2F"/>
        </w:rPr>
        <w:t xml:space="preserve"> and the Final ES Construction Drawings are collectively referred to herein as the </w:t>
      </w:r>
      <w:r>
        <w:rPr>
          <w:rFonts w:ascii="Arial" w:cs="Arial" w:eastAsia="Arial" w:hAnsi="Arial"/>
          <w:sz w:val="18"/>
          <w:szCs w:val="18"/>
          <w:u w:val="single" w:color="auto"/>
          <w:color w:val="2F2F2F"/>
        </w:rPr>
        <w:t>"ES Plans."</w:t>
      </w:r>
      <w:r>
        <w:rPr>
          <w:rFonts w:ascii="Arial" w:cs="Arial" w:eastAsia="Arial" w:hAnsi="Arial"/>
          <w:sz w:val="18"/>
          <w:szCs w:val="18"/>
          <w:color w:val="2F2F2F"/>
        </w:rPr>
        <w:t xml:space="preserve"> It is understood and agreed that </w:t>
      </w:r>
      <w:r>
        <w:rPr>
          <w:rFonts w:ascii="Arial" w:cs="Arial" w:eastAsia="Arial" w:hAnsi="Arial"/>
          <w:sz w:val="18"/>
          <w:szCs w:val="18"/>
          <w:color w:val="525252"/>
        </w:rPr>
        <w:t>Tenant's</w:t>
      </w:r>
      <w:r>
        <w:rPr>
          <w:rFonts w:ascii="Arial" w:cs="Arial" w:eastAsia="Arial" w:hAnsi="Arial"/>
          <w:sz w:val="18"/>
          <w:szCs w:val="18"/>
          <w:color w:val="2F2F2F"/>
        </w:rPr>
        <w:t xml:space="preserve"> ES Fitout </w:t>
      </w:r>
      <w:r>
        <w:rPr>
          <w:rFonts w:ascii="Arial" w:cs="Arial" w:eastAsia="Arial" w:hAnsi="Arial"/>
          <w:sz w:val="18"/>
          <w:szCs w:val="18"/>
          <w:color w:val="161616"/>
        </w:rPr>
        <w:t>does</w:t>
      </w:r>
      <w:r>
        <w:rPr>
          <w:rFonts w:ascii="Arial" w:cs="Arial" w:eastAsia="Arial" w:hAnsi="Arial"/>
          <w:sz w:val="18"/>
          <w:szCs w:val="18"/>
          <w:color w:val="2F2F2F"/>
        </w:rPr>
        <w:t xml:space="preserve"> not include the installation of </w:t>
      </w:r>
      <w:r>
        <w:rPr>
          <w:rFonts w:ascii="Arial" w:cs="Arial" w:eastAsia="Arial" w:hAnsi="Arial"/>
          <w:sz w:val="18"/>
          <w:szCs w:val="18"/>
          <w:color w:val="525252"/>
        </w:rPr>
        <w:t>Tenant's</w:t>
      </w:r>
      <w:r>
        <w:rPr>
          <w:rFonts w:ascii="Arial" w:cs="Arial" w:eastAsia="Arial" w:hAnsi="Arial"/>
          <w:sz w:val="18"/>
          <w:szCs w:val="18"/>
          <w:color w:val="2F2F2F"/>
        </w:rPr>
        <w:t xml:space="preserve"> furniture, trade fixtures or equipment, the installation of which shall </w:t>
      </w:r>
      <w:r>
        <w:rPr>
          <w:rFonts w:ascii="Arial" w:cs="Arial" w:eastAsia="Arial" w:hAnsi="Arial"/>
          <w:sz w:val="18"/>
          <w:szCs w:val="18"/>
          <w:color w:val="161616"/>
        </w:rPr>
        <w:t>be performed</w:t>
      </w:r>
      <w:r>
        <w:rPr>
          <w:rFonts w:ascii="Arial" w:cs="Arial" w:eastAsia="Arial" w:hAnsi="Arial"/>
          <w:sz w:val="18"/>
          <w:szCs w:val="18"/>
          <w:color w:val="2F2F2F"/>
        </w:rPr>
        <w:t xml:space="preserve"> in accordance with </w:t>
      </w:r>
      <w:r>
        <w:rPr>
          <w:rFonts w:ascii="Arial" w:cs="Arial" w:eastAsia="Arial" w:hAnsi="Arial"/>
          <w:sz w:val="18"/>
          <w:szCs w:val="18"/>
          <w:u w:val="single" w:color="auto"/>
          <w:color w:val="2F2F2F"/>
        </w:rPr>
        <w:t>Section 11</w:t>
      </w:r>
      <w:r>
        <w:rPr>
          <w:rFonts w:ascii="Arial" w:cs="Arial" w:eastAsia="Arial" w:hAnsi="Arial"/>
          <w:sz w:val="18"/>
          <w:szCs w:val="18"/>
          <w:color w:val="2F2F2F"/>
        </w:rPr>
        <w:t xml:space="preserve"> of the Lease by Tenant (as contemplated </w:t>
      </w:r>
      <w:r>
        <w:rPr>
          <w:rFonts w:ascii="Arial" w:cs="Arial" w:eastAsia="Arial" w:hAnsi="Arial"/>
          <w:sz w:val="18"/>
          <w:szCs w:val="18"/>
          <w:color w:val="161616"/>
        </w:rPr>
        <w:t>by</w:t>
      </w:r>
      <w:r>
        <w:rPr>
          <w:rFonts w:ascii="Arial" w:cs="Arial" w:eastAsia="Arial" w:hAnsi="Arial"/>
          <w:sz w:val="18"/>
          <w:szCs w:val="18"/>
          <w:color w:val="2F2F2F"/>
        </w:rPr>
        <w:t xml:space="preserve"> </w:t>
      </w:r>
      <w:r>
        <w:rPr>
          <w:rFonts w:ascii="Arial" w:cs="Arial" w:eastAsia="Arial" w:hAnsi="Arial"/>
          <w:sz w:val="18"/>
          <w:szCs w:val="18"/>
          <w:u w:val="single" w:color="auto"/>
          <w:color w:val="2F2F2F"/>
        </w:rPr>
        <w:t>Section 3(h)</w:t>
      </w:r>
      <w:r>
        <w:rPr>
          <w:rFonts w:ascii="Arial" w:cs="Arial" w:eastAsia="Arial" w:hAnsi="Arial"/>
          <w:sz w:val="18"/>
          <w:szCs w:val="18"/>
          <w:color w:val="2F2F2F"/>
        </w:rPr>
        <w:t xml:space="preserve"> of the Work Letter (as incorporated herein </w:t>
      </w:r>
      <w:r>
        <w:rPr>
          <w:rFonts w:ascii="Arial" w:cs="Arial" w:eastAsia="Arial" w:hAnsi="Arial"/>
          <w:sz w:val="18"/>
          <w:szCs w:val="18"/>
          <w:color w:val="161616"/>
        </w:rPr>
        <w:t>pursuant</w:t>
      </w:r>
      <w:r>
        <w:rPr>
          <w:rFonts w:ascii="Arial" w:cs="Arial" w:eastAsia="Arial" w:hAnsi="Arial"/>
          <w:sz w:val="18"/>
          <w:szCs w:val="18"/>
          <w:color w:val="2F2F2F"/>
        </w:rPr>
        <w:t xml:space="preserve"> to </w:t>
      </w:r>
      <w:r>
        <w:rPr>
          <w:rFonts w:ascii="Arial" w:cs="Arial" w:eastAsia="Arial" w:hAnsi="Arial"/>
          <w:sz w:val="18"/>
          <w:szCs w:val="18"/>
          <w:u w:val="single" w:color="auto"/>
          <w:color w:val="2F2F2F"/>
        </w:rPr>
        <w:t>Section 3(a)</w:t>
      </w:r>
      <w:r>
        <w:rPr>
          <w:rFonts w:ascii="Arial" w:cs="Arial" w:eastAsia="Arial" w:hAnsi="Arial"/>
          <w:sz w:val="18"/>
          <w:szCs w:val="18"/>
          <w:color w:val="2F2F2F"/>
        </w:rPr>
        <w:t xml:space="preserve"> above)). Landlord's approval of the ES Design Development Plans (and </w:t>
      </w:r>
      <w:r>
        <w:rPr>
          <w:rFonts w:ascii="Arial" w:cs="Arial" w:eastAsia="Arial" w:hAnsi="Arial"/>
          <w:sz w:val="18"/>
          <w:szCs w:val="18"/>
          <w:color w:val="161616"/>
        </w:rPr>
        <w:t xml:space="preserve">the </w:t>
      </w:r>
      <w:r>
        <w:rPr>
          <w:rFonts w:ascii="Arial" w:cs="Arial" w:eastAsia="Arial" w:hAnsi="Arial"/>
          <w:sz w:val="18"/>
          <w:szCs w:val="18"/>
          <w:color w:val="2F2F2F"/>
        </w:rPr>
        <w:t>Final ES Construction Drawings,</w:t>
      </w:r>
      <w:r>
        <w:rPr>
          <w:rFonts w:ascii="Arial" w:cs="Arial" w:eastAsia="Arial" w:hAnsi="Arial"/>
          <w:sz w:val="18"/>
          <w:szCs w:val="18"/>
          <w:color w:val="161616"/>
        </w:rPr>
        <w:t xml:space="preserve"> </w:t>
      </w:r>
      <w:r>
        <w:rPr>
          <w:rFonts w:ascii="Arial" w:cs="Arial" w:eastAsia="Arial" w:hAnsi="Arial"/>
          <w:sz w:val="18"/>
          <w:szCs w:val="18"/>
          <w:u w:val="single" w:color="auto"/>
          <w:color w:val="2F2F2F"/>
        </w:rPr>
        <w:t>provided</w:t>
      </w:r>
      <w:r>
        <w:rPr>
          <w:rFonts w:ascii="Arial" w:cs="Arial" w:eastAsia="Arial" w:hAnsi="Arial"/>
          <w:sz w:val="18"/>
          <w:szCs w:val="18"/>
          <w:color w:val="161616"/>
        </w:rPr>
        <w:t xml:space="preserve"> </w:t>
      </w:r>
      <w:r>
        <w:rPr>
          <w:rFonts w:ascii="Arial" w:cs="Arial" w:eastAsia="Arial" w:hAnsi="Arial"/>
          <w:sz w:val="18"/>
          <w:szCs w:val="18"/>
          <w:color w:val="2F2F2F"/>
        </w:rPr>
        <w:t>that the Final ES Construction Drawings are consistent with the ES</w:t>
      </w:r>
      <w:r>
        <w:rPr>
          <w:rFonts w:ascii="Arial" w:cs="Arial" w:eastAsia="Arial" w:hAnsi="Arial"/>
          <w:sz w:val="18"/>
          <w:szCs w:val="18"/>
          <w:color w:val="161616"/>
        </w:rPr>
        <w:t xml:space="preserve"> </w:t>
      </w:r>
      <w:r>
        <w:rPr>
          <w:rFonts w:ascii="Arial" w:cs="Arial" w:eastAsia="Arial" w:hAnsi="Arial"/>
          <w:sz w:val="18"/>
          <w:szCs w:val="18"/>
          <w:color w:val="2F2F2F"/>
        </w:rPr>
        <w:t xml:space="preserve">Design/Development Plans) shall not be unreasonably withheld, conditioned or </w:t>
      </w:r>
      <w:r>
        <w:rPr>
          <w:rFonts w:ascii="Arial" w:cs="Arial" w:eastAsia="Arial" w:hAnsi="Arial"/>
          <w:sz w:val="18"/>
          <w:szCs w:val="18"/>
          <w:color w:val="161616"/>
        </w:rPr>
        <w:t>delayed</w:t>
      </w:r>
      <w:r>
        <w:rPr>
          <w:rFonts w:ascii="Arial" w:cs="Arial" w:eastAsia="Arial" w:hAnsi="Arial"/>
          <w:sz w:val="18"/>
          <w:szCs w:val="18"/>
          <w:color w:val="2F2F2F"/>
        </w:rPr>
        <w:t xml:space="preserve"> </w:t>
      </w:r>
      <w:r>
        <w:rPr>
          <w:rFonts w:ascii="Arial" w:cs="Arial" w:eastAsia="Arial" w:hAnsi="Arial"/>
          <w:sz w:val="18"/>
          <w:szCs w:val="18"/>
          <w:u w:val="single" w:color="auto"/>
          <w:color w:val="2F2F2F"/>
        </w:rPr>
        <w:t>provided</w:t>
      </w:r>
      <w:r>
        <w:rPr>
          <w:rFonts w:ascii="Arial" w:cs="Arial" w:eastAsia="Arial" w:hAnsi="Arial"/>
          <w:sz w:val="18"/>
          <w:szCs w:val="18"/>
          <w:color w:val="2F2F2F"/>
        </w:rPr>
        <w:t xml:space="preserve"> the ES Plans comply with the requirements to avoid aesthetic or other conflicts with the </w:t>
      </w:r>
      <w:r>
        <w:rPr>
          <w:rFonts w:ascii="Arial" w:cs="Arial" w:eastAsia="Arial" w:hAnsi="Arial"/>
          <w:sz w:val="18"/>
          <w:szCs w:val="18"/>
          <w:color w:val="161616"/>
        </w:rPr>
        <w:t>design</w:t>
      </w:r>
      <w:r>
        <w:rPr>
          <w:rFonts w:ascii="Arial" w:cs="Arial" w:eastAsia="Arial" w:hAnsi="Arial"/>
          <w:sz w:val="18"/>
          <w:szCs w:val="18"/>
          <w:color w:val="2F2F2F"/>
        </w:rPr>
        <w:t xml:space="preserve"> and function of the balance of the Building and the Property; and </w:t>
      </w:r>
      <w:r>
        <w:rPr>
          <w:rFonts w:ascii="Arial" w:cs="Arial" w:eastAsia="Arial" w:hAnsi="Arial"/>
          <w:sz w:val="18"/>
          <w:szCs w:val="18"/>
          <w:u w:val="single" w:color="auto"/>
          <w:color w:val="2F2F2F"/>
        </w:rPr>
        <w:t>provided, further</w:t>
      </w:r>
      <w:r>
        <w:rPr>
          <w:rFonts w:ascii="Arial" w:cs="Arial" w:eastAsia="Arial" w:hAnsi="Arial"/>
          <w:sz w:val="18"/>
          <w:szCs w:val="18"/>
          <w:color w:val="2F2F2F"/>
        </w:rPr>
        <w:t xml:space="preserve"> that Landlord may withhold its approval in its sole discretion with respect to Restricted </w:t>
      </w:r>
      <w:r>
        <w:rPr>
          <w:rFonts w:ascii="Arial" w:cs="Arial" w:eastAsia="Arial" w:hAnsi="Arial"/>
          <w:sz w:val="18"/>
          <w:szCs w:val="18"/>
          <w:color w:val="161616"/>
        </w:rPr>
        <w:t>Alterations.</w:t>
      </w:r>
      <w:r>
        <w:rPr>
          <w:rFonts w:ascii="Arial" w:cs="Arial" w:eastAsia="Arial" w:hAnsi="Arial"/>
          <w:sz w:val="18"/>
          <w:szCs w:val="18"/>
          <w:color w:val="2F2F2F"/>
        </w:rPr>
        <w:t xml:space="preserve"> Landlord may reasonably disapprove any </w:t>
      </w:r>
      <w:r>
        <w:rPr>
          <w:rFonts w:ascii="Arial" w:cs="Arial" w:eastAsia="Arial" w:hAnsi="Arial"/>
          <w:sz w:val="18"/>
          <w:szCs w:val="18"/>
          <w:color w:val="161616"/>
        </w:rPr>
        <w:t>iteration</w:t>
      </w:r>
      <w:r>
        <w:rPr>
          <w:rFonts w:ascii="Arial" w:cs="Arial" w:eastAsia="Arial" w:hAnsi="Arial"/>
          <w:sz w:val="18"/>
          <w:szCs w:val="18"/>
          <w:color w:val="2F2F2F"/>
        </w:rPr>
        <w:t xml:space="preserve"> of any of the ES </w:t>
      </w:r>
      <w:r>
        <w:rPr>
          <w:rFonts w:ascii="Arial" w:cs="Arial" w:eastAsia="Arial" w:hAnsi="Arial"/>
          <w:sz w:val="18"/>
          <w:szCs w:val="18"/>
          <w:color w:val="161616"/>
        </w:rPr>
        <w:t>Plans</w:t>
      </w:r>
      <w:r>
        <w:rPr>
          <w:rFonts w:ascii="Arial" w:cs="Arial" w:eastAsia="Arial" w:hAnsi="Arial"/>
          <w:sz w:val="18"/>
          <w:szCs w:val="18"/>
          <w:color w:val="2F2F2F"/>
        </w:rPr>
        <w:t xml:space="preserve"> based on Landlord's reasonable conclusion that one or more aspects of such ES Plans will cause an actual delay of the substantial completion of Landlord's Work and/or Tenant's ES Fitout beyond the applicable Estimated Delivery Date (it </w:t>
      </w:r>
      <w:r>
        <w:rPr>
          <w:rFonts w:ascii="Arial" w:cs="Arial" w:eastAsia="Arial" w:hAnsi="Arial"/>
          <w:sz w:val="18"/>
          <w:szCs w:val="18"/>
          <w:color w:val="161616"/>
        </w:rPr>
        <w:t>being</w:t>
      </w:r>
      <w:r>
        <w:rPr>
          <w:rFonts w:ascii="Arial" w:cs="Arial" w:eastAsia="Arial" w:hAnsi="Arial"/>
          <w:sz w:val="18"/>
          <w:szCs w:val="18"/>
          <w:color w:val="2F2F2F"/>
        </w:rPr>
        <w:t xml:space="preserve"> understood that if Landlord reasonably </w:t>
      </w:r>
      <w:r>
        <w:rPr>
          <w:rFonts w:ascii="Arial" w:cs="Arial" w:eastAsia="Arial" w:hAnsi="Arial"/>
          <w:sz w:val="18"/>
          <w:szCs w:val="18"/>
          <w:color w:val="161616"/>
        </w:rPr>
        <w:t>disapproves</w:t>
      </w:r>
      <w:r>
        <w:rPr>
          <w:rFonts w:ascii="Arial" w:cs="Arial" w:eastAsia="Arial" w:hAnsi="Arial"/>
          <w:sz w:val="18"/>
          <w:szCs w:val="18"/>
          <w:color w:val="2F2F2F"/>
        </w:rPr>
        <w:t xml:space="preserve"> any of the ES Plans on such basis, and </w:t>
      </w:r>
      <w:r>
        <w:rPr>
          <w:rFonts w:ascii="Arial" w:cs="Arial" w:eastAsia="Arial" w:hAnsi="Arial"/>
          <w:sz w:val="18"/>
          <w:szCs w:val="18"/>
          <w:color w:val="525252"/>
        </w:rPr>
        <w:t>Tenant</w:t>
      </w:r>
      <w:r>
        <w:rPr>
          <w:rFonts w:ascii="Arial" w:cs="Arial" w:eastAsia="Arial" w:hAnsi="Arial"/>
          <w:sz w:val="18"/>
          <w:szCs w:val="18"/>
          <w:color w:val="2F2F2F"/>
        </w:rPr>
        <w:t xml:space="preserve"> determines in writing to negate such </w:t>
      </w:r>
      <w:r>
        <w:rPr>
          <w:rFonts w:ascii="Arial" w:cs="Arial" w:eastAsia="Arial" w:hAnsi="Arial"/>
          <w:sz w:val="18"/>
          <w:szCs w:val="18"/>
          <w:color w:val="161616"/>
        </w:rPr>
        <w:t>d</w:t>
      </w:r>
      <w:r>
        <w:rPr>
          <w:rFonts w:ascii="Arial" w:cs="Arial" w:eastAsia="Arial" w:hAnsi="Arial"/>
          <w:sz w:val="18"/>
          <w:szCs w:val="18"/>
          <w:color w:val="2F2F2F"/>
        </w:rPr>
        <w:t>isap</w:t>
      </w:r>
      <w:r>
        <w:rPr>
          <w:rFonts w:ascii="Arial" w:cs="Arial" w:eastAsia="Arial" w:hAnsi="Arial"/>
          <w:sz w:val="18"/>
          <w:szCs w:val="18"/>
          <w:color w:val="161616"/>
        </w:rPr>
        <w:t>p</w:t>
      </w:r>
      <w:r>
        <w:rPr>
          <w:rFonts w:ascii="Arial" w:cs="Arial" w:eastAsia="Arial" w:hAnsi="Arial"/>
          <w:sz w:val="18"/>
          <w:szCs w:val="18"/>
          <w:color w:val="2F2F2F"/>
        </w:rPr>
        <w:t>rova</w:t>
      </w:r>
      <w:r>
        <w:rPr>
          <w:rFonts w:ascii="Arial" w:cs="Arial" w:eastAsia="Arial" w:hAnsi="Arial"/>
          <w:sz w:val="18"/>
          <w:szCs w:val="18"/>
          <w:color w:val="161616"/>
        </w:rPr>
        <w:t>l</w:t>
      </w:r>
      <w:r>
        <w:rPr>
          <w:rFonts w:ascii="Arial" w:cs="Arial" w:eastAsia="Arial" w:hAnsi="Arial"/>
          <w:sz w:val="18"/>
          <w:szCs w:val="18"/>
          <w:color w:val="525252"/>
        </w:rPr>
        <w:t>,</w:t>
      </w:r>
      <w:r>
        <w:rPr>
          <w:rFonts w:ascii="Arial" w:cs="Arial" w:eastAsia="Arial" w:hAnsi="Arial"/>
          <w:sz w:val="18"/>
          <w:szCs w:val="18"/>
          <w:color w:val="2F2F2F"/>
        </w:rPr>
        <w:t xml:space="preserve"> any such actual </w:t>
      </w:r>
      <w:r>
        <w:rPr>
          <w:rFonts w:ascii="Arial" w:cs="Arial" w:eastAsia="Arial" w:hAnsi="Arial"/>
          <w:sz w:val="18"/>
          <w:szCs w:val="18"/>
          <w:color w:val="161616"/>
        </w:rPr>
        <w:t>delay</w:t>
      </w:r>
      <w:r>
        <w:rPr>
          <w:rFonts w:ascii="Arial" w:cs="Arial" w:eastAsia="Arial" w:hAnsi="Arial"/>
          <w:sz w:val="18"/>
          <w:szCs w:val="18"/>
          <w:color w:val="2F2F2F"/>
        </w:rPr>
        <w:t xml:space="preserve"> of substantial completion of Landlord's Work and/or Tenant's ES Fitout shall </w:t>
      </w:r>
      <w:r>
        <w:rPr>
          <w:rFonts w:ascii="Arial" w:cs="Arial" w:eastAsia="Arial" w:hAnsi="Arial"/>
          <w:sz w:val="18"/>
          <w:szCs w:val="18"/>
          <w:color w:val="161616"/>
        </w:rPr>
        <w:t>be deemed</w:t>
      </w:r>
      <w:r>
        <w:rPr>
          <w:rFonts w:ascii="Arial" w:cs="Arial" w:eastAsia="Arial" w:hAnsi="Arial"/>
          <w:sz w:val="18"/>
          <w:szCs w:val="18"/>
          <w:color w:val="2F2F2F"/>
        </w:rPr>
        <w:t xml:space="preserve"> a </w:t>
      </w:r>
      <w:r>
        <w:rPr>
          <w:rFonts w:ascii="Arial" w:cs="Arial" w:eastAsia="Arial" w:hAnsi="Arial"/>
          <w:sz w:val="18"/>
          <w:szCs w:val="18"/>
          <w:color w:val="525252"/>
        </w:rPr>
        <w:t>Tenant</w:t>
      </w:r>
      <w:r>
        <w:rPr>
          <w:rFonts w:ascii="Arial" w:cs="Arial" w:eastAsia="Arial" w:hAnsi="Arial"/>
          <w:sz w:val="18"/>
          <w:szCs w:val="18"/>
          <w:color w:val="2F2F2F"/>
        </w:rPr>
        <w:t xml:space="preserve"> Delay, and Landlord shall not </w:t>
      </w:r>
      <w:r>
        <w:rPr>
          <w:rFonts w:ascii="Arial" w:cs="Arial" w:eastAsia="Arial" w:hAnsi="Arial"/>
          <w:sz w:val="18"/>
          <w:szCs w:val="18"/>
          <w:color w:val="161616"/>
        </w:rPr>
        <w:t>disapprove</w:t>
      </w:r>
      <w:r>
        <w:rPr>
          <w:rFonts w:ascii="Arial" w:cs="Arial" w:eastAsia="Arial" w:hAnsi="Arial"/>
          <w:sz w:val="18"/>
          <w:szCs w:val="18"/>
          <w:color w:val="2F2F2F"/>
        </w:rPr>
        <w:t xml:space="preserve"> such ES Plans </w:t>
      </w:r>
      <w:r>
        <w:rPr>
          <w:rFonts w:ascii="Arial" w:cs="Arial" w:eastAsia="Arial" w:hAnsi="Arial"/>
          <w:sz w:val="18"/>
          <w:szCs w:val="18"/>
          <w:color w:val="161616"/>
        </w:rPr>
        <w:t>based</w:t>
      </w:r>
      <w:r>
        <w:rPr>
          <w:rFonts w:ascii="Arial" w:cs="Arial" w:eastAsia="Arial" w:hAnsi="Arial"/>
          <w:sz w:val="18"/>
          <w:szCs w:val="18"/>
          <w:color w:val="2F2F2F"/>
        </w:rPr>
        <w:t xml:space="preserve"> on such </w:t>
      </w:r>
      <w:r>
        <w:rPr>
          <w:rFonts w:ascii="Arial" w:cs="Arial" w:eastAsia="Arial" w:hAnsi="Arial"/>
          <w:sz w:val="18"/>
          <w:szCs w:val="18"/>
          <w:color w:val="161616"/>
        </w:rPr>
        <w:t>potential</w:t>
      </w:r>
      <w:r>
        <w:rPr>
          <w:rFonts w:ascii="Arial" w:cs="Arial" w:eastAsia="Arial" w:hAnsi="Arial"/>
          <w:sz w:val="18"/>
          <w:szCs w:val="18"/>
          <w:color w:val="2F2F2F"/>
        </w:rPr>
        <w:t xml:space="preserve"> delay). Landlord's approval is solely given for the benefit of Landlord and </w:t>
      </w:r>
      <w:r>
        <w:rPr>
          <w:rFonts w:ascii="Arial" w:cs="Arial" w:eastAsia="Arial" w:hAnsi="Arial"/>
          <w:sz w:val="18"/>
          <w:szCs w:val="18"/>
          <w:color w:val="525252"/>
        </w:rPr>
        <w:t>Tenant</w:t>
      </w:r>
      <w:r>
        <w:rPr>
          <w:rFonts w:ascii="Arial" w:cs="Arial" w:eastAsia="Arial" w:hAnsi="Arial"/>
          <w:sz w:val="18"/>
          <w:szCs w:val="18"/>
          <w:color w:val="2F2F2F"/>
        </w:rPr>
        <w:t xml:space="preserve"> under this </w:t>
      </w:r>
      <w:r>
        <w:rPr>
          <w:rFonts w:ascii="Arial" w:cs="Arial" w:eastAsia="Arial" w:hAnsi="Arial"/>
          <w:sz w:val="18"/>
          <w:szCs w:val="18"/>
          <w:u w:val="single" w:color="auto"/>
          <w:color w:val="2F2F2F"/>
        </w:rPr>
        <w:t>Section 3</w:t>
      </w:r>
      <w:r>
        <w:rPr>
          <w:rFonts w:ascii="Arial" w:cs="Arial" w:eastAsia="Arial" w:hAnsi="Arial"/>
          <w:sz w:val="18"/>
          <w:szCs w:val="18"/>
          <w:color w:val="2F2F2F"/>
        </w:rPr>
        <w:t xml:space="preserve"> and neither Tenant nor any third party shall have the right to rely upon Landlord's approval of the ES Plans for any other </w:t>
      </w:r>
      <w:r>
        <w:rPr>
          <w:rFonts w:ascii="Arial" w:cs="Arial" w:eastAsia="Arial" w:hAnsi="Arial"/>
          <w:sz w:val="18"/>
          <w:szCs w:val="18"/>
          <w:color w:val="161616"/>
        </w:rPr>
        <w:t>purpose whatsoever.</w:t>
      </w:r>
      <w:r>
        <w:rPr>
          <w:rFonts w:ascii="Arial" w:cs="Arial" w:eastAsia="Arial" w:hAnsi="Arial"/>
          <w:sz w:val="18"/>
          <w:szCs w:val="18"/>
          <w:color w:val="2F2F2F"/>
        </w:rPr>
        <w:t xml:space="preserve"> Landlord shall not </w:t>
      </w:r>
      <w:r>
        <w:rPr>
          <w:rFonts w:ascii="Arial" w:cs="Arial" w:eastAsia="Arial" w:hAnsi="Arial"/>
          <w:sz w:val="18"/>
          <w:szCs w:val="18"/>
          <w:color w:val="161616"/>
        </w:rPr>
        <w:t xml:space="preserve">be </w:t>
      </w:r>
      <w:r>
        <w:rPr>
          <w:rFonts w:ascii="Arial" w:cs="Arial" w:eastAsia="Arial" w:hAnsi="Arial"/>
          <w:sz w:val="18"/>
          <w:szCs w:val="18"/>
          <w:color w:val="2F2F2F"/>
        </w:rPr>
        <w:t>responsible for any errors, omissions or defects contained in the ES Plans or the costs resulting therefrom. To the extent substantial</w:t>
      </w:r>
      <w:r>
        <w:rPr>
          <w:rFonts w:ascii="Arial" w:cs="Arial" w:eastAsia="Arial" w:hAnsi="Arial"/>
          <w:sz w:val="18"/>
          <w:szCs w:val="18"/>
          <w:color w:val="161616"/>
        </w:rPr>
        <w:t xml:space="preserve"> </w:t>
      </w:r>
      <w:r>
        <w:rPr>
          <w:rFonts w:ascii="Arial" w:cs="Arial" w:eastAsia="Arial" w:hAnsi="Arial"/>
          <w:sz w:val="18"/>
          <w:szCs w:val="18"/>
          <w:color w:val="2F2F2F"/>
        </w:rPr>
        <w:t xml:space="preserve">completion of </w:t>
      </w:r>
      <w:r>
        <w:rPr>
          <w:rFonts w:ascii="Arial" w:cs="Arial" w:eastAsia="Arial" w:hAnsi="Arial"/>
          <w:sz w:val="18"/>
          <w:szCs w:val="18"/>
          <w:color w:val="525252"/>
        </w:rPr>
        <w:t>Tenant's</w:t>
      </w:r>
      <w:r>
        <w:rPr>
          <w:rFonts w:ascii="Arial" w:cs="Arial" w:eastAsia="Arial" w:hAnsi="Arial"/>
          <w:sz w:val="18"/>
          <w:szCs w:val="18"/>
          <w:color w:val="2F2F2F"/>
        </w:rPr>
        <w:t xml:space="preserve"> ES Fitout is </w:t>
      </w:r>
      <w:r>
        <w:rPr>
          <w:rFonts w:ascii="Arial" w:cs="Arial" w:eastAsia="Arial" w:hAnsi="Arial"/>
          <w:sz w:val="18"/>
          <w:szCs w:val="18"/>
          <w:color w:val="161616"/>
        </w:rPr>
        <w:t>delayed</w:t>
      </w:r>
      <w:r>
        <w:rPr>
          <w:rFonts w:ascii="Arial" w:cs="Arial" w:eastAsia="Arial" w:hAnsi="Arial"/>
          <w:sz w:val="18"/>
          <w:szCs w:val="18"/>
          <w:color w:val="2F2F2F"/>
        </w:rPr>
        <w:t xml:space="preserve"> due to errors, omissions or defects in any of the ES Plans, such </w:t>
      </w:r>
      <w:r>
        <w:rPr>
          <w:rFonts w:ascii="Arial" w:cs="Arial" w:eastAsia="Arial" w:hAnsi="Arial"/>
          <w:sz w:val="18"/>
          <w:szCs w:val="18"/>
          <w:color w:val="161616"/>
        </w:rPr>
        <w:t>delays</w:t>
      </w:r>
      <w:r>
        <w:rPr>
          <w:rFonts w:ascii="Arial" w:cs="Arial" w:eastAsia="Arial" w:hAnsi="Arial"/>
          <w:sz w:val="18"/>
          <w:szCs w:val="18"/>
          <w:color w:val="2F2F2F"/>
        </w:rPr>
        <w:t xml:space="preserve"> shall </w:t>
      </w:r>
      <w:r>
        <w:rPr>
          <w:rFonts w:ascii="Arial" w:cs="Arial" w:eastAsia="Arial" w:hAnsi="Arial"/>
          <w:sz w:val="18"/>
          <w:szCs w:val="18"/>
          <w:color w:val="161616"/>
        </w:rPr>
        <w:t>be</w:t>
      </w:r>
      <w:r>
        <w:rPr>
          <w:rFonts w:ascii="Arial" w:cs="Arial" w:eastAsia="Arial" w:hAnsi="Arial"/>
          <w:sz w:val="18"/>
          <w:szCs w:val="18"/>
          <w:color w:val="2F2F2F"/>
        </w:rPr>
        <w:t xml:space="preserve"> </w:t>
      </w:r>
      <w:r>
        <w:rPr>
          <w:rFonts w:ascii="Arial" w:cs="Arial" w:eastAsia="Arial" w:hAnsi="Arial"/>
          <w:sz w:val="18"/>
          <w:szCs w:val="18"/>
          <w:color w:val="525252"/>
        </w:rPr>
        <w:t>Tenant</w:t>
      </w:r>
      <w:r>
        <w:rPr>
          <w:rFonts w:ascii="Arial" w:cs="Arial" w:eastAsia="Arial" w:hAnsi="Arial"/>
          <w:sz w:val="18"/>
          <w:szCs w:val="18"/>
          <w:color w:val="2F2F2F"/>
        </w:rPr>
        <w:t xml:space="preserve"> Delays. Any request for approval of the ES Plans shall </w:t>
      </w:r>
      <w:r>
        <w:rPr>
          <w:rFonts w:ascii="Arial" w:cs="Arial" w:eastAsia="Arial" w:hAnsi="Arial"/>
          <w:sz w:val="18"/>
          <w:szCs w:val="18"/>
          <w:color w:val="161616"/>
        </w:rPr>
        <w:t>be</w:t>
      </w:r>
      <w:r>
        <w:rPr>
          <w:rFonts w:ascii="Arial" w:cs="Arial" w:eastAsia="Arial" w:hAnsi="Arial"/>
          <w:sz w:val="18"/>
          <w:szCs w:val="18"/>
          <w:color w:val="2F2F2F"/>
        </w:rPr>
        <w:t xml:space="preserve"> accompanied </w:t>
      </w:r>
      <w:r>
        <w:rPr>
          <w:rFonts w:ascii="Arial" w:cs="Arial" w:eastAsia="Arial" w:hAnsi="Arial"/>
          <w:sz w:val="18"/>
          <w:szCs w:val="18"/>
          <w:color w:val="161616"/>
        </w:rPr>
        <w:t>by</w:t>
      </w:r>
      <w:r>
        <w:rPr>
          <w:rFonts w:ascii="Arial" w:cs="Arial" w:eastAsia="Arial" w:hAnsi="Arial"/>
          <w:sz w:val="18"/>
          <w:szCs w:val="18"/>
          <w:color w:val="2F2F2F"/>
        </w:rPr>
        <w:t xml:space="preserve"> (A) a certification from a </w:t>
      </w:r>
      <w:r>
        <w:rPr>
          <w:rFonts w:ascii="Arial" w:cs="Arial" w:eastAsia="Arial" w:hAnsi="Arial"/>
          <w:sz w:val="18"/>
          <w:szCs w:val="18"/>
          <w:color w:val="161616"/>
        </w:rPr>
        <w:t>licensed</w:t>
      </w:r>
      <w:r>
        <w:rPr>
          <w:rFonts w:ascii="Arial" w:cs="Arial" w:eastAsia="Arial" w:hAnsi="Arial"/>
          <w:sz w:val="18"/>
          <w:szCs w:val="18"/>
          <w:color w:val="2F2F2F"/>
        </w:rPr>
        <w:t xml:space="preserve"> code engineer that such </w:t>
      </w:r>
      <w:r>
        <w:rPr>
          <w:rFonts w:ascii="Arial" w:cs="Arial" w:eastAsia="Arial" w:hAnsi="Arial"/>
          <w:sz w:val="18"/>
          <w:szCs w:val="18"/>
          <w:color w:val="161616"/>
        </w:rPr>
        <w:t xml:space="preserve">plans </w:t>
      </w:r>
      <w:r>
        <w:rPr>
          <w:rFonts w:ascii="Arial" w:cs="Arial" w:eastAsia="Arial" w:hAnsi="Arial"/>
          <w:sz w:val="18"/>
          <w:szCs w:val="18"/>
          <w:color w:val="2F2F2F"/>
        </w:rPr>
        <w:t>are code compliant, and (B) a certification from Landlord's MEP engineer that the ES</w:t>
      </w:r>
      <w:r>
        <w:rPr>
          <w:rFonts w:ascii="Arial" w:cs="Arial" w:eastAsia="Arial" w:hAnsi="Arial"/>
          <w:sz w:val="18"/>
          <w:szCs w:val="18"/>
          <w:color w:val="161616"/>
        </w:rPr>
        <w:t xml:space="preserve"> Plans </w:t>
      </w:r>
      <w:r>
        <w:rPr>
          <w:rFonts w:ascii="Arial" w:cs="Arial" w:eastAsia="Arial" w:hAnsi="Arial"/>
          <w:sz w:val="18"/>
          <w:szCs w:val="18"/>
          <w:color w:val="2F2F2F"/>
        </w:rPr>
        <w:t>are compatible with the base</w:t>
      </w:r>
      <w:r>
        <w:rPr>
          <w:rFonts w:ascii="Arial" w:cs="Arial" w:eastAsia="Arial" w:hAnsi="Arial"/>
          <w:sz w:val="18"/>
          <w:szCs w:val="18"/>
          <w:color w:val="161616"/>
        </w:rPr>
        <w:t xml:space="preserve"> building </w:t>
      </w:r>
      <w:r>
        <w:rPr>
          <w:rFonts w:ascii="Arial" w:cs="Arial" w:eastAsia="Arial" w:hAnsi="Arial"/>
          <w:sz w:val="18"/>
          <w:szCs w:val="18"/>
          <w:color w:val="2F2F2F"/>
        </w:rPr>
        <w:t>design. If Tenant timely submits drafts of the ES</w:t>
      </w:r>
      <w:r>
        <w:rPr>
          <w:rFonts w:ascii="Arial" w:cs="Arial" w:eastAsia="Arial" w:hAnsi="Arial"/>
          <w:sz w:val="18"/>
          <w:szCs w:val="18"/>
          <w:color w:val="161616"/>
        </w:rPr>
        <w:t xml:space="preserve"> Plans </w:t>
      </w:r>
      <w:r>
        <w:rPr>
          <w:rFonts w:ascii="Arial" w:cs="Arial" w:eastAsia="Arial" w:hAnsi="Arial"/>
          <w:sz w:val="18"/>
          <w:szCs w:val="18"/>
          <w:color w:val="2F2F2F"/>
        </w:rPr>
        <w:t>for review and approval, Landlord shall use commercially reasonable</w:t>
      </w:r>
      <w:r>
        <w:rPr>
          <w:rFonts w:ascii="Arial" w:cs="Arial" w:eastAsia="Arial" w:hAnsi="Arial"/>
          <w:sz w:val="18"/>
          <w:szCs w:val="18"/>
          <w:color w:val="161616"/>
        </w:rPr>
        <w:t xml:space="preserve"> </w:t>
      </w:r>
      <w:r>
        <w:rPr>
          <w:rFonts w:ascii="Arial" w:cs="Arial" w:eastAsia="Arial" w:hAnsi="Arial"/>
          <w:sz w:val="18"/>
          <w:szCs w:val="18"/>
          <w:color w:val="2F2F2F"/>
        </w:rPr>
        <w:t xml:space="preserve">efforts to respond to any such timely request for approval of the ES Plans within twelve (12) business </w:t>
      </w:r>
      <w:r>
        <w:rPr>
          <w:rFonts w:ascii="Arial" w:cs="Arial" w:eastAsia="Arial" w:hAnsi="Arial"/>
          <w:sz w:val="18"/>
          <w:szCs w:val="18"/>
          <w:color w:val="161616"/>
        </w:rPr>
        <w:t>days</w:t>
      </w:r>
      <w:r>
        <w:rPr>
          <w:rFonts w:ascii="Arial" w:cs="Arial" w:eastAsia="Arial" w:hAnsi="Arial"/>
          <w:sz w:val="18"/>
          <w:szCs w:val="18"/>
          <w:color w:val="2F2F2F"/>
        </w:rPr>
        <w:t xml:space="preserve"> after receipt thereof: </w:t>
      </w:r>
      <w:r>
        <w:rPr>
          <w:rFonts w:ascii="Arial" w:cs="Arial" w:eastAsia="Arial" w:hAnsi="Arial"/>
          <w:sz w:val="18"/>
          <w:szCs w:val="18"/>
          <w:u w:val="single" w:color="auto"/>
          <w:color w:val="2F2F2F"/>
        </w:rPr>
        <w:t>provided, however,</w:t>
      </w:r>
      <w:r>
        <w:rPr>
          <w:rFonts w:ascii="Arial" w:cs="Arial" w:eastAsia="Arial" w:hAnsi="Arial"/>
          <w:sz w:val="18"/>
          <w:szCs w:val="18"/>
          <w:color w:val="2F2F2F"/>
        </w:rPr>
        <w:t xml:space="preserve"> so </w:t>
      </w:r>
      <w:r>
        <w:rPr>
          <w:rFonts w:ascii="Arial" w:cs="Arial" w:eastAsia="Arial" w:hAnsi="Arial"/>
          <w:sz w:val="18"/>
          <w:szCs w:val="18"/>
          <w:color w:val="161616"/>
        </w:rPr>
        <w:t>long as Perkins &amp;</w:t>
      </w:r>
      <w:r>
        <w:rPr>
          <w:rFonts w:ascii="Arial" w:cs="Arial" w:eastAsia="Arial" w:hAnsi="Arial"/>
          <w:sz w:val="18"/>
          <w:szCs w:val="18"/>
          <w:color w:val="2F2F2F"/>
        </w:rPr>
        <w:t xml:space="preserve"> Will is the architect for Tenant's ES Fitout, Landlord shall use commercially reasonable efforts to respond to any such timely request for approval of the ES Plans within five (5) </w:t>
      </w:r>
      <w:r>
        <w:rPr>
          <w:rFonts w:ascii="Arial" w:cs="Arial" w:eastAsia="Arial" w:hAnsi="Arial"/>
          <w:sz w:val="18"/>
          <w:szCs w:val="18"/>
          <w:color w:val="161616"/>
        </w:rPr>
        <w:t>business days</w:t>
      </w:r>
      <w:r>
        <w:rPr>
          <w:rFonts w:ascii="Arial" w:cs="Arial" w:eastAsia="Arial" w:hAnsi="Arial"/>
          <w:sz w:val="18"/>
          <w:szCs w:val="18"/>
          <w:color w:val="2F2F2F"/>
        </w:rPr>
        <w:t xml:space="preserve"> after receipt </w:t>
      </w:r>
      <w:r>
        <w:rPr>
          <w:rFonts w:ascii="Arial" w:cs="Arial" w:eastAsia="Arial" w:hAnsi="Arial"/>
          <w:sz w:val="18"/>
          <w:szCs w:val="18"/>
          <w:color w:val="161616"/>
        </w:rPr>
        <w:t>thereof.</w:t>
      </w:r>
      <w:r>
        <w:rPr>
          <w:rFonts w:ascii="Arial" w:cs="Arial" w:eastAsia="Arial" w:hAnsi="Arial"/>
          <w:sz w:val="18"/>
          <w:szCs w:val="18"/>
          <w:color w:val="2F2F2F"/>
        </w:rPr>
        <w:t xml:space="preserve"> Landlord shall notify Tenant in reasonable detail if any of the ES Plans are unsatisfactory or incomplete in any respect. In the event Landlord disapproves any of the ES Plans, </w:t>
      </w:r>
      <w:r>
        <w:rPr>
          <w:rFonts w:ascii="Arial" w:cs="Arial" w:eastAsia="Arial" w:hAnsi="Arial"/>
          <w:sz w:val="18"/>
          <w:szCs w:val="18"/>
          <w:color w:val="525252"/>
        </w:rPr>
        <w:t>Tenant</w:t>
      </w:r>
      <w:r>
        <w:rPr>
          <w:rFonts w:ascii="Arial" w:cs="Arial" w:eastAsia="Arial" w:hAnsi="Arial"/>
          <w:sz w:val="18"/>
          <w:szCs w:val="18"/>
          <w:color w:val="2F2F2F"/>
        </w:rPr>
        <w:t xml:space="preserve"> shall revise </w:t>
      </w:r>
      <w:r>
        <w:rPr>
          <w:rFonts w:ascii="Arial" w:cs="Arial" w:eastAsia="Arial" w:hAnsi="Arial"/>
          <w:sz w:val="18"/>
          <w:szCs w:val="18"/>
          <w:color w:val="161616"/>
        </w:rPr>
        <w:t>the</w:t>
      </w:r>
      <w:r>
        <w:rPr>
          <w:rFonts w:ascii="Arial" w:cs="Arial" w:eastAsia="Arial" w:hAnsi="Arial"/>
          <w:sz w:val="18"/>
          <w:szCs w:val="18"/>
          <w:color w:val="2F2F2F"/>
        </w:rPr>
        <w:t xml:space="preserve"> same to address Landlord's comments and shall submit such revised ES Plan to Landlord for approval (and such process shall be continued until such ES Plan is approved by Landlord). The iteration of the Final ES Construction Drawings that is approved by Landlord shall be referred to herein as the "</w:t>
      </w:r>
      <w:r>
        <w:rPr>
          <w:rFonts w:ascii="Arial" w:cs="Arial" w:eastAsia="Arial" w:hAnsi="Arial"/>
          <w:sz w:val="18"/>
          <w:szCs w:val="18"/>
          <w:u w:val="single" w:color="auto"/>
          <w:color w:val="2F2F2F"/>
        </w:rPr>
        <w:t>Approved ES Plans</w:t>
      </w:r>
      <w:r>
        <w:rPr>
          <w:rFonts w:ascii="Arial" w:cs="Arial" w:eastAsia="Arial" w:hAnsi="Arial"/>
          <w:sz w:val="18"/>
          <w:szCs w:val="18"/>
          <w:color w:val="2F2F2F"/>
        </w:rPr>
        <w:t xml:space="preserve">." The ES Approved Plans, as they may be changed </w:t>
      </w:r>
      <w:r>
        <w:rPr>
          <w:rFonts w:ascii="Arial" w:cs="Arial" w:eastAsia="Arial" w:hAnsi="Arial"/>
          <w:sz w:val="18"/>
          <w:szCs w:val="18"/>
          <w:color w:val="161616"/>
        </w:rPr>
        <w:t>pursuant</w:t>
      </w:r>
      <w:r>
        <w:rPr>
          <w:rFonts w:ascii="Arial" w:cs="Arial" w:eastAsia="Arial" w:hAnsi="Arial"/>
          <w:sz w:val="18"/>
          <w:szCs w:val="18"/>
          <w:color w:val="2F2F2F"/>
        </w:rPr>
        <w:t xml:space="preserve"> to </w:t>
      </w:r>
      <w:r>
        <w:rPr>
          <w:rFonts w:ascii="Arial" w:cs="Arial" w:eastAsia="Arial" w:hAnsi="Arial"/>
          <w:sz w:val="18"/>
          <w:szCs w:val="18"/>
          <w:u w:val="single" w:color="auto"/>
          <w:color w:val="2F2F2F"/>
        </w:rPr>
        <w:t>Section 3(b)</w:t>
      </w:r>
      <w:r>
        <w:rPr>
          <w:rFonts w:ascii="Arial" w:cs="Arial" w:eastAsia="Arial" w:hAnsi="Arial"/>
          <w:sz w:val="18"/>
          <w:szCs w:val="18"/>
          <w:color w:val="2F2F2F"/>
        </w:rPr>
        <w:t xml:space="preserve"> of the Work Letter (as incorporated herein pursuant to </w:t>
      </w:r>
      <w:r>
        <w:rPr>
          <w:rFonts w:ascii="Arial" w:cs="Arial" w:eastAsia="Arial" w:hAnsi="Arial"/>
          <w:sz w:val="18"/>
          <w:szCs w:val="18"/>
          <w:u w:val="single" w:color="auto"/>
          <w:color w:val="2F2F2F"/>
        </w:rPr>
        <w:t>Section 3(a)</w:t>
      </w:r>
      <w:r>
        <w:rPr>
          <w:rFonts w:ascii="Arial" w:cs="Arial" w:eastAsia="Arial" w:hAnsi="Arial"/>
          <w:sz w:val="18"/>
          <w:szCs w:val="18"/>
          <w:color w:val="2F2F2F"/>
        </w:rPr>
        <w:t xml:space="preserve"> above), are hereinafter referred to as the </w:t>
      </w:r>
      <w:r>
        <w:rPr>
          <w:rFonts w:ascii="Arial" w:cs="Arial" w:eastAsia="Arial" w:hAnsi="Arial"/>
          <w:sz w:val="18"/>
          <w:szCs w:val="18"/>
          <w:u w:val="single" w:color="auto"/>
          <w:color w:val="2F2F2F"/>
        </w:rPr>
        <w:t>"Final 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54610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67"/>
          </w:cols>
          <w:pgMar w:left="1293" w:top="379" w:right="739" w:bottom="1440" w:gutter="0" w:footer="0" w:header="0"/>
        </w:sectPr>
      </w:pPr>
    </w:p>
    <w:bookmarkStart w:id="196" w:name="page197"/>
    <w:bookmarkEnd w:id="196"/>
    <w:p>
      <w:pPr>
        <w:jc w:val="both"/>
        <w:ind w:left="-753" w:firstLine="753"/>
        <w:spacing w:after="0" w:line="259" w:lineRule="auto"/>
        <w:tabs>
          <w:tab w:leader="none" w:pos="724" w:val="left"/>
        </w:tabs>
        <w:numPr>
          <w:ilvl w:val="0"/>
          <w:numId w:val="115"/>
        </w:numPr>
        <w:rPr>
          <w:rFonts w:ascii="Arial" w:cs="Arial" w:eastAsia="Arial" w:hAnsi="Arial"/>
          <w:sz w:val="19"/>
          <w:szCs w:val="19"/>
          <w:u w:val="single" w:color="auto"/>
          <w:color w:val="2F2F2F"/>
        </w:rPr>
      </w:pPr>
      <w:r>
        <w:rPr>
          <w:rFonts w:ascii="Arial" w:cs="Arial" w:eastAsia="Arial" w:hAnsi="Arial"/>
          <w:sz w:val="19"/>
          <w:szCs w:val="19"/>
          <w:u w:val="single" w:color="auto"/>
          <w:color w:val="2F2F2F"/>
        </w:rPr>
        <w:t>TESF Punchlist.</w:t>
      </w:r>
      <w:r>
        <w:rPr>
          <w:rFonts w:ascii="Arial" w:cs="Arial" w:eastAsia="Arial" w:hAnsi="Arial"/>
          <w:sz w:val="19"/>
          <w:szCs w:val="19"/>
          <w:color w:val="2F2F2F"/>
        </w:rPr>
        <w:t xml:space="preserve"> Attached to the certificate of substantial completion for </w:t>
      </w:r>
      <w:r>
        <w:rPr>
          <w:rFonts w:ascii="Arial" w:cs="Arial" w:eastAsia="Arial" w:hAnsi="Arial"/>
          <w:sz w:val="19"/>
          <w:szCs w:val="19"/>
          <w:color w:val="525252"/>
        </w:rPr>
        <w:t>Tenant's</w:t>
      </w:r>
      <w:r>
        <w:rPr>
          <w:rFonts w:ascii="Arial" w:cs="Arial" w:eastAsia="Arial" w:hAnsi="Arial"/>
          <w:sz w:val="19"/>
          <w:szCs w:val="19"/>
          <w:color w:val="2F2F2F"/>
        </w:rPr>
        <w:t xml:space="preserve"> ES Fitout consistent with </w:t>
      </w:r>
      <w:r>
        <w:rPr>
          <w:rFonts w:ascii="Arial" w:cs="Arial" w:eastAsia="Arial" w:hAnsi="Arial"/>
          <w:sz w:val="19"/>
          <w:szCs w:val="19"/>
          <w:u w:val="single" w:color="auto"/>
          <w:color w:val="2F2F2F"/>
        </w:rPr>
        <w:t>Section</w:t>
      </w:r>
      <w:r>
        <w:rPr>
          <w:rFonts w:ascii="Arial" w:cs="Arial" w:eastAsia="Arial" w:hAnsi="Arial"/>
          <w:sz w:val="19"/>
          <w:szCs w:val="19"/>
          <w:color w:val="2F2F2F"/>
        </w:rPr>
        <w:t xml:space="preserve"> </w:t>
      </w:r>
      <w:r>
        <w:rPr>
          <w:rFonts w:ascii="Arial" w:cs="Arial" w:eastAsia="Arial" w:hAnsi="Arial"/>
          <w:sz w:val="19"/>
          <w:szCs w:val="19"/>
          <w:u w:val="single" w:color="auto"/>
          <w:color w:val="2F2F2F"/>
        </w:rPr>
        <w:t>3(f)</w:t>
      </w:r>
      <w:r>
        <w:rPr>
          <w:rFonts w:ascii="Arial" w:cs="Arial" w:eastAsia="Arial" w:hAnsi="Arial"/>
          <w:sz w:val="19"/>
          <w:szCs w:val="19"/>
          <w:color w:val="2F2F2F"/>
        </w:rPr>
        <w:t xml:space="preserve"> of the Work Letter (as incorporated herein </w:t>
      </w:r>
      <w:r>
        <w:rPr>
          <w:rFonts w:ascii="Arial" w:cs="Arial" w:eastAsia="Arial" w:hAnsi="Arial"/>
          <w:sz w:val="19"/>
          <w:szCs w:val="19"/>
          <w:color w:val="161616"/>
        </w:rPr>
        <w:t>pursuant</w:t>
      </w:r>
      <w:r>
        <w:rPr>
          <w:rFonts w:ascii="Arial" w:cs="Arial" w:eastAsia="Arial" w:hAnsi="Arial"/>
          <w:sz w:val="19"/>
          <w:szCs w:val="19"/>
          <w:color w:val="2F2F2F"/>
        </w:rPr>
        <w:t xml:space="preserve"> to </w:t>
      </w:r>
      <w:r>
        <w:rPr>
          <w:rFonts w:ascii="Arial" w:cs="Arial" w:eastAsia="Arial" w:hAnsi="Arial"/>
          <w:sz w:val="19"/>
          <w:szCs w:val="19"/>
          <w:u w:val="single" w:color="auto"/>
          <w:color w:val="2F2F2F"/>
        </w:rPr>
        <w:t>Section 3(a)</w:t>
      </w:r>
      <w:r>
        <w:rPr>
          <w:rFonts w:ascii="Arial" w:cs="Arial" w:eastAsia="Arial" w:hAnsi="Arial"/>
          <w:sz w:val="19"/>
          <w:szCs w:val="19"/>
          <w:color w:val="2F2F2F"/>
        </w:rPr>
        <w:t xml:space="preserve"> above) shall be a list </w:t>
      </w:r>
      <w:r>
        <w:rPr>
          <w:rFonts w:ascii="Arial" w:cs="Arial" w:eastAsia="Arial" w:hAnsi="Arial"/>
          <w:sz w:val="19"/>
          <w:szCs w:val="19"/>
          <w:color w:val="161616"/>
        </w:rPr>
        <w:t>prepared by</w:t>
      </w:r>
      <w:r>
        <w:rPr>
          <w:rFonts w:ascii="Arial" w:cs="Arial" w:eastAsia="Arial" w:hAnsi="Arial"/>
          <w:sz w:val="19"/>
          <w:szCs w:val="19"/>
          <w:color w:val="2F2F2F"/>
        </w:rPr>
        <w:t xml:space="preserve"> Tenant's architect (the </w:t>
      </w:r>
      <w:r>
        <w:rPr>
          <w:rFonts w:ascii="Arial" w:cs="Arial" w:eastAsia="Arial" w:hAnsi="Arial"/>
          <w:sz w:val="19"/>
          <w:szCs w:val="19"/>
          <w:u w:val="single" w:color="auto"/>
          <w:color w:val="2F2F2F"/>
        </w:rPr>
        <w:t>"TESF Punchlist")</w:t>
      </w:r>
      <w:r>
        <w:rPr>
          <w:rFonts w:ascii="Arial" w:cs="Arial" w:eastAsia="Arial" w:hAnsi="Arial"/>
          <w:sz w:val="19"/>
          <w:szCs w:val="19"/>
          <w:color w:val="2F2F2F"/>
        </w:rPr>
        <w:t xml:space="preserve"> of outstanding </w:t>
      </w:r>
      <w:r>
        <w:rPr>
          <w:rFonts w:ascii="Arial" w:cs="Arial" w:eastAsia="Arial" w:hAnsi="Arial"/>
          <w:sz w:val="19"/>
          <w:szCs w:val="19"/>
          <w:color w:val="161616"/>
        </w:rPr>
        <w:t>items</w:t>
      </w:r>
      <w:r>
        <w:rPr>
          <w:rFonts w:ascii="Arial" w:cs="Arial" w:eastAsia="Arial" w:hAnsi="Arial"/>
          <w:sz w:val="19"/>
          <w:szCs w:val="19"/>
          <w:color w:val="2F2F2F"/>
        </w:rPr>
        <w:t xml:space="preserve"> (the </w:t>
      </w:r>
      <w:r>
        <w:rPr>
          <w:rFonts w:ascii="Arial" w:cs="Arial" w:eastAsia="Arial" w:hAnsi="Arial"/>
          <w:sz w:val="19"/>
          <w:szCs w:val="19"/>
          <w:u w:val="single" w:color="auto"/>
          <w:color w:val="2F2F2F"/>
        </w:rPr>
        <w:t>"TESF Punchlist Items")</w:t>
      </w:r>
      <w:r>
        <w:rPr>
          <w:rFonts w:ascii="Arial" w:cs="Arial" w:eastAsia="Arial" w:hAnsi="Arial"/>
          <w:sz w:val="19"/>
          <w:szCs w:val="19"/>
          <w:color w:val="2F2F2F"/>
        </w:rPr>
        <w:t xml:space="preserve"> which (i) need to be performed to complete Tenant's ES Fitout, and (ii) </w:t>
      </w:r>
      <w:r>
        <w:rPr>
          <w:rFonts w:ascii="Arial" w:cs="Arial" w:eastAsia="Arial" w:hAnsi="Arial"/>
          <w:sz w:val="19"/>
          <w:szCs w:val="19"/>
          <w:color w:val="161616"/>
        </w:rPr>
        <w:t>do</w:t>
      </w:r>
      <w:r>
        <w:rPr>
          <w:rFonts w:ascii="Arial" w:cs="Arial" w:eastAsia="Arial" w:hAnsi="Arial"/>
          <w:sz w:val="19"/>
          <w:szCs w:val="19"/>
          <w:color w:val="2F2F2F"/>
        </w:rPr>
        <w:t xml:space="preserve"> not materially interfere with the use of the Expansion Space for the </w:t>
      </w:r>
      <w:r>
        <w:rPr>
          <w:rFonts w:ascii="Arial" w:cs="Arial" w:eastAsia="Arial" w:hAnsi="Arial"/>
          <w:sz w:val="19"/>
          <w:szCs w:val="19"/>
          <w:color w:val="161616"/>
        </w:rPr>
        <w:t>Permitted</w:t>
      </w:r>
      <w:r>
        <w:rPr>
          <w:rFonts w:ascii="Arial" w:cs="Arial" w:eastAsia="Arial" w:hAnsi="Arial"/>
          <w:sz w:val="19"/>
          <w:szCs w:val="19"/>
          <w:color w:val="2F2F2F"/>
        </w:rPr>
        <w:t xml:space="preserve"> Use. Subject to Landlord's Force Majeure and Tenant Delays, Landlord shall, unless otherwise specified on the TESF </w:t>
      </w:r>
      <w:r>
        <w:rPr>
          <w:rFonts w:ascii="Arial" w:cs="Arial" w:eastAsia="Arial" w:hAnsi="Arial"/>
          <w:sz w:val="19"/>
          <w:szCs w:val="19"/>
          <w:color w:val="161616"/>
        </w:rPr>
        <w:t>Punchlist,</w:t>
      </w:r>
      <w:r>
        <w:rPr>
          <w:rFonts w:ascii="Arial" w:cs="Arial" w:eastAsia="Arial" w:hAnsi="Arial"/>
          <w:sz w:val="19"/>
          <w:szCs w:val="19"/>
          <w:color w:val="2F2F2F"/>
        </w:rPr>
        <w:t xml:space="preserve"> endeavor to complete the TESF Punchlist Items within sixty (60) days of the date of the TESF Punchlist.</w:t>
      </w:r>
    </w:p>
    <w:p>
      <w:pPr>
        <w:spacing w:after="0" w:line="70" w:lineRule="exact"/>
        <w:rPr>
          <w:rFonts w:ascii="Arial" w:cs="Arial" w:eastAsia="Arial" w:hAnsi="Arial"/>
          <w:sz w:val="19"/>
          <w:szCs w:val="19"/>
          <w:u w:val="single" w:color="auto"/>
          <w:color w:val="2F2F2F"/>
        </w:rPr>
      </w:pPr>
    </w:p>
    <w:p>
      <w:pPr>
        <w:jc w:val="both"/>
        <w:ind w:left="-753" w:right="20" w:firstLine="753"/>
        <w:spacing w:after="0" w:line="241" w:lineRule="auto"/>
        <w:tabs>
          <w:tab w:leader="none" w:pos="736" w:val="left"/>
        </w:tabs>
        <w:numPr>
          <w:ilvl w:val="0"/>
          <w:numId w:val="115"/>
        </w:numPr>
        <w:rPr>
          <w:rFonts w:ascii="Arial" w:cs="Arial" w:eastAsia="Arial" w:hAnsi="Arial"/>
          <w:sz w:val="19"/>
          <w:szCs w:val="19"/>
          <w:u w:val="single" w:color="auto"/>
          <w:color w:val="2F2F2F"/>
        </w:rPr>
      </w:pPr>
      <w:r>
        <w:rPr>
          <w:rFonts w:ascii="Arial" w:cs="Arial" w:eastAsia="Arial" w:hAnsi="Arial"/>
          <w:sz w:val="19"/>
          <w:szCs w:val="19"/>
          <w:u w:val="single" w:color="auto"/>
          <w:color w:val="2F2F2F"/>
        </w:rPr>
        <w:t>ES Costs</w:t>
      </w:r>
      <w:r>
        <w:rPr>
          <w:rFonts w:ascii="Arial" w:cs="Arial" w:eastAsia="Arial" w:hAnsi="Arial"/>
          <w:sz w:val="19"/>
          <w:szCs w:val="19"/>
          <w:color w:val="2F2F2F"/>
        </w:rPr>
        <w:t xml:space="preserve">. For </w:t>
      </w:r>
      <w:r>
        <w:rPr>
          <w:rFonts w:ascii="Arial" w:cs="Arial" w:eastAsia="Arial" w:hAnsi="Arial"/>
          <w:sz w:val="19"/>
          <w:szCs w:val="19"/>
          <w:color w:val="161616"/>
        </w:rPr>
        <w:t>purposes</w:t>
      </w:r>
      <w:r>
        <w:rPr>
          <w:rFonts w:ascii="Arial" w:cs="Arial" w:eastAsia="Arial" w:hAnsi="Arial"/>
          <w:sz w:val="19"/>
          <w:szCs w:val="19"/>
          <w:color w:val="2F2F2F"/>
        </w:rPr>
        <w:t xml:space="preserve"> hereof, </w:t>
      </w:r>
      <w:r>
        <w:rPr>
          <w:rFonts w:ascii="Arial" w:cs="Arial" w:eastAsia="Arial" w:hAnsi="Arial"/>
          <w:sz w:val="19"/>
          <w:szCs w:val="19"/>
          <w:u w:val="single" w:color="auto"/>
          <w:color w:val="2F2F2F"/>
        </w:rPr>
        <w:t>"ES Costs"</w:t>
      </w:r>
      <w:r>
        <w:rPr>
          <w:rFonts w:ascii="Arial" w:cs="Arial" w:eastAsia="Arial" w:hAnsi="Arial"/>
          <w:sz w:val="19"/>
          <w:szCs w:val="19"/>
          <w:color w:val="2F2F2F"/>
        </w:rPr>
        <w:t xml:space="preserve"> means (i) all costs incurred </w:t>
      </w:r>
      <w:r>
        <w:rPr>
          <w:rFonts w:ascii="Arial" w:cs="Arial" w:eastAsia="Arial" w:hAnsi="Arial"/>
          <w:sz w:val="19"/>
          <w:szCs w:val="19"/>
          <w:color w:val="161616"/>
        </w:rPr>
        <w:t>by</w:t>
      </w:r>
      <w:r>
        <w:rPr>
          <w:rFonts w:ascii="Arial" w:cs="Arial" w:eastAsia="Arial" w:hAnsi="Arial"/>
          <w:sz w:val="19"/>
          <w:szCs w:val="19"/>
          <w:color w:val="2F2F2F"/>
        </w:rPr>
        <w:t xml:space="preserve"> Landlord in connection with or reasonably allocated to </w:t>
      </w:r>
      <w:r>
        <w:rPr>
          <w:rFonts w:ascii="Arial" w:cs="Arial" w:eastAsia="Arial" w:hAnsi="Arial"/>
          <w:sz w:val="19"/>
          <w:szCs w:val="19"/>
          <w:color w:val="525252"/>
        </w:rPr>
        <w:t>Tenant's</w:t>
      </w:r>
      <w:r>
        <w:rPr>
          <w:rFonts w:ascii="Arial" w:cs="Arial" w:eastAsia="Arial" w:hAnsi="Arial"/>
          <w:sz w:val="19"/>
          <w:szCs w:val="19"/>
          <w:color w:val="2F2F2F"/>
        </w:rPr>
        <w:t xml:space="preserve"> ES Fitout without mark-up, including without limitation the costs of reviewing the ES Plans and the costs of </w:t>
      </w:r>
      <w:r>
        <w:rPr>
          <w:rFonts w:ascii="Arial" w:cs="Arial" w:eastAsia="Arial" w:hAnsi="Arial"/>
          <w:sz w:val="19"/>
          <w:szCs w:val="19"/>
          <w:color w:val="161616"/>
        </w:rPr>
        <w:t>p</w:t>
      </w:r>
      <w:r>
        <w:rPr>
          <w:rFonts w:ascii="Arial" w:cs="Arial" w:eastAsia="Arial" w:hAnsi="Arial"/>
          <w:sz w:val="19"/>
          <w:szCs w:val="19"/>
          <w:color w:val="2F2F2F"/>
        </w:rPr>
        <w:t>ermitting</w:t>
      </w:r>
      <w:r>
        <w:rPr>
          <w:rFonts w:ascii="Arial" w:cs="Arial" w:eastAsia="Arial" w:hAnsi="Arial"/>
          <w:sz w:val="19"/>
          <w:szCs w:val="19"/>
          <w:color w:val="525252"/>
        </w:rPr>
        <w:t>,</w:t>
      </w:r>
      <w:r>
        <w:rPr>
          <w:rFonts w:ascii="Arial" w:cs="Arial" w:eastAsia="Arial" w:hAnsi="Arial"/>
          <w:sz w:val="19"/>
          <w:szCs w:val="19"/>
          <w:color w:val="2F2F2F"/>
        </w:rPr>
        <w:t xml:space="preserve"> constructing, coordinating and performing Tenant's ES Fitout, as affected </w:t>
      </w:r>
      <w:r>
        <w:rPr>
          <w:rFonts w:ascii="Arial" w:cs="Arial" w:eastAsia="Arial" w:hAnsi="Arial"/>
          <w:sz w:val="19"/>
          <w:szCs w:val="19"/>
          <w:color w:val="161616"/>
        </w:rPr>
        <w:t>by</w:t>
      </w:r>
      <w:r>
        <w:rPr>
          <w:rFonts w:ascii="Arial" w:cs="Arial" w:eastAsia="Arial" w:hAnsi="Arial"/>
          <w:sz w:val="19"/>
          <w:szCs w:val="19"/>
          <w:color w:val="2F2F2F"/>
        </w:rPr>
        <w:t xml:space="preserve"> any changes made (or requested </w:t>
      </w:r>
      <w:r>
        <w:rPr>
          <w:rFonts w:ascii="Arial" w:cs="Arial" w:eastAsia="Arial" w:hAnsi="Arial"/>
          <w:sz w:val="19"/>
          <w:szCs w:val="19"/>
          <w:color w:val="161616"/>
        </w:rPr>
        <w:t>by</w:t>
      </w:r>
      <w:r>
        <w:rPr>
          <w:rFonts w:ascii="Arial" w:cs="Arial" w:eastAsia="Arial" w:hAnsi="Arial"/>
          <w:sz w:val="19"/>
          <w:szCs w:val="19"/>
          <w:color w:val="2F2F2F"/>
        </w:rPr>
        <w:t xml:space="preserve"> Tenant) in accordance with </w:t>
      </w:r>
      <w:r>
        <w:rPr>
          <w:rFonts w:ascii="Arial" w:cs="Arial" w:eastAsia="Arial" w:hAnsi="Arial"/>
          <w:sz w:val="19"/>
          <w:szCs w:val="19"/>
          <w:u w:val="single" w:color="auto"/>
          <w:color w:val="2F2F2F"/>
        </w:rPr>
        <w:t>Section 3(b)</w:t>
      </w:r>
      <w:r>
        <w:rPr>
          <w:rFonts w:ascii="Arial" w:cs="Arial" w:eastAsia="Arial" w:hAnsi="Arial"/>
          <w:sz w:val="19"/>
          <w:szCs w:val="19"/>
          <w:color w:val="2F2F2F"/>
        </w:rPr>
        <w:t xml:space="preserve"> of the Work Letter (as incorporated herein pursuant to </w:t>
      </w:r>
      <w:r>
        <w:rPr>
          <w:rFonts w:ascii="Arial" w:cs="Arial" w:eastAsia="Arial" w:hAnsi="Arial"/>
          <w:sz w:val="19"/>
          <w:szCs w:val="19"/>
          <w:u w:val="single" w:color="auto"/>
          <w:color w:val="2F2F2F"/>
        </w:rPr>
        <w:t>Section 3(a)</w:t>
      </w:r>
      <w:r>
        <w:rPr>
          <w:rFonts w:ascii="Arial" w:cs="Arial" w:eastAsia="Arial" w:hAnsi="Arial"/>
          <w:sz w:val="19"/>
          <w:szCs w:val="19"/>
          <w:color w:val="2F2F2F"/>
        </w:rPr>
        <w:t xml:space="preserve"> above) and the costs of any third party construction</w:t>
      </w:r>
      <w:r>
        <w:rPr>
          <w:rFonts w:ascii="Arial" w:cs="Arial" w:eastAsia="Arial" w:hAnsi="Arial"/>
          <w:sz w:val="19"/>
          <w:szCs w:val="19"/>
          <w:color w:val="7C7C7C"/>
        </w:rPr>
        <w:t>/</w:t>
      </w:r>
      <w:r>
        <w:rPr>
          <w:rFonts w:ascii="Arial" w:cs="Arial" w:eastAsia="Arial" w:hAnsi="Arial"/>
          <w:sz w:val="19"/>
          <w:szCs w:val="19"/>
          <w:color w:val="161616"/>
        </w:rPr>
        <w:t>p</w:t>
      </w:r>
      <w:r>
        <w:rPr>
          <w:rFonts w:ascii="Arial" w:cs="Arial" w:eastAsia="Arial" w:hAnsi="Arial"/>
          <w:sz w:val="19"/>
          <w:szCs w:val="19"/>
          <w:color w:val="2F2F2F"/>
        </w:rPr>
        <w:t xml:space="preserve">roject manager(s) engaged </w:t>
      </w:r>
      <w:r>
        <w:rPr>
          <w:rFonts w:ascii="Arial" w:cs="Arial" w:eastAsia="Arial" w:hAnsi="Arial"/>
          <w:sz w:val="19"/>
          <w:szCs w:val="19"/>
          <w:color w:val="161616"/>
        </w:rPr>
        <w:t>by</w:t>
      </w:r>
      <w:r>
        <w:rPr>
          <w:rFonts w:ascii="Arial" w:cs="Arial" w:eastAsia="Arial" w:hAnsi="Arial"/>
          <w:sz w:val="19"/>
          <w:szCs w:val="19"/>
          <w:color w:val="2F2F2F"/>
        </w:rPr>
        <w:t xml:space="preserve"> Landlord, less (ii) the Excluded ES Construction Costs (hereinafter </w:t>
      </w:r>
      <w:r>
        <w:rPr>
          <w:rFonts w:ascii="Arial" w:cs="Arial" w:eastAsia="Arial" w:hAnsi="Arial"/>
          <w:sz w:val="19"/>
          <w:szCs w:val="19"/>
          <w:color w:val="161616"/>
        </w:rPr>
        <w:t xml:space="preserve">defined). </w:t>
      </w:r>
      <w:r>
        <w:rPr>
          <w:rFonts w:ascii="Arial" w:cs="Arial" w:eastAsia="Arial" w:hAnsi="Arial"/>
          <w:sz w:val="19"/>
          <w:szCs w:val="19"/>
          <w:color w:val="2F2F2F"/>
        </w:rPr>
        <w:t>With respect to costs incurred in connection with</w:t>
      </w:r>
      <w:r>
        <w:rPr>
          <w:rFonts w:ascii="Arial" w:cs="Arial" w:eastAsia="Arial" w:hAnsi="Arial"/>
          <w:sz w:val="19"/>
          <w:szCs w:val="19"/>
          <w:color w:val="161616"/>
        </w:rPr>
        <w:t xml:space="preserve"> both </w:t>
      </w:r>
      <w:r>
        <w:rPr>
          <w:rFonts w:ascii="Arial" w:cs="Arial" w:eastAsia="Arial" w:hAnsi="Arial"/>
          <w:sz w:val="19"/>
          <w:szCs w:val="19"/>
          <w:color w:val="2F2F2F"/>
        </w:rPr>
        <w:t>Landlord's Base Building Work and Tenant's ES Fitout (including</w:t>
      </w:r>
      <w:r>
        <w:rPr>
          <w:rFonts w:ascii="Arial" w:cs="Arial" w:eastAsia="Arial" w:hAnsi="Arial"/>
          <w:sz w:val="19"/>
          <w:szCs w:val="19"/>
          <w:color w:val="161616"/>
        </w:rPr>
        <w:t xml:space="preserve"> </w:t>
      </w:r>
      <w:r>
        <w:rPr>
          <w:rFonts w:ascii="Arial" w:cs="Arial" w:eastAsia="Arial" w:hAnsi="Arial"/>
          <w:sz w:val="19"/>
          <w:szCs w:val="19"/>
          <w:color w:val="2F2F2F"/>
        </w:rPr>
        <w:t xml:space="preserve">without </w:t>
      </w:r>
      <w:r>
        <w:rPr>
          <w:rFonts w:ascii="Arial" w:cs="Arial" w:eastAsia="Arial" w:hAnsi="Arial"/>
          <w:sz w:val="19"/>
          <w:szCs w:val="19"/>
          <w:color w:val="161616"/>
        </w:rPr>
        <w:t>limitation</w:t>
      </w:r>
      <w:r>
        <w:rPr>
          <w:rFonts w:ascii="Arial" w:cs="Arial" w:eastAsia="Arial" w:hAnsi="Arial"/>
          <w:sz w:val="19"/>
          <w:szCs w:val="19"/>
          <w:color w:val="2F2F2F"/>
        </w:rPr>
        <w:t xml:space="preserve"> police details, rubbish removal and hoisting costs), such costs shall </w:t>
      </w:r>
      <w:r>
        <w:rPr>
          <w:rFonts w:ascii="Arial" w:cs="Arial" w:eastAsia="Arial" w:hAnsi="Arial"/>
          <w:sz w:val="19"/>
          <w:szCs w:val="19"/>
          <w:color w:val="161616"/>
        </w:rPr>
        <w:t>be</w:t>
      </w:r>
      <w:r>
        <w:rPr>
          <w:rFonts w:ascii="Arial" w:cs="Arial" w:eastAsia="Arial" w:hAnsi="Arial"/>
          <w:sz w:val="19"/>
          <w:szCs w:val="19"/>
          <w:color w:val="2F2F2F"/>
        </w:rPr>
        <w:t xml:space="preserve"> allocated between Landlord's Base Building Work and Tenant's ES </w:t>
      </w:r>
      <w:r>
        <w:rPr>
          <w:rFonts w:ascii="Arial" w:cs="Arial" w:eastAsia="Arial" w:hAnsi="Arial"/>
          <w:sz w:val="19"/>
          <w:szCs w:val="19"/>
          <w:color w:val="4B4B4B"/>
        </w:rPr>
        <w:t>Fitout</w:t>
      </w:r>
      <w:r>
        <w:rPr>
          <w:rFonts w:ascii="Arial" w:cs="Arial" w:eastAsia="Arial" w:hAnsi="Arial"/>
          <w:sz w:val="19"/>
          <w:szCs w:val="19"/>
          <w:color w:val="2F2F2F"/>
        </w:rPr>
        <w:t xml:space="preserve"> according to the volume of work in </w:t>
      </w:r>
      <w:r>
        <w:rPr>
          <w:rFonts w:ascii="Arial" w:cs="Arial" w:eastAsia="Arial" w:hAnsi="Arial"/>
          <w:sz w:val="19"/>
          <w:szCs w:val="19"/>
          <w:color w:val="161616"/>
        </w:rPr>
        <w:t>place</w:t>
      </w:r>
      <w:r>
        <w:rPr>
          <w:rFonts w:ascii="Arial" w:cs="Arial" w:eastAsia="Arial" w:hAnsi="Arial"/>
          <w:sz w:val="19"/>
          <w:szCs w:val="19"/>
          <w:color w:val="2F2F2F"/>
        </w:rPr>
        <w:t xml:space="preserve"> the prior month (or another reasonable method). </w:t>
      </w:r>
      <w:r>
        <w:rPr>
          <w:rFonts w:ascii="Arial" w:cs="Arial" w:eastAsia="Arial" w:hAnsi="Arial"/>
          <w:sz w:val="19"/>
          <w:szCs w:val="19"/>
          <w:color w:val="4B4B4B"/>
        </w:rPr>
        <w:t>Tenant's</w:t>
      </w:r>
      <w:r>
        <w:rPr>
          <w:rFonts w:ascii="Arial" w:cs="Arial" w:eastAsia="Arial" w:hAnsi="Arial"/>
          <w:sz w:val="19"/>
          <w:szCs w:val="19"/>
          <w:color w:val="2F2F2F"/>
        </w:rPr>
        <w:t xml:space="preserve"> ES </w:t>
      </w:r>
      <w:r>
        <w:rPr>
          <w:rFonts w:ascii="Arial" w:cs="Arial" w:eastAsia="Arial" w:hAnsi="Arial"/>
          <w:sz w:val="19"/>
          <w:szCs w:val="19"/>
          <w:color w:val="4B4B4B"/>
        </w:rPr>
        <w:t xml:space="preserve">Fitout </w:t>
      </w:r>
      <w:r>
        <w:rPr>
          <w:rFonts w:ascii="Arial" w:cs="Arial" w:eastAsia="Arial" w:hAnsi="Arial"/>
          <w:sz w:val="19"/>
          <w:szCs w:val="19"/>
          <w:color w:val="2F2F2F"/>
        </w:rPr>
        <w:t>shall be</w:t>
      </w:r>
      <w:r>
        <w:rPr>
          <w:rFonts w:ascii="Arial" w:cs="Arial" w:eastAsia="Arial" w:hAnsi="Arial"/>
          <w:sz w:val="19"/>
          <w:szCs w:val="19"/>
          <w:color w:val="4B4B4B"/>
        </w:rPr>
        <w:t xml:space="preserve"> </w:t>
      </w:r>
      <w:r>
        <w:rPr>
          <w:rFonts w:ascii="Arial" w:cs="Arial" w:eastAsia="Arial" w:hAnsi="Arial"/>
          <w:sz w:val="19"/>
          <w:szCs w:val="19"/>
          <w:color w:val="161616"/>
        </w:rPr>
        <w:t>performed</w:t>
      </w:r>
      <w:r>
        <w:rPr>
          <w:rFonts w:ascii="Arial" w:cs="Arial" w:eastAsia="Arial" w:hAnsi="Arial"/>
          <w:sz w:val="19"/>
          <w:szCs w:val="19"/>
          <w:color w:val="4B4B4B"/>
        </w:rPr>
        <w:t xml:space="preserve"> </w:t>
      </w:r>
      <w:r>
        <w:rPr>
          <w:rFonts w:ascii="Arial" w:cs="Arial" w:eastAsia="Arial" w:hAnsi="Arial"/>
          <w:sz w:val="19"/>
          <w:szCs w:val="19"/>
          <w:color w:val="2F2F2F"/>
        </w:rPr>
        <w:t>on a so-called</w:t>
      </w:r>
      <w:r>
        <w:rPr>
          <w:rFonts w:ascii="Arial" w:cs="Arial" w:eastAsia="Arial" w:hAnsi="Arial"/>
          <w:sz w:val="19"/>
          <w:szCs w:val="19"/>
          <w:color w:val="4B4B4B"/>
        </w:rPr>
        <w:t xml:space="preserve"> "</w:t>
      </w:r>
      <w:r>
        <w:rPr>
          <w:rFonts w:ascii="Arial" w:cs="Arial" w:eastAsia="Arial" w:hAnsi="Arial"/>
          <w:sz w:val="19"/>
          <w:szCs w:val="19"/>
          <w:color w:val="2F2F2F"/>
        </w:rPr>
        <w:t>o</w:t>
      </w:r>
      <w:r>
        <w:rPr>
          <w:rFonts w:ascii="Arial" w:cs="Arial" w:eastAsia="Arial" w:hAnsi="Arial"/>
          <w:sz w:val="19"/>
          <w:szCs w:val="19"/>
          <w:color w:val="161616"/>
        </w:rPr>
        <w:t>p</w:t>
      </w:r>
      <w:r>
        <w:rPr>
          <w:rFonts w:ascii="Arial" w:cs="Arial" w:eastAsia="Arial" w:hAnsi="Arial"/>
          <w:sz w:val="19"/>
          <w:szCs w:val="19"/>
          <w:color w:val="2F2F2F"/>
        </w:rPr>
        <w:t>en book"</w:t>
      </w:r>
      <w:r>
        <w:rPr>
          <w:rFonts w:ascii="Arial" w:cs="Arial" w:eastAsia="Arial" w:hAnsi="Arial"/>
          <w:sz w:val="19"/>
          <w:szCs w:val="19"/>
          <w:color w:val="4B4B4B"/>
        </w:rPr>
        <w:t xml:space="preserve"> </w:t>
      </w:r>
      <w:r>
        <w:rPr>
          <w:rFonts w:ascii="Arial" w:cs="Arial" w:eastAsia="Arial" w:hAnsi="Arial"/>
          <w:sz w:val="19"/>
          <w:szCs w:val="19"/>
          <w:color w:val="161616"/>
        </w:rPr>
        <w:t>basis.</w:t>
      </w:r>
    </w:p>
    <w:p>
      <w:pPr>
        <w:spacing w:after="0" w:line="77" w:lineRule="exact"/>
        <w:rPr>
          <w:rFonts w:ascii="Arial" w:cs="Arial" w:eastAsia="Arial" w:hAnsi="Arial"/>
          <w:sz w:val="19"/>
          <w:szCs w:val="19"/>
          <w:u w:val="single" w:color="auto"/>
          <w:color w:val="2F2F2F"/>
        </w:rPr>
      </w:pPr>
    </w:p>
    <w:p>
      <w:pPr>
        <w:jc w:val="both"/>
        <w:ind w:left="-753" w:firstLine="753"/>
        <w:spacing w:after="0" w:line="253" w:lineRule="auto"/>
        <w:tabs>
          <w:tab w:leader="none" w:pos="739" w:val="left"/>
        </w:tabs>
        <w:numPr>
          <w:ilvl w:val="0"/>
          <w:numId w:val="115"/>
        </w:numPr>
        <w:rPr>
          <w:rFonts w:ascii="Arial" w:cs="Arial" w:eastAsia="Arial" w:hAnsi="Arial"/>
          <w:sz w:val="18"/>
          <w:szCs w:val="18"/>
          <w:color w:val="2F2F2F"/>
        </w:rPr>
      </w:pPr>
      <w:r>
        <w:rPr>
          <w:rFonts w:ascii="Arial" w:cs="Arial" w:eastAsia="Arial" w:hAnsi="Arial"/>
          <w:sz w:val="18"/>
          <w:szCs w:val="18"/>
          <w:u w:val="single" w:color="auto"/>
          <w:color w:val="2F2F2F"/>
        </w:rPr>
        <w:t>ES Allowance.</w:t>
      </w:r>
      <w:r>
        <w:rPr>
          <w:rFonts w:ascii="Arial" w:cs="Arial" w:eastAsia="Arial" w:hAnsi="Arial"/>
          <w:sz w:val="18"/>
          <w:szCs w:val="18"/>
          <w:color w:val="2F2F2F"/>
        </w:rPr>
        <w:t xml:space="preserve"> </w:t>
      </w:r>
      <w:r>
        <w:rPr>
          <w:rFonts w:ascii="Arial" w:cs="Arial" w:eastAsia="Arial" w:hAnsi="Arial"/>
          <w:sz w:val="18"/>
          <w:szCs w:val="18"/>
          <w:color w:val="161616"/>
        </w:rPr>
        <w:t>As</w:t>
      </w:r>
      <w:r>
        <w:rPr>
          <w:rFonts w:ascii="Arial" w:cs="Arial" w:eastAsia="Arial" w:hAnsi="Arial"/>
          <w:sz w:val="18"/>
          <w:szCs w:val="18"/>
          <w:color w:val="2F2F2F"/>
        </w:rPr>
        <w:t xml:space="preserve"> an </w:t>
      </w:r>
      <w:r>
        <w:rPr>
          <w:rFonts w:ascii="Arial" w:cs="Arial" w:eastAsia="Arial" w:hAnsi="Arial"/>
          <w:sz w:val="18"/>
          <w:szCs w:val="18"/>
          <w:color w:val="161616"/>
        </w:rPr>
        <w:t>i</w:t>
      </w:r>
      <w:r>
        <w:rPr>
          <w:rFonts w:ascii="Arial" w:cs="Arial" w:eastAsia="Arial" w:hAnsi="Arial"/>
          <w:sz w:val="18"/>
          <w:szCs w:val="18"/>
          <w:color w:val="2F2F2F"/>
        </w:rPr>
        <w:t>n</w:t>
      </w:r>
      <w:r>
        <w:rPr>
          <w:rFonts w:ascii="Arial" w:cs="Arial" w:eastAsia="Arial" w:hAnsi="Arial"/>
          <w:sz w:val="18"/>
          <w:szCs w:val="18"/>
          <w:color w:val="161616"/>
        </w:rPr>
        <w:t>d</w:t>
      </w:r>
      <w:r>
        <w:rPr>
          <w:rFonts w:ascii="Arial" w:cs="Arial" w:eastAsia="Arial" w:hAnsi="Arial"/>
          <w:sz w:val="18"/>
          <w:szCs w:val="18"/>
          <w:color w:val="2F2F2F"/>
        </w:rPr>
        <w:t>uc</w:t>
      </w:r>
      <w:r>
        <w:rPr>
          <w:rFonts w:ascii="Arial" w:cs="Arial" w:eastAsia="Arial" w:hAnsi="Arial"/>
          <w:sz w:val="18"/>
          <w:szCs w:val="18"/>
          <w:color w:val="4B4B4B"/>
        </w:rPr>
        <w:t>e</w:t>
      </w:r>
      <w:r>
        <w:rPr>
          <w:rFonts w:ascii="Arial" w:cs="Arial" w:eastAsia="Arial" w:hAnsi="Arial"/>
          <w:sz w:val="18"/>
          <w:szCs w:val="18"/>
          <w:color w:val="2F2F2F"/>
        </w:rPr>
        <w:t>ment to Tenant's entering into this Third Amendment, Landlord shall pay for up to One Million Six Hundred Three Thousand Nine Hundred Eighty and no</w:t>
      </w:r>
      <w:r>
        <w:rPr>
          <w:rFonts w:ascii="Arial" w:cs="Arial" w:eastAsia="Arial" w:hAnsi="Arial"/>
          <w:sz w:val="18"/>
          <w:szCs w:val="18"/>
          <w:color w:val="797979"/>
        </w:rPr>
        <w:t>/</w:t>
      </w:r>
      <w:r>
        <w:rPr>
          <w:rFonts w:ascii="Arial" w:cs="Arial" w:eastAsia="Arial" w:hAnsi="Arial"/>
          <w:sz w:val="18"/>
          <w:szCs w:val="18"/>
          <w:color w:val="161616"/>
        </w:rPr>
        <w:t>1</w:t>
      </w:r>
      <w:r>
        <w:rPr>
          <w:rFonts w:ascii="Arial" w:cs="Arial" w:eastAsia="Arial" w:hAnsi="Arial"/>
          <w:sz w:val="18"/>
          <w:szCs w:val="18"/>
          <w:color w:val="2F2F2F"/>
        </w:rPr>
        <w:t xml:space="preserve">00 Dollars ($1,603,980.00) (the </w:t>
      </w:r>
      <w:r>
        <w:rPr>
          <w:rFonts w:ascii="Arial" w:cs="Arial" w:eastAsia="Arial" w:hAnsi="Arial"/>
          <w:sz w:val="18"/>
          <w:szCs w:val="18"/>
          <w:u w:val="single" w:color="auto"/>
          <w:color w:val="2F2F2F"/>
        </w:rPr>
        <w:t>"ES Allowance")</w:t>
      </w:r>
      <w:r>
        <w:rPr>
          <w:rFonts w:ascii="Arial" w:cs="Arial" w:eastAsia="Arial" w:hAnsi="Arial"/>
          <w:sz w:val="18"/>
          <w:szCs w:val="18"/>
          <w:color w:val="2F2F2F"/>
        </w:rPr>
        <w:t xml:space="preserve"> of the ES Costs other than the following costs (collectively, </w:t>
      </w:r>
      <w:r>
        <w:rPr>
          <w:rFonts w:ascii="Arial" w:cs="Arial" w:eastAsia="Arial" w:hAnsi="Arial"/>
          <w:sz w:val="18"/>
          <w:szCs w:val="18"/>
          <w:u w:val="single" w:color="auto"/>
          <w:color w:val="2F2F2F"/>
        </w:rPr>
        <w:t>"Excluded ES Construction Costs"),</w:t>
      </w:r>
      <w:r>
        <w:rPr>
          <w:rFonts w:ascii="Arial" w:cs="Arial" w:eastAsia="Arial" w:hAnsi="Arial"/>
          <w:sz w:val="18"/>
          <w:szCs w:val="18"/>
          <w:color w:val="2F2F2F"/>
        </w:rPr>
        <w:t xml:space="preserve"> which Excluded ES Construction Costs shall be </w:t>
      </w:r>
      <w:r>
        <w:rPr>
          <w:rFonts w:ascii="Arial" w:cs="Arial" w:eastAsia="Arial" w:hAnsi="Arial"/>
          <w:sz w:val="18"/>
          <w:szCs w:val="18"/>
          <w:color w:val="161616"/>
        </w:rPr>
        <w:t>paid</w:t>
      </w:r>
      <w:r>
        <w:rPr>
          <w:rFonts w:ascii="Arial" w:cs="Arial" w:eastAsia="Arial" w:hAnsi="Arial"/>
          <w:sz w:val="18"/>
          <w:szCs w:val="18"/>
          <w:color w:val="2F2F2F"/>
        </w:rPr>
        <w:t xml:space="preserve"> for </w:t>
      </w:r>
      <w:r>
        <w:rPr>
          <w:rFonts w:ascii="Arial" w:cs="Arial" w:eastAsia="Arial" w:hAnsi="Arial"/>
          <w:sz w:val="18"/>
          <w:szCs w:val="18"/>
          <w:color w:val="161616"/>
        </w:rPr>
        <w:t>by</w:t>
      </w:r>
      <w:r>
        <w:rPr>
          <w:rFonts w:ascii="Arial" w:cs="Arial" w:eastAsia="Arial" w:hAnsi="Arial"/>
          <w:sz w:val="18"/>
          <w:szCs w:val="18"/>
          <w:color w:val="2F2F2F"/>
        </w:rPr>
        <w:t xml:space="preserve"> Tenant within thirty (30) </w:t>
      </w:r>
      <w:r>
        <w:rPr>
          <w:rFonts w:ascii="Arial" w:cs="Arial" w:eastAsia="Arial" w:hAnsi="Arial"/>
          <w:sz w:val="18"/>
          <w:szCs w:val="18"/>
          <w:color w:val="161616"/>
        </w:rPr>
        <w:t>days</w:t>
      </w:r>
      <w:r>
        <w:rPr>
          <w:rFonts w:ascii="Arial" w:cs="Arial" w:eastAsia="Arial" w:hAnsi="Arial"/>
          <w:sz w:val="18"/>
          <w:szCs w:val="18"/>
          <w:color w:val="2F2F2F"/>
        </w:rPr>
        <w:t xml:space="preserve"> of </w:t>
      </w:r>
      <w:r>
        <w:rPr>
          <w:rFonts w:ascii="Arial" w:cs="Arial" w:eastAsia="Arial" w:hAnsi="Arial"/>
          <w:sz w:val="18"/>
          <w:szCs w:val="18"/>
          <w:color w:val="161616"/>
        </w:rPr>
        <w:t>demand</w:t>
      </w:r>
      <w:r>
        <w:rPr>
          <w:rFonts w:ascii="Arial" w:cs="Arial" w:eastAsia="Arial" w:hAnsi="Arial"/>
          <w:sz w:val="18"/>
          <w:szCs w:val="18"/>
          <w:color w:val="2F2F2F"/>
        </w:rPr>
        <w:t xml:space="preserve"> from time to time during the design and/or construction phases of Tenant's ES Fitout (but </w:t>
      </w:r>
      <w:r>
        <w:rPr>
          <w:rFonts w:ascii="Arial" w:cs="Arial" w:eastAsia="Arial" w:hAnsi="Arial"/>
          <w:sz w:val="18"/>
          <w:szCs w:val="18"/>
          <w:color w:val="161616"/>
        </w:rPr>
        <w:t>in</w:t>
      </w:r>
      <w:r>
        <w:rPr>
          <w:rFonts w:ascii="Arial" w:cs="Arial" w:eastAsia="Arial" w:hAnsi="Arial"/>
          <w:sz w:val="18"/>
          <w:szCs w:val="18"/>
          <w:color w:val="2F2F2F"/>
        </w:rPr>
        <w:t xml:space="preserve"> no event more often than monthly): (i) the cost of acquiring or </w:t>
      </w:r>
      <w:r>
        <w:rPr>
          <w:rFonts w:ascii="Arial" w:cs="Arial" w:eastAsia="Arial" w:hAnsi="Arial"/>
          <w:sz w:val="18"/>
          <w:szCs w:val="18"/>
          <w:color w:val="161616"/>
        </w:rPr>
        <w:t>installing</w:t>
      </w:r>
      <w:r>
        <w:rPr>
          <w:rFonts w:ascii="Arial" w:cs="Arial" w:eastAsia="Arial" w:hAnsi="Arial"/>
          <w:sz w:val="18"/>
          <w:szCs w:val="18"/>
          <w:color w:val="2F2F2F"/>
        </w:rPr>
        <w:t xml:space="preserve"> any of Tenant's Property, including without limitation telecommunications and computer equipment and all associated wiring and cabling, any de-mountable </w:t>
      </w:r>
      <w:r>
        <w:rPr>
          <w:rFonts w:ascii="Arial" w:cs="Arial" w:eastAsia="Arial" w:hAnsi="Arial"/>
          <w:sz w:val="18"/>
          <w:szCs w:val="18"/>
          <w:color w:val="161616"/>
        </w:rPr>
        <w:t>d</w:t>
      </w:r>
      <w:r>
        <w:rPr>
          <w:rFonts w:ascii="Arial" w:cs="Arial" w:eastAsia="Arial" w:hAnsi="Arial"/>
          <w:sz w:val="18"/>
          <w:szCs w:val="18"/>
          <w:color w:val="2F2F2F"/>
        </w:rPr>
        <w:t>ecorations</w:t>
      </w:r>
      <w:r>
        <w:rPr>
          <w:rFonts w:ascii="Arial" w:cs="Arial" w:eastAsia="Arial" w:hAnsi="Arial"/>
          <w:sz w:val="18"/>
          <w:szCs w:val="18"/>
          <w:color w:val="4B4B4B"/>
        </w:rPr>
        <w:t>,</w:t>
      </w:r>
      <w:r>
        <w:rPr>
          <w:rFonts w:ascii="Arial" w:cs="Arial" w:eastAsia="Arial" w:hAnsi="Arial"/>
          <w:sz w:val="18"/>
          <w:szCs w:val="18"/>
          <w:color w:val="2F2F2F"/>
        </w:rPr>
        <w:t xml:space="preserve"> artwork and </w:t>
      </w:r>
      <w:r>
        <w:rPr>
          <w:rFonts w:ascii="Arial" w:cs="Arial" w:eastAsia="Arial" w:hAnsi="Arial"/>
          <w:sz w:val="18"/>
          <w:szCs w:val="18"/>
          <w:color w:val="161616"/>
        </w:rPr>
        <w:t>p</w:t>
      </w:r>
      <w:r>
        <w:rPr>
          <w:rFonts w:ascii="Arial" w:cs="Arial" w:eastAsia="Arial" w:hAnsi="Arial"/>
          <w:sz w:val="18"/>
          <w:szCs w:val="18"/>
          <w:color w:val="2F2F2F"/>
        </w:rPr>
        <w:t>artit</w:t>
      </w:r>
      <w:r>
        <w:rPr>
          <w:rFonts w:ascii="Arial" w:cs="Arial" w:eastAsia="Arial" w:hAnsi="Arial"/>
          <w:sz w:val="18"/>
          <w:szCs w:val="18"/>
          <w:color w:val="4B4B4B"/>
        </w:rPr>
        <w:t>i</w:t>
      </w:r>
      <w:r>
        <w:rPr>
          <w:rFonts w:ascii="Arial" w:cs="Arial" w:eastAsia="Arial" w:hAnsi="Arial"/>
          <w:sz w:val="18"/>
          <w:szCs w:val="18"/>
          <w:color w:val="2F2F2F"/>
        </w:rPr>
        <w:t>ons</w:t>
      </w:r>
      <w:r>
        <w:rPr>
          <w:rFonts w:ascii="Arial" w:cs="Arial" w:eastAsia="Arial" w:hAnsi="Arial"/>
          <w:sz w:val="18"/>
          <w:szCs w:val="18"/>
          <w:color w:val="4B4B4B"/>
        </w:rPr>
        <w:t>,</w:t>
      </w:r>
      <w:r>
        <w:rPr>
          <w:rFonts w:ascii="Arial" w:cs="Arial" w:eastAsia="Arial" w:hAnsi="Arial"/>
          <w:sz w:val="18"/>
          <w:szCs w:val="18"/>
          <w:color w:val="2F2F2F"/>
        </w:rPr>
        <w:t xml:space="preserve"> signs, and trade fixtures, or (ii) any so-called "soft costs"; </w:t>
      </w:r>
      <w:r>
        <w:rPr>
          <w:rFonts w:ascii="Arial" w:cs="Arial" w:eastAsia="Arial" w:hAnsi="Arial"/>
          <w:sz w:val="18"/>
          <w:szCs w:val="18"/>
          <w:u w:val="single" w:color="auto"/>
          <w:color w:val="2F2F2F"/>
        </w:rPr>
        <w:t>provided, however,</w:t>
      </w:r>
      <w:r>
        <w:rPr>
          <w:rFonts w:ascii="Arial" w:cs="Arial" w:eastAsia="Arial" w:hAnsi="Arial"/>
          <w:sz w:val="18"/>
          <w:szCs w:val="18"/>
          <w:color w:val="2F2F2F"/>
        </w:rPr>
        <w:t xml:space="preserve"> notwithstanding the foregoing, up to </w:t>
      </w:r>
      <w:r>
        <w:rPr>
          <w:rFonts w:ascii="Arial" w:cs="Arial" w:eastAsia="Arial" w:hAnsi="Arial"/>
          <w:sz w:val="18"/>
          <w:szCs w:val="18"/>
          <w:color w:val="161616"/>
        </w:rPr>
        <w:t>One</w:t>
      </w:r>
      <w:r>
        <w:rPr>
          <w:rFonts w:ascii="Arial" w:cs="Arial" w:eastAsia="Arial" w:hAnsi="Arial"/>
          <w:sz w:val="18"/>
          <w:szCs w:val="18"/>
          <w:color w:val="2F2F2F"/>
        </w:rPr>
        <w:t xml:space="preserve"> Hundred </w:t>
      </w:r>
      <w:r>
        <w:rPr>
          <w:rFonts w:ascii="Arial" w:cs="Arial" w:eastAsia="Arial" w:hAnsi="Arial"/>
          <w:sz w:val="18"/>
          <w:szCs w:val="18"/>
          <w:color w:val="161616"/>
        </w:rPr>
        <w:t>Sixty</w:t>
      </w:r>
      <w:r>
        <w:rPr>
          <w:rFonts w:ascii="Arial" w:cs="Arial" w:eastAsia="Arial" w:hAnsi="Arial"/>
          <w:sz w:val="18"/>
          <w:szCs w:val="18"/>
          <w:color w:val="2F2F2F"/>
        </w:rPr>
        <w:t xml:space="preserve"> Thousand </w:t>
      </w:r>
      <w:r>
        <w:rPr>
          <w:rFonts w:ascii="Arial" w:cs="Arial" w:eastAsia="Arial" w:hAnsi="Arial"/>
          <w:sz w:val="18"/>
          <w:szCs w:val="18"/>
          <w:color w:val="4B4B4B"/>
        </w:rPr>
        <w:t>Three</w:t>
      </w:r>
      <w:r>
        <w:rPr>
          <w:rFonts w:ascii="Arial" w:cs="Arial" w:eastAsia="Arial" w:hAnsi="Arial"/>
          <w:sz w:val="18"/>
          <w:szCs w:val="18"/>
          <w:color w:val="2F2F2F"/>
        </w:rPr>
        <w:t xml:space="preserve"> Hundred Ninety-Eight and no</w:t>
      </w:r>
      <w:r>
        <w:rPr>
          <w:rFonts w:ascii="Arial" w:cs="Arial" w:eastAsia="Arial" w:hAnsi="Arial"/>
          <w:sz w:val="18"/>
          <w:szCs w:val="18"/>
          <w:color w:val="797979"/>
        </w:rPr>
        <w:t>/</w:t>
      </w:r>
      <w:r>
        <w:rPr>
          <w:rFonts w:ascii="Arial" w:cs="Arial" w:eastAsia="Arial" w:hAnsi="Arial"/>
          <w:sz w:val="18"/>
          <w:szCs w:val="18"/>
          <w:color w:val="161616"/>
        </w:rPr>
        <w:t>10</w:t>
      </w:r>
      <w:r>
        <w:rPr>
          <w:rFonts w:ascii="Arial" w:cs="Arial" w:eastAsia="Arial" w:hAnsi="Arial"/>
          <w:sz w:val="18"/>
          <w:szCs w:val="18"/>
          <w:color w:val="2F2F2F"/>
        </w:rPr>
        <w:t xml:space="preserve">0 Dollars ($160,398.00) of the ES Allowance may </w:t>
      </w:r>
      <w:r>
        <w:rPr>
          <w:rFonts w:ascii="Arial" w:cs="Arial" w:eastAsia="Arial" w:hAnsi="Arial"/>
          <w:sz w:val="18"/>
          <w:szCs w:val="18"/>
          <w:color w:val="161616"/>
        </w:rPr>
        <w:t>be</w:t>
      </w:r>
      <w:r>
        <w:rPr>
          <w:rFonts w:ascii="Arial" w:cs="Arial" w:eastAsia="Arial" w:hAnsi="Arial"/>
          <w:sz w:val="18"/>
          <w:szCs w:val="18"/>
          <w:color w:val="2F2F2F"/>
        </w:rPr>
        <w:t xml:space="preserve"> used for </w:t>
      </w:r>
      <w:r>
        <w:rPr>
          <w:rFonts w:ascii="Arial" w:cs="Arial" w:eastAsia="Arial" w:hAnsi="Arial"/>
          <w:sz w:val="18"/>
          <w:szCs w:val="18"/>
          <w:color w:val="4B4B4B"/>
        </w:rPr>
        <w:t xml:space="preserve">Tenant's </w:t>
      </w:r>
      <w:r>
        <w:rPr>
          <w:rFonts w:ascii="Arial" w:cs="Arial" w:eastAsia="Arial" w:hAnsi="Arial"/>
          <w:sz w:val="18"/>
          <w:szCs w:val="18"/>
          <w:color w:val="2F2F2F"/>
        </w:rPr>
        <w:t>architectural, engineering and consultant fees and design and permitting costs and the cost of</w:t>
      </w:r>
      <w:r>
        <w:rPr>
          <w:rFonts w:ascii="Arial" w:cs="Arial" w:eastAsia="Arial" w:hAnsi="Arial"/>
          <w:sz w:val="18"/>
          <w:szCs w:val="18"/>
          <w:color w:val="4B4B4B"/>
        </w:rPr>
        <w:t xml:space="preserve"> Tenant's </w:t>
      </w:r>
      <w:r>
        <w:rPr>
          <w:rFonts w:ascii="Arial" w:cs="Arial" w:eastAsia="Arial" w:hAnsi="Arial"/>
          <w:sz w:val="18"/>
          <w:szCs w:val="18"/>
          <w:color w:val="2F2F2F"/>
        </w:rPr>
        <w:t>wiring and cabling</w:t>
      </w:r>
      <w:r>
        <w:rPr>
          <w:rFonts w:ascii="Arial" w:cs="Arial" w:eastAsia="Arial" w:hAnsi="Arial"/>
          <w:sz w:val="18"/>
          <w:szCs w:val="18"/>
          <w:color w:val="4B4B4B"/>
        </w:rPr>
        <w:t xml:space="preserve"> </w:t>
      </w:r>
      <w:r>
        <w:rPr>
          <w:rFonts w:ascii="Arial" w:cs="Arial" w:eastAsia="Arial" w:hAnsi="Arial"/>
          <w:sz w:val="18"/>
          <w:szCs w:val="18"/>
          <w:color w:val="2F2F2F"/>
        </w:rPr>
        <w:t xml:space="preserve">relating to </w:t>
      </w:r>
      <w:r>
        <w:rPr>
          <w:rFonts w:ascii="Arial" w:cs="Arial" w:eastAsia="Arial" w:hAnsi="Arial"/>
          <w:sz w:val="18"/>
          <w:szCs w:val="18"/>
          <w:color w:val="4B4B4B"/>
        </w:rPr>
        <w:t>Tenant's</w:t>
      </w:r>
      <w:r>
        <w:rPr>
          <w:rFonts w:ascii="Arial" w:cs="Arial" w:eastAsia="Arial" w:hAnsi="Arial"/>
          <w:sz w:val="18"/>
          <w:szCs w:val="18"/>
          <w:color w:val="2F2F2F"/>
        </w:rPr>
        <w:t xml:space="preserve"> ES Fitout. Landlord shall not charge any supervisory or management fees with respect to Tenant's ES Fitout, </w:t>
      </w:r>
      <w:r>
        <w:rPr>
          <w:rFonts w:ascii="Arial" w:cs="Arial" w:eastAsia="Arial" w:hAnsi="Arial"/>
          <w:sz w:val="18"/>
          <w:szCs w:val="18"/>
          <w:u w:val="single" w:color="auto"/>
          <w:color w:val="2F2F2F"/>
        </w:rPr>
        <w:t>provided</w:t>
      </w:r>
      <w:r>
        <w:rPr>
          <w:rFonts w:ascii="Arial" w:cs="Arial" w:eastAsia="Arial" w:hAnsi="Arial"/>
          <w:sz w:val="18"/>
          <w:szCs w:val="18"/>
          <w:color w:val="2F2F2F"/>
        </w:rPr>
        <w:t xml:space="preserve"> that there shall be included </w:t>
      </w:r>
      <w:r>
        <w:rPr>
          <w:rFonts w:ascii="Arial" w:cs="Arial" w:eastAsia="Arial" w:hAnsi="Arial"/>
          <w:sz w:val="18"/>
          <w:szCs w:val="18"/>
          <w:color w:val="161616"/>
        </w:rPr>
        <w:t>in</w:t>
      </w:r>
      <w:r>
        <w:rPr>
          <w:rFonts w:ascii="Arial" w:cs="Arial" w:eastAsia="Arial" w:hAnsi="Arial"/>
          <w:sz w:val="18"/>
          <w:szCs w:val="18"/>
          <w:color w:val="2F2F2F"/>
        </w:rPr>
        <w:t xml:space="preserve"> ES Costs the costs of third-party review of the ES </w:t>
      </w:r>
      <w:r>
        <w:rPr>
          <w:rFonts w:ascii="Arial" w:cs="Arial" w:eastAsia="Arial" w:hAnsi="Arial"/>
          <w:sz w:val="18"/>
          <w:szCs w:val="18"/>
          <w:color w:val="161616"/>
        </w:rPr>
        <w:t>Plans</w:t>
      </w:r>
      <w:r>
        <w:rPr>
          <w:rFonts w:ascii="Arial" w:cs="Arial" w:eastAsia="Arial" w:hAnsi="Arial"/>
          <w:sz w:val="18"/>
          <w:szCs w:val="18"/>
          <w:color w:val="2F2F2F"/>
        </w:rPr>
        <w:t xml:space="preserve"> and reasonable out of pocket costs of any third-party construct</w:t>
      </w:r>
      <w:r>
        <w:rPr>
          <w:rFonts w:ascii="Arial" w:cs="Arial" w:eastAsia="Arial" w:hAnsi="Arial"/>
          <w:sz w:val="18"/>
          <w:szCs w:val="18"/>
          <w:color w:val="161616"/>
        </w:rPr>
        <w:t>i</w:t>
      </w:r>
      <w:r>
        <w:rPr>
          <w:rFonts w:ascii="Arial" w:cs="Arial" w:eastAsia="Arial" w:hAnsi="Arial"/>
          <w:sz w:val="18"/>
          <w:szCs w:val="18"/>
          <w:color w:val="2F2F2F"/>
        </w:rPr>
        <w:t>on</w:t>
      </w:r>
      <w:r>
        <w:rPr>
          <w:rFonts w:ascii="Arial" w:cs="Arial" w:eastAsia="Arial" w:hAnsi="Arial"/>
          <w:sz w:val="18"/>
          <w:szCs w:val="18"/>
          <w:color w:val="797979"/>
        </w:rPr>
        <w:t>/</w:t>
      </w:r>
      <w:r>
        <w:rPr>
          <w:rFonts w:ascii="Arial" w:cs="Arial" w:eastAsia="Arial" w:hAnsi="Arial"/>
          <w:sz w:val="18"/>
          <w:szCs w:val="18"/>
          <w:color w:val="2F2F2F"/>
        </w:rPr>
        <w:t>pro</w:t>
      </w:r>
      <w:r>
        <w:rPr>
          <w:rFonts w:ascii="Arial" w:cs="Arial" w:eastAsia="Arial" w:hAnsi="Arial"/>
          <w:sz w:val="18"/>
          <w:szCs w:val="18"/>
          <w:color w:val="161616"/>
        </w:rPr>
        <w:t>j</w:t>
      </w:r>
      <w:r>
        <w:rPr>
          <w:rFonts w:ascii="Arial" w:cs="Arial" w:eastAsia="Arial" w:hAnsi="Arial"/>
          <w:sz w:val="18"/>
          <w:szCs w:val="18"/>
          <w:color w:val="2F2F2F"/>
        </w:rPr>
        <w:t>ec</w:t>
      </w:r>
      <w:r>
        <w:rPr>
          <w:rFonts w:ascii="Arial" w:cs="Arial" w:eastAsia="Arial" w:hAnsi="Arial"/>
          <w:sz w:val="18"/>
          <w:szCs w:val="18"/>
          <w:color w:val="4B4B4B"/>
        </w:rPr>
        <w:t>t</w:t>
      </w:r>
      <w:r>
        <w:rPr>
          <w:rFonts w:ascii="Arial" w:cs="Arial" w:eastAsia="Arial" w:hAnsi="Arial"/>
          <w:sz w:val="18"/>
          <w:szCs w:val="18"/>
          <w:color w:val="2F2F2F"/>
        </w:rPr>
        <w:t xml:space="preserve"> manager(s) engaged by Landlord. Tenant shall not </w:t>
      </w:r>
      <w:r>
        <w:rPr>
          <w:rFonts w:ascii="Arial" w:cs="Arial" w:eastAsia="Arial" w:hAnsi="Arial"/>
          <w:sz w:val="18"/>
          <w:szCs w:val="18"/>
          <w:color w:val="161616"/>
        </w:rPr>
        <w:t>be</w:t>
      </w:r>
      <w:r>
        <w:rPr>
          <w:rFonts w:ascii="Arial" w:cs="Arial" w:eastAsia="Arial" w:hAnsi="Arial"/>
          <w:sz w:val="18"/>
          <w:szCs w:val="18"/>
          <w:color w:val="2F2F2F"/>
        </w:rPr>
        <w:t xml:space="preserve"> entitled to any unused portion of the ES Allowance. Notwithstanding anything to the contrary, </w:t>
      </w:r>
      <w:r>
        <w:rPr>
          <w:rFonts w:ascii="Arial" w:cs="Arial" w:eastAsia="Arial" w:hAnsi="Arial"/>
          <w:sz w:val="18"/>
          <w:szCs w:val="18"/>
          <w:color w:val="161616"/>
        </w:rPr>
        <w:t>if</w:t>
      </w:r>
      <w:r>
        <w:rPr>
          <w:rFonts w:ascii="Arial" w:cs="Arial" w:eastAsia="Arial" w:hAnsi="Arial"/>
          <w:sz w:val="18"/>
          <w:szCs w:val="18"/>
          <w:color w:val="2F2F2F"/>
        </w:rPr>
        <w:t xml:space="preserve"> the Final ES Plans reflect that any </w:t>
      </w:r>
      <w:r>
        <w:rPr>
          <w:rFonts w:ascii="Arial" w:cs="Arial" w:eastAsia="Arial" w:hAnsi="Arial"/>
          <w:sz w:val="18"/>
          <w:szCs w:val="18"/>
          <w:color w:val="161616"/>
        </w:rPr>
        <w:t>portion</w:t>
      </w:r>
      <w:r>
        <w:rPr>
          <w:rFonts w:ascii="Arial" w:cs="Arial" w:eastAsia="Arial" w:hAnsi="Arial"/>
          <w:sz w:val="18"/>
          <w:szCs w:val="18"/>
          <w:color w:val="2F2F2F"/>
        </w:rPr>
        <w:t xml:space="preserve"> of the Expansion Space will </w:t>
      </w:r>
      <w:r>
        <w:rPr>
          <w:rFonts w:ascii="Arial" w:cs="Arial" w:eastAsia="Arial" w:hAnsi="Arial"/>
          <w:sz w:val="18"/>
          <w:szCs w:val="18"/>
          <w:color w:val="161616"/>
        </w:rPr>
        <w:t>be</w:t>
      </w:r>
      <w:r>
        <w:rPr>
          <w:rFonts w:ascii="Arial" w:cs="Arial" w:eastAsia="Arial" w:hAnsi="Arial"/>
          <w:sz w:val="18"/>
          <w:szCs w:val="18"/>
          <w:color w:val="2F2F2F"/>
        </w:rPr>
        <w:t xml:space="preserve"> </w:t>
      </w:r>
      <w:r>
        <w:rPr>
          <w:rFonts w:ascii="Arial" w:cs="Arial" w:eastAsia="Arial" w:hAnsi="Arial"/>
          <w:sz w:val="18"/>
          <w:szCs w:val="18"/>
          <w:color w:val="161616"/>
        </w:rPr>
        <w:t xml:space="preserve">delivered in </w:t>
      </w:r>
      <w:r>
        <w:rPr>
          <w:rFonts w:ascii="Arial" w:cs="Arial" w:eastAsia="Arial" w:hAnsi="Arial"/>
          <w:sz w:val="18"/>
          <w:szCs w:val="18"/>
          <w:color w:val="2F2F2F"/>
        </w:rPr>
        <w:t>shell condition</w:t>
      </w:r>
      <w:r>
        <w:rPr>
          <w:rFonts w:ascii="Arial" w:cs="Arial" w:eastAsia="Arial" w:hAnsi="Arial"/>
          <w:sz w:val="18"/>
          <w:szCs w:val="18"/>
          <w:color w:val="161616"/>
        </w:rPr>
        <w:t xml:space="preserve"> </w:t>
      </w:r>
      <w:r>
        <w:rPr>
          <w:rFonts w:ascii="Arial" w:cs="Arial" w:eastAsia="Arial" w:hAnsi="Arial"/>
          <w:sz w:val="18"/>
          <w:szCs w:val="18"/>
          <w:u w:val="single" w:color="auto"/>
          <w:color w:val="2F2F2F"/>
        </w:rPr>
        <w:t>("ES Shell Space"),</w:t>
      </w:r>
      <w:r>
        <w:rPr>
          <w:rFonts w:ascii="Arial" w:cs="Arial" w:eastAsia="Arial" w:hAnsi="Arial"/>
          <w:sz w:val="18"/>
          <w:szCs w:val="18"/>
          <w:color w:val="161616"/>
        </w:rPr>
        <w:t xml:space="preserve"> </w:t>
      </w:r>
      <w:r>
        <w:rPr>
          <w:rFonts w:ascii="Arial" w:cs="Arial" w:eastAsia="Arial" w:hAnsi="Arial"/>
          <w:sz w:val="18"/>
          <w:szCs w:val="18"/>
          <w:color w:val="2F2F2F"/>
        </w:rPr>
        <w:t>then the portion of the ES</w:t>
      </w:r>
      <w:r>
        <w:rPr>
          <w:rFonts w:ascii="Arial" w:cs="Arial" w:eastAsia="Arial" w:hAnsi="Arial"/>
          <w:sz w:val="18"/>
          <w:szCs w:val="18"/>
          <w:color w:val="161616"/>
        </w:rPr>
        <w:t xml:space="preserve"> Allowance </w:t>
      </w:r>
      <w:r>
        <w:rPr>
          <w:rFonts w:ascii="Arial" w:cs="Arial" w:eastAsia="Arial" w:hAnsi="Arial"/>
          <w:sz w:val="18"/>
          <w:szCs w:val="18"/>
          <w:color w:val="2F2F2F"/>
        </w:rPr>
        <w:t>allocable to the ES Shell Space (the</w:t>
      </w:r>
      <w:r>
        <w:rPr>
          <w:rFonts w:ascii="Arial" w:cs="Arial" w:eastAsia="Arial" w:hAnsi="Arial"/>
          <w:sz w:val="18"/>
          <w:szCs w:val="18"/>
          <w:color w:val="161616"/>
        </w:rPr>
        <w:t xml:space="preserve"> </w:t>
      </w:r>
      <w:r>
        <w:rPr>
          <w:rFonts w:ascii="Arial" w:cs="Arial" w:eastAsia="Arial" w:hAnsi="Arial"/>
          <w:sz w:val="18"/>
          <w:szCs w:val="18"/>
          <w:u w:val="single" w:color="auto"/>
          <w:color w:val="2F2F2F"/>
        </w:rPr>
        <w:t>"ES Shell</w:t>
      </w:r>
      <w:r>
        <w:rPr>
          <w:rFonts w:ascii="Arial" w:cs="Arial" w:eastAsia="Arial" w:hAnsi="Arial"/>
          <w:sz w:val="18"/>
          <w:szCs w:val="18"/>
          <w:color w:val="161616"/>
        </w:rPr>
        <w:t xml:space="preserve"> </w:t>
      </w:r>
      <w:r>
        <w:rPr>
          <w:rFonts w:ascii="Arial" w:cs="Arial" w:eastAsia="Arial" w:hAnsi="Arial"/>
          <w:sz w:val="18"/>
          <w:szCs w:val="18"/>
          <w:u w:val="single" w:color="auto"/>
          <w:color w:val="2F2F2F"/>
        </w:rPr>
        <w:t>Space Allowance")</w:t>
      </w:r>
      <w:r>
        <w:rPr>
          <w:rFonts w:ascii="Arial" w:cs="Arial" w:eastAsia="Arial" w:hAnsi="Arial"/>
          <w:sz w:val="18"/>
          <w:szCs w:val="18"/>
          <w:color w:val="2F2F2F"/>
        </w:rPr>
        <w:t xml:space="preserve"> shall </w:t>
      </w:r>
      <w:r>
        <w:rPr>
          <w:rFonts w:ascii="Arial" w:cs="Arial" w:eastAsia="Arial" w:hAnsi="Arial"/>
          <w:sz w:val="18"/>
          <w:szCs w:val="18"/>
          <w:color w:val="161616"/>
        </w:rPr>
        <w:t>be</w:t>
      </w:r>
      <w:r>
        <w:rPr>
          <w:rFonts w:ascii="Arial" w:cs="Arial" w:eastAsia="Arial" w:hAnsi="Arial"/>
          <w:sz w:val="18"/>
          <w:szCs w:val="18"/>
          <w:color w:val="2F2F2F"/>
        </w:rPr>
        <w:t xml:space="preserve"> held and disbursed </w:t>
      </w:r>
      <w:r>
        <w:rPr>
          <w:rFonts w:ascii="Arial" w:cs="Arial" w:eastAsia="Arial" w:hAnsi="Arial"/>
          <w:sz w:val="18"/>
          <w:szCs w:val="18"/>
          <w:color w:val="161616"/>
        </w:rPr>
        <w:t>by</w:t>
      </w:r>
      <w:r>
        <w:rPr>
          <w:rFonts w:ascii="Arial" w:cs="Arial" w:eastAsia="Arial" w:hAnsi="Arial"/>
          <w:sz w:val="18"/>
          <w:szCs w:val="18"/>
          <w:color w:val="2F2F2F"/>
        </w:rPr>
        <w:t xml:space="preserve"> Landlord </w:t>
      </w:r>
      <w:r>
        <w:rPr>
          <w:rFonts w:ascii="Arial" w:cs="Arial" w:eastAsia="Arial" w:hAnsi="Arial"/>
          <w:sz w:val="18"/>
          <w:szCs w:val="18"/>
          <w:color w:val="161616"/>
        </w:rPr>
        <w:t>in</w:t>
      </w:r>
      <w:r>
        <w:rPr>
          <w:rFonts w:ascii="Arial" w:cs="Arial" w:eastAsia="Arial" w:hAnsi="Arial"/>
          <w:sz w:val="18"/>
          <w:szCs w:val="18"/>
          <w:color w:val="2F2F2F"/>
        </w:rPr>
        <w:t xml:space="preserve"> accordance with </w:t>
      </w:r>
      <w:r>
        <w:rPr>
          <w:rFonts w:ascii="Arial" w:cs="Arial" w:eastAsia="Arial" w:hAnsi="Arial"/>
          <w:sz w:val="18"/>
          <w:szCs w:val="18"/>
          <w:u w:val="single" w:color="auto"/>
          <w:color w:val="2F2F2F"/>
        </w:rPr>
        <w:t>Sections 5(d)(i)</w:t>
      </w:r>
      <w:r>
        <w:rPr>
          <w:rFonts w:ascii="Arial" w:cs="Arial" w:eastAsia="Arial" w:hAnsi="Arial"/>
          <w:sz w:val="18"/>
          <w:szCs w:val="18"/>
          <w:color w:val="2F2F2F"/>
        </w:rPr>
        <w:t xml:space="preserve"> and </w:t>
      </w:r>
      <w:r>
        <w:rPr>
          <w:rFonts w:ascii="Arial" w:cs="Arial" w:eastAsia="Arial" w:hAnsi="Arial"/>
          <w:sz w:val="18"/>
          <w:szCs w:val="18"/>
          <w:u w:val="single" w:color="auto"/>
          <w:color w:val="2F2F2F"/>
        </w:rPr>
        <w:t>(ii).</w:t>
      </w:r>
      <w:r>
        <w:rPr>
          <w:rFonts w:ascii="Arial" w:cs="Arial" w:eastAsia="Arial" w:hAnsi="Arial"/>
          <w:sz w:val="18"/>
          <w:szCs w:val="18"/>
          <w:color w:val="2F2F2F"/>
        </w:rPr>
        <w:t xml:space="preserve"> of </w:t>
      </w:r>
      <w:r>
        <w:rPr>
          <w:rFonts w:ascii="Arial" w:cs="Arial" w:eastAsia="Arial" w:hAnsi="Arial"/>
          <w:sz w:val="18"/>
          <w:szCs w:val="18"/>
          <w:color w:val="4B4B4B"/>
        </w:rPr>
        <w:t>the</w:t>
      </w:r>
      <w:r>
        <w:rPr>
          <w:rFonts w:ascii="Arial" w:cs="Arial" w:eastAsia="Arial" w:hAnsi="Arial"/>
          <w:sz w:val="18"/>
          <w:szCs w:val="18"/>
          <w:color w:val="2F2F2F"/>
        </w:rPr>
        <w:t xml:space="preserve"> </w:t>
      </w:r>
      <w:r>
        <w:rPr>
          <w:rFonts w:ascii="Arial" w:cs="Arial" w:eastAsia="Arial" w:hAnsi="Arial"/>
          <w:sz w:val="18"/>
          <w:szCs w:val="18"/>
          <w:color w:val="161616"/>
        </w:rPr>
        <w:t>Work</w:t>
      </w:r>
      <w:r>
        <w:rPr>
          <w:rFonts w:ascii="Arial" w:cs="Arial" w:eastAsia="Arial" w:hAnsi="Arial"/>
          <w:sz w:val="18"/>
          <w:szCs w:val="18"/>
          <w:color w:val="2F2F2F"/>
        </w:rPr>
        <w:t xml:space="preserve"> Letter </w:t>
      </w:r>
      <w:r>
        <w:rPr>
          <w:rFonts w:ascii="Arial" w:cs="Arial" w:eastAsia="Arial" w:hAnsi="Arial"/>
          <w:sz w:val="18"/>
          <w:szCs w:val="18"/>
          <w:color w:val="161616"/>
        </w:rPr>
        <w:t>(as</w:t>
      </w:r>
      <w:r>
        <w:rPr>
          <w:rFonts w:ascii="Arial" w:cs="Arial" w:eastAsia="Arial" w:hAnsi="Arial"/>
          <w:sz w:val="18"/>
          <w:szCs w:val="18"/>
          <w:color w:val="2F2F2F"/>
        </w:rPr>
        <w:t xml:space="preserve"> incorporated herein </w:t>
      </w:r>
      <w:r>
        <w:rPr>
          <w:rFonts w:ascii="Arial" w:cs="Arial" w:eastAsia="Arial" w:hAnsi="Arial"/>
          <w:sz w:val="18"/>
          <w:szCs w:val="18"/>
          <w:color w:val="161616"/>
        </w:rPr>
        <w:t>pursuant</w:t>
      </w:r>
      <w:r>
        <w:rPr>
          <w:rFonts w:ascii="Arial" w:cs="Arial" w:eastAsia="Arial" w:hAnsi="Arial"/>
          <w:sz w:val="18"/>
          <w:szCs w:val="18"/>
          <w:color w:val="2F2F2F"/>
        </w:rPr>
        <w:t xml:space="preserve"> to </w:t>
      </w:r>
      <w:r>
        <w:rPr>
          <w:rFonts w:ascii="Arial" w:cs="Arial" w:eastAsia="Arial" w:hAnsi="Arial"/>
          <w:sz w:val="18"/>
          <w:szCs w:val="18"/>
          <w:u w:val="single" w:color="auto"/>
          <w:color w:val="2F2F2F"/>
        </w:rPr>
        <w:t>Section 3(a)</w:t>
      </w:r>
      <w:r>
        <w:rPr>
          <w:rFonts w:ascii="Arial" w:cs="Arial" w:eastAsia="Arial" w:hAnsi="Arial"/>
          <w:sz w:val="18"/>
          <w:szCs w:val="18"/>
          <w:color w:val="2F2F2F"/>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44450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7"/>
          </w:cols>
          <w:pgMar w:left="1293" w:top="393" w:right="719" w:bottom="1440" w:gutter="0" w:footer="0" w:header="0"/>
        </w:sectPr>
      </w:pPr>
    </w:p>
    <w:bookmarkStart w:id="197" w:name="page198"/>
    <w:bookmarkEnd w:id="197"/>
    <w:p>
      <w:pPr>
        <w:jc w:val="both"/>
        <w:ind w:left="220" w:right="380" w:firstLine="753"/>
        <w:spacing w:after="0" w:line="234" w:lineRule="auto"/>
        <w:tabs>
          <w:tab w:leader="none" w:pos="1712" w:val="left"/>
        </w:tabs>
        <w:numPr>
          <w:ilvl w:val="1"/>
          <w:numId w:val="116"/>
        </w:numPr>
        <w:rPr>
          <w:rFonts w:ascii="Arial" w:cs="Arial" w:eastAsia="Arial" w:hAnsi="Arial"/>
          <w:sz w:val="19"/>
          <w:szCs w:val="19"/>
          <w:color w:val="2F2F2F"/>
        </w:rPr>
      </w:pPr>
      <w:r>
        <w:rPr>
          <w:rFonts w:ascii="Arial" w:cs="Arial" w:eastAsia="Arial" w:hAnsi="Arial"/>
          <w:sz w:val="19"/>
          <w:szCs w:val="19"/>
          <w:u w:val="single" w:color="auto"/>
          <w:color w:val="2F2F2F"/>
        </w:rPr>
        <w:t>Responsibility for Costs.</w:t>
      </w:r>
      <w:r>
        <w:rPr>
          <w:rFonts w:ascii="Arial" w:cs="Arial" w:eastAsia="Arial" w:hAnsi="Arial"/>
          <w:sz w:val="19"/>
          <w:szCs w:val="19"/>
          <w:color w:val="2F2F2F"/>
        </w:rPr>
        <w:t xml:space="preserve"> If the Final ES Cost Estimate </w:t>
      </w:r>
      <w:r>
        <w:rPr>
          <w:rFonts w:ascii="Arial" w:cs="Arial" w:eastAsia="Arial" w:hAnsi="Arial"/>
          <w:sz w:val="19"/>
          <w:szCs w:val="19"/>
          <w:color w:val="161616"/>
        </w:rPr>
        <w:t>discloses</w:t>
      </w:r>
      <w:r>
        <w:rPr>
          <w:rFonts w:ascii="Arial" w:cs="Arial" w:eastAsia="Arial" w:hAnsi="Arial"/>
          <w:sz w:val="19"/>
          <w:szCs w:val="19"/>
          <w:color w:val="2F2F2F"/>
        </w:rPr>
        <w:t xml:space="preserve"> that the ES Costs exceed the ES Allowance (such excess, the </w:t>
      </w:r>
      <w:r>
        <w:rPr>
          <w:rFonts w:ascii="Arial" w:cs="Arial" w:eastAsia="Arial" w:hAnsi="Arial"/>
          <w:sz w:val="19"/>
          <w:szCs w:val="19"/>
          <w:u w:val="single" w:color="auto"/>
          <w:color w:val="2F2F2F"/>
        </w:rPr>
        <w:t>"Excess ES Costs"),</w:t>
      </w:r>
      <w:r>
        <w:rPr>
          <w:rFonts w:ascii="Arial" w:cs="Arial" w:eastAsia="Arial" w:hAnsi="Arial"/>
          <w:sz w:val="19"/>
          <w:szCs w:val="19"/>
          <w:color w:val="2F2F2F"/>
        </w:rPr>
        <w:t xml:space="preserve"> Tenant shall </w:t>
      </w:r>
      <w:r>
        <w:rPr>
          <w:rFonts w:ascii="Arial" w:cs="Arial" w:eastAsia="Arial" w:hAnsi="Arial"/>
          <w:sz w:val="19"/>
          <w:szCs w:val="19"/>
          <w:color w:val="161616"/>
        </w:rPr>
        <w:t>pay,</w:t>
      </w:r>
      <w:r>
        <w:rPr>
          <w:rFonts w:ascii="Arial" w:cs="Arial" w:eastAsia="Arial" w:hAnsi="Arial"/>
          <w:sz w:val="19"/>
          <w:szCs w:val="19"/>
          <w:color w:val="2F2F2F"/>
        </w:rPr>
        <w:t xml:space="preserve"> within thirty </w:t>
      </w:r>
      <w:r>
        <w:rPr>
          <w:rFonts w:ascii="Arial" w:cs="Arial" w:eastAsia="Arial" w:hAnsi="Arial"/>
          <w:sz w:val="19"/>
          <w:szCs w:val="19"/>
          <w:color w:val="161616"/>
        </w:rPr>
        <w:t>(30) days</w:t>
      </w:r>
      <w:r>
        <w:rPr>
          <w:rFonts w:ascii="Arial" w:cs="Arial" w:eastAsia="Arial" w:hAnsi="Arial"/>
          <w:sz w:val="19"/>
          <w:szCs w:val="19"/>
          <w:color w:val="2F2F2F"/>
        </w:rPr>
        <w:t xml:space="preserve"> after </w:t>
      </w:r>
      <w:r>
        <w:rPr>
          <w:rFonts w:ascii="Arial" w:cs="Arial" w:eastAsia="Arial" w:hAnsi="Arial"/>
          <w:sz w:val="19"/>
          <w:szCs w:val="19"/>
          <w:color w:val="161616"/>
        </w:rPr>
        <w:t>demand</w:t>
      </w:r>
      <w:r>
        <w:rPr>
          <w:rFonts w:ascii="Arial" w:cs="Arial" w:eastAsia="Arial" w:hAnsi="Arial"/>
          <w:sz w:val="19"/>
          <w:szCs w:val="19"/>
          <w:color w:val="2F2F2F"/>
        </w:rPr>
        <w:t xml:space="preserve"> from </w:t>
      </w:r>
      <w:r>
        <w:rPr>
          <w:rFonts w:ascii="Arial" w:cs="Arial" w:eastAsia="Arial" w:hAnsi="Arial"/>
          <w:sz w:val="19"/>
          <w:szCs w:val="19"/>
          <w:color w:val="4B4B4B"/>
        </w:rPr>
        <w:t>t</w:t>
      </w:r>
      <w:r>
        <w:rPr>
          <w:rFonts w:ascii="Arial" w:cs="Arial" w:eastAsia="Arial" w:hAnsi="Arial"/>
          <w:sz w:val="19"/>
          <w:szCs w:val="19"/>
          <w:color w:val="161616"/>
        </w:rPr>
        <w:t>i</w:t>
      </w:r>
      <w:r>
        <w:rPr>
          <w:rFonts w:ascii="Arial" w:cs="Arial" w:eastAsia="Arial" w:hAnsi="Arial"/>
          <w:sz w:val="19"/>
          <w:szCs w:val="19"/>
          <w:color w:val="2F2F2F"/>
        </w:rPr>
        <w:t xml:space="preserve">me to </w:t>
      </w:r>
      <w:r>
        <w:rPr>
          <w:rFonts w:ascii="Arial" w:cs="Arial" w:eastAsia="Arial" w:hAnsi="Arial"/>
          <w:sz w:val="19"/>
          <w:szCs w:val="19"/>
          <w:color w:val="4B4B4B"/>
        </w:rPr>
        <w:t>time</w:t>
      </w:r>
      <w:r>
        <w:rPr>
          <w:rFonts w:ascii="Arial" w:cs="Arial" w:eastAsia="Arial" w:hAnsi="Arial"/>
          <w:sz w:val="19"/>
          <w:szCs w:val="19"/>
          <w:color w:val="2F2F2F"/>
        </w:rPr>
        <w:t xml:space="preserve"> (but </w:t>
      </w:r>
      <w:r>
        <w:rPr>
          <w:rFonts w:ascii="Arial" w:cs="Arial" w:eastAsia="Arial" w:hAnsi="Arial"/>
          <w:sz w:val="19"/>
          <w:szCs w:val="19"/>
          <w:color w:val="161616"/>
        </w:rPr>
        <w:t>in</w:t>
      </w:r>
      <w:r>
        <w:rPr>
          <w:rFonts w:ascii="Arial" w:cs="Arial" w:eastAsia="Arial" w:hAnsi="Arial"/>
          <w:sz w:val="19"/>
          <w:szCs w:val="19"/>
          <w:color w:val="2F2F2F"/>
        </w:rPr>
        <w:t xml:space="preserve"> no event more than monthly), Tenant's ES </w:t>
      </w:r>
      <w:r>
        <w:rPr>
          <w:rFonts w:ascii="Arial" w:cs="Arial" w:eastAsia="Arial" w:hAnsi="Arial"/>
          <w:sz w:val="19"/>
          <w:szCs w:val="19"/>
          <w:color w:val="161616"/>
        </w:rPr>
        <w:t>Proportion</w:t>
      </w:r>
      <w:r>
        <w:rPr>
          <w:rFonts w:ascii="Arial" w:cs="Arial" w:eastAsia="Arial" w:hAnsi="Arial"/>
          <w:sz w:val="19"/>
          <w:szCs w:val="19"/>
          <w:color w:val="2F2F2F"/>
        </w:rPr>
        <w:t xml:space="preserve"> (hereinafter </w:t>
      </w:r>
      <w:r>
        <w:rPr>
          <w:rFonts w:ascii="Arial" w:cs="Arial" w:eastAsia="Arial" w:hAnsi="Arial"/>
          <w:sz w:val="19"/>
          <w:szCs w:val="19"/>
          <w:color w:val="161616"/>
        </w:rPr>
        <w:t>defined)</w:t>
      </w:r>
      <w:r>
        <w:rPr>
          <w:rFonts w:ascii="Arial" w:cs="Arial" w:eastAsia="Arial" w:hAnsi="Arial"/>
          <w:sz w:val="19"/>
          <w:szCs w:val="19"/>
          <w:color w:val="2F2F2F"/>
        </w:rPr>
        <w:t xml:space="preserve"> of the ES Costs reflected on each requisition from Landlord, to which shall </w:t>
      </w:r>
      <w:r>
        <w:rPr>
          <w:rFonts w:ascii="Arial" w:cs="Arial" w:eastAsia="Arial" w:hAnsi="Arial"/>
          <w:sz w:val="19"/>
          <w:szCs w:val="19"/>
          <w:color w:val="161616"/>
        </w:rPr>
        <w:t>be</w:t>
      </w:r>
      <w:r>
        <w:rPr>
          <w:rFonts w:ascii="Arial" w:cs="Arial" w:eastAsia="Arial" w:hAnsi="Arial"/>
          <w:sz w:val="19"/>
          <w:szCs w:val="19"/>
          <w:color w:val="2F2F2F"/>
        </w:rPr>
        <w:t xml:space="preserve"> attached </w:t>
      </w:r>
      <w:r>
        <w:rPr>
          <w:rFonts w:ascii="Arial" w:cs="Arial" w:eastAsia="Arial" w:hAnsi="Arial"/>
          <w:sz w:val="19"/>
          <w:szCs w:val="19"/>
          <w:color w:val="161616"/>
        </w:rPr>
        <w:t>invoices</w:t>
      </w:r>
      <w:r>
        <w:rPr>
          <w:rFonts w:ascii="Arial" w:cs="Arial" w:eastAsia="Arial" w:hAnsi="Arial"/>
          <w:sz w:val="19"/>
          <w:szCs w:val="19"/>
          <w:color w:val="2F2F2F"/>
        </w:rPr>
        <w:t xml:space="preserve"> and/or other </w:t>
      </w:r>
      <w:r>
        <w:rPr>
          <w:rFonts w:ascii="Arial" w:cs="Arial" w:eastAsia="Arial" w:hAnsi="Arial"/>
          <w:sz w:val="19"/>
          <w:szCs w:val="19"/>
          <w:color w:val="161616"/>
        </w:rPr>
        <w:t>documentation</w:t>
      </w:r>
      <w:r>
        <w:rPr>
          <w:rFonts w:ascii="Arial" w:cs="Arial" w:eastAsia="Arial" w:hAnsi="Arial"/>
          <w:sz w:val="19"/>
          <w:szCs w:val="19"/>
          <w:color w:val="2F2F2F"/>
        </w:rPr>
        <w:t xml:space="preserve"> supporting the requisition. </w:t>
      </w:r>
      <w:r>
        <w:rPr>
          <w:rFonts w:ascii="Arial" w:cs="Arial" w:eastAsia="Arial" w:hAnsi="Arial"/>
          <w:sz w:val="19"/>
          <w:szCs w:val="19"/>
          <w:u w:val="single" w:color="auto"/>
          <w:color w:val="2F2F2F"/>
        </w:rPr>
        <w:t>"Tenant’s ES Proportion"</w:t>
      </w:r>
      <w:r>
        <w:rPr>
          <w:rFonts w:ascii="Arial" w:cs="Arial" w:eastAsia="Arial" w:hAnsi="Arial"/>
          <w:sz w:val="19"/>
          <w:szCs w:val="19"/>
          <w:color w:val="2F2F2F"/>
        </w:rPr>
        <w:t xml:space="preserve"> shall </w:t>
      </w:r>
      <w:r>
        <w:rPr>
          <w:rFonts w:ascii="Arial" w:cs="Arial" w:eastAsia="Arial" w:hAnsi="Arial"/>
          <w:sz w:val="19"/>
          <w:szCs w:val="19"/>
          <w:color w:val="161616"/>
        </w:rPr>
        <w:t>be</w:t>
      </w:r>
      <w:r>
        <w:rPr>
          <w:rFonts w:ascii="Arial" w:cs="Arial" w:eastAsia="Arial" w:hAnsi="Arial"/>
          <w:sz w:val="19"/>
          <w:szCs w:val="19"/>
          <w:color w:val="2F2F2F"/>
        </w:rPr>
        <w:t xml:space="preserve"> a fraction, the numerator of which is the estimated Excess ES Costs, and the denominator of which is the estimated ES Costs. If </w:t>
      </w:r>
      <w:r>
        <w:rPr>
          <w:rFonts w:ascii="Arial" w:cs="Arial" w:eastAsia="Arial" w:hAnsi="Arial"/>
          <w:sz w:val="19"/>
          <w:szCs w:val="19"/>
          <w:color w:val="4B4B4B"/>
        </w:rPr>
        <w:t>Tenant</w:t>
      </w:r>
      <w:r>
        <w:rPr>
          <w:rFonts w:ascii="Arial" w:cs="Arial" w:eastAsia="Arial" w:hAnsi="Arial"/>
          <w:sz w:val="19"/>
          <w:szCs w:val="19"/>
          <w:color w:val="2F2F2F"/>
        </w:rPr>
        <w:t xml:space="preserve"> fails to timely make any such payment in full, each </w:t>
      </w:r>
      <w:r>
        <w:rPr>
          <w:rFonts w:ascii="Arial" w:cs="Arial" w:eastAsia="Arial" w:hAnsi="Arial"/>
          <w:sz w:val="19"/>
          <w:szCs w:val="19"/>
          <w:color w:val="161616"/>
        </w:rPr>
        <w:t>day</w:t>
      </w:r>
      <w:r>
        <w:rPr>
          <w:rFonts w:ascii="Arial" w:cs="Arial" w:eastAsia="Arial" w:hAnsi="Arial"/>
          <w:sz w:val="19"/>
          <w:szCs w:val="19"/>
          <w:color w:val="2F2F2F"/>
        </w:rPr>
        <w:t xml:space="preserve"> between such 3</w:t>
      </w:r>
      <w:r>
        <w:rPr>
          <w:rFonts w:ascii="Arial" w:cs="Arial" w:eastAsia="Arial" w:hAnsi="Arial"/>
          <w:sz w:val="19"/>
          <w:szCs w:val="19"/>
          <w:color w:val="161616"/>
        </w:rPr>
        <w:t>0</w:t>
      </w:r>
      <w:r>
        <w:rPr>
          <w:rFonts w:ascii="Arial" w:cs="Arial" w:eastAsia="Arial" w:hAnsi="Arial"/>
          <w:sz w:val="25"/>
          <w:szCs w:val="25"/>
          <w:color w:val="161616"/>
          <w:vertAlign w:val="superscript"/>
        </w:rPr>
        <w:t>th</w:t>
      </w:r>
      <w:r>
        <w:rPr>
          <w:rFonts w:ascii="Arial" w:cs="Arial" w:eastAsia="Arial" w:hAnsi="Arial"/>
          <w:sz w:val="19"/>
          <w:szCs w:val="19"/>
          <w:color w:val="2F2F2F"/>
        </w:rPr>
        <w:t xml:space="preserve"> day and the date on which </w:t>
      </w:r>
      <w:r>
        <w:rPr>
          <w:rFonts w:ascii="Arial" w:cs="Arial" w:eastAsia="Arial" w:hAnsi="Arial"/>
          <w:sz w:val="19"/>
          <w:szCs w:val="19"/>
          <w:color w:val="4B4B4B"/>
        </w:rPr>
        <w:t>Tenant</w:t>
      </w:r>
      <w:r>
        <w:rPr>
          <w:rFonts w:ascii="Arial" w:cs="Arial" w:eastAsia="Arial" w:hAnsi="Arial"/>
          <w:sz w:val="19"/>
          <w:szCs w:val="19"/>
          <w:color w:val="2F2F2F"/>
        </w:rPr>
        <w:t xml:space="preserve"> makes such payment in full shall constitute a </w:t>
      </w:r>
      <w:r>
        <w:rPr>
          <w:rFonts w:ascii="Arial" w:cs="Arial" w:eastAsia="Arial" w:hAnsi="Arial"/>
          <w:sz w:val="19"/>
          <w:szCs w:val="19"/>
          <w:color w:val="4B4B4B"/>
        </w:rPr>
        <w:t xml:space="preserve">Tenant </w:t>
      </w:r>
      <w:r>
        <w:rPr>
          <w:rFonts w:ascii="Arial" w:cs="Arial" w:eastAsia="Arial" w:hAnsi="Arial"/>
          <w:sz w:val="19"/>
          <w:szCs w:val="19"/>
          <w:color w:val="2F2F2F"/>
        </w:rPr>
        <w:t>Delay. After final completion of Tenant's ES Fitout, Landlord shall</w:t>
      </w:r>
      <w:r>
        <w:rPr>
          <w:rFonts w:ascii="Arial" w:cs="Arial" w:eastAsia="Arial" w:hAnsi="Arial"/>
          <w:sz w:val="19"/>
          <w:szCs w:val="19"/>
          <w:color w:val="4B4B4B"/>
        </w:rPr>
        <w:t xml:space="preserve"> </w:t>
      </w:r>
      <w:r>
        <w:rPr>
          <w:rFonts w:ascii="Arial" w:cs="Arial" w:eastAsia="Arial" w:hAnsi="Arial"/>
          <w:sz w:val="19"/>
          <w:szCs w:val="19"/>
          <w:color w:val="161616"/>
        </w:rPr>
        <w:t>prepare</w:t>
      </w:r>
      <w:r>
        <w:rPr>
          <w:rFonts w:ascii="Arial" w:cs="Arial" w:eastAsia="Arial" w:hAnsi="Arial"/>
          <w:sz w:val="19"/>
          <w:szCs w:val="19"/>
          <w:color w:val="4B4B4B"/>
        </w:rPr>
        <w:t xml:space="preserve"> </w:t>
      </w:r>
      <w:r>
        <w:rPr>
          <w:rFonts w:ascii="Arial" w:cs="Arial" w:eastAsia="Arial" w:hAnsi="Arial"/>
          <w:sz w:val="19"/>
          <w:szCs w:val="19"/>
          <w:color w:val="2F2F2F"/>
        </w:rPr>
        <w:t>and submit to</w:t>
      </w:r>
      <w:r>
        <w:rPr>
          <w:rFonts w:ascii="Arial" w:cs="Arial" w:eastAsia="Arial" w:hAnsi="Arial"/>
          <w:sz w:val="19"/>
          <w:szCs w:val="19"/>
          <w:color w:val="4B4B4B"/>
        </w:rPr>
        <w:t xml:space="preserve"> Tenant </w:t>
      </w:r>
      <w:r>
        <w:rPr>
          <w:rFonts w:ascii="Arial" w:cs="Arial" w:eastAsia="Arial" w:hAnsi="Arial"/>
          <w:sz w:val="19"/>
          <w:szCs w:val="19"/>
          <w:color w:val="2F2F2F"/>
        </w:rPr>
        <w:t>a final reconciliation in</w:t>
      </w:r>
      <w:r>
        <w:rPr>
          <w:rFonts w:ascii="Arial" w:cs="Arial" w:eastAsia="Arial" w:hAnsi="Arial"/>
          <w:sz w:val="19"/>
          <w:szCs w:val="19"/>
          <w:color w:val="4B4B4B"/>
        </w:rPr>
        <w:t xml:space="preserve"> </w:t>
      </w:r>
      <w:r>
        <w:rPr>
          <w:rFonts w:ascii="Arial" w:cs="Arial" w:eastAsia="Arial" w:hAnsi="Arial"/>
          <w:sz w:val="19"/>
          <w:szCs w:val="19"/>
          <w:color w:val="2F2F2F"/>
        </w:rPr>
        <w:t xml:space="preserve">sufficient </w:t>
      </w:r>
      <w:r>
        <w:rPr>
          <w:rFonts w:ascii="Arial" w:cs="Arial" w:eastAsia="Arial" w:hAnsi="Arial"/>
          <w:sz w:val="19"/>
          <w:szCs w:val="19"/>
          <w:color w:val="161616"/>
        </w:rPr>
        <w:t>detail</w:t>
      </w:r>
      <w:r>
        <w:rPr>
          <w:rFonts w:ascii="Arial" w:cs="Arial" w:eastAsia="Arial" w:hAnsi="Arial"/>
          <w:sz w:val="19"/>
          <w:szCs w:val="19"/>
          <w:color w:val="2F2F2F"/>
        </w:rPr>
        <w:t xml:space="preserve"> to reasonably </w:t>
      </w:r>
      <w:r>
        <w:rPr>
          <w:rFonts w:ascii="Arial" w:cs="Arial" w:eastAsia="Arial" w:hAnsi="Arial"/>
          <w:sz w:val="19"/>
          <w:szCs w:val="19"/>
          <w:color w:val="161616"/>
        </w:rPr>
        <w:t>determine</w:t>
      </w:r>
      <w:r>
        <w:rPr>
          <w:rFonts w:ascii="Arial" w:cs="Arial" w:eastAsia="Arial" w:hAnsi="Arial"/>
          <w:sz w:val="19"/>
          <w:szCs w:val="19"/>
          <w:color w:val="2F2F2F"/>
        </w:rPr>
        <w:t xml:space="preserve"> actual ES Costs (including without limitation all </w:t>
      </w:r>
      <w:r>
        <w:rPr>
          <w:rFonts w:ascii="Arial" w:cs="Arial" w:eastAsia="Arial" w:hAnsi="Arial"/>
          <w:sz w:val="19"/>
          <w:szCs w:val="19"/>
          <w:color w:val="4B4B4B"/>
        </w:rPr>
        <w:t>T</w:t>
      </w:r>
      <w:r>
        <w:rPr>
          <w:rFonts w:ascii="Arial" w:cs="Arial" w:eastAsia="Arial" w:hAnsi="Arial"/>
          <w:sz w:val="19"/>
          <w:szCs w:val="19"/>
          <w:color w:val="2F2F2F"/>
        </w:rPr>
        <w:t>E</w:t>
      </w:r>
      <w:r>
        <w:rPr>
          <w:rFonts w:ascii="Arial" w:cs="Arial" w:eastAsia="Arial" w:hAnsi="Arial"/>
          <w:sz w:val="19"/>
          <w:szCs w:val="19"/>
          <w:color w:val="161616"/>
        </w:rPr>
        <w:t>S</w:t>
      </w:r>
      <w:r>
        <w:rPr>
          <w:rFonts w:ascii="Arial" w:cs="Arial" w:eastAsia="Arial" w:hAnsi="Arial"/>
          <w:sz w:val="19"/>
          <w:szCs w:val="19"/>
          <w:color w:val="2F2F2F"/>
        </w:rPr>
        <w:t xml:space="preserve">F Punchlist Items) (the </w:t>
      </w:r>
      <w:r>
        <w:rPr>
          <w:rFonts w:ascii="Arial" w:cs="Arial" w:eastAsia="Arial" w:hAnsi="Arial"/>
          <w:sz w:val="19"/>
          <w:szCs w:val="19"/>
          <w:u w:val="single" w:color="auto"/>
          <w:color w:val="2F2F2F"/>
        </w:rPr>
        <w:t>"Final ES</w:t>
      </w:r>
      <w:r>
        <w:rPr>
          <w:rFonts w:ascii="Arial" w:cs="Arial" w:eastAsia="Arial" w:hAnsi="Arial"/>
          <w:sz w:val="19"/>
          <w:szCs w:val="19"/>
          <w:color w:val="2F2F2F"/>
        </w:rPr>
        <w:t xml:space="preserve"> </w:t>
      </w:r>
      <w:r>
        <w:rPr>
          <w:rFonts w:ascii="Arial" w:cs="Arial" w:eastAsia="Arial" w:hAnsi="Arial"/>
          <w:sz w:val="19"/>
          <w:szCs w:val="19"/>
          <w:u w:val="single" w:color="auto"/>
          <w:color w:val="2F2F2F"/>
        </w:rPr>
        <w:t>Reconciliation").</w:t>
      </w:r>
      <w:r>
        <w:rPr>
          <w:rFonts w:ascii="Arial" w:cs="Arial" w:eastAsia="Arial" w:hAnsi="Arial"/>
          <w:sz w:val="19"/>
          <w:szCs w:val="19"/>
          <w:color w:val="2F2F2F"/>
        </w:rPr>
        <w:t xml:space="preserve"> Landlord shall use reasonable efforts to deliver the </w:t>
      </w:r>
      <w:r>
        <w:rPr>
          <w:rFonts w:ascii="Arial" w:cs="Arial" w:eastAsia="Arial" w:hAnsi="Arial"/>
          <w:sz w:val="19"/>
          <w:szCs w:val="19"/>
          <w:color w:val="4B4B4B"/>
        </w:rPr>
        <w:t>Final</w:t>
      </w:r>
      <w:r>
        <w:rPr>
          <w:rFonts w:ascii="Arial" w:cs="Arial" w:eastAsia="Arial" w:hAnsi="Arial"/>
          <w:sz w:val="19"/>
          <w:szCs w:val="19"/>
          <w:color w:val="2F2F2F"/>
        </w:rPr>
        <w:t xml:space="preserve"> ES Reconciliation to Tenant within ninety (90) </w:t>
      </w:r>
      <w:r>
        <w:rPr>
          <w:rFonts w:ascii="Arial" w:cs="Arial" w:eastAsia="Arial" w:hAnsi="Arial"/>
          <w:sz w:val="19"/>
          <w:szCs w:val="19"/>
          <w:color w:val="161616"/>
        </w:rPr>
        <w:t>days</w:t>
      </w:r>
      <w:r>
        <w:rPr>
          <w:rFonts w:ascii="Arial" w:cs="Arial" w:eastAsia="Arial" w:hAnsi="Arial"/>
          <w:sz w:val="19"/>
          <w:szCs w:val="19"/>
          <w:color w:val="2F2F2F"/>
        </w:rPr>
        <w:t xml:space="preserve"> after final completion of </w:t>
      </w:r>
      <w:r>
        <w:rPr>
          <w:rFonts w:ascii="Arial" w:cs="Arial" w:eastAsia="Arial" w:hAnsi="Arial"/>
          <w:sz w:val="19"/>
          <w:szCs w:val="19"/>
          <w:color w:val="4B4B4B"/>
        </w:rPr>
        <w:t>Tenant's</w:t>
      </w:r>
      <w:r>
        <w:rPr>
          <w:rFonts w:ascii="Arial" w:cs="Arial" w:eastAsia="Arial" w:hAnsi="Arial"/>
          <w:sz w:val="19"/>
          <w:szCs w:val="19"/>
          <w:color w:val="2F2F2F"/>
        </w:rPr>
        <w:t xml:space="preserve"> ES Fitout. Within thirty (30) </w:t>
      </w:r>
      <w:r>
        <w:rPr>
          <w:rFonts w:ascii="Arial" w:cs="Arial" w:eastAsia="Arial" w:hAnsi="Arial"/>
          <w:sz w:val="19"/>
          <w:szCs w:val="19"/>
          <w:color w:val="161616"/>
        </w:rPr>
        <w:t>days</w:t>
      </w:r>
      <w:r>
        <w:rPr>
          <w:rFonts w:ascii="Arial" w:cs="Arial" w:eastAsia="Arial" w:hAnsi="Arial"/>
          <w:sz w:val="19"/>
          <w:szCs w:val="19"/>
          <w:color w:val="2F2F2F"/>
        </w:rPr>
        <w:t xml:space="preserve"> after </w:t>
      </w:r>
      <w:r>
        <w:rPr>
          <w:rFonts w:ascii="Arial" w:cs="Arial" w:eastAsia="Arial" w:hAnsi="Arial"/>
          <w:sz w:val="19"/>
          <w:szCs w:val="19"/>
          <w:color w:val="161616"/>
        </w:rPr>
        <w:t>delivery</w:t>
      </w:r>
      <w:r>
        <w:rPr>
          <w:rFonts w:ascii="Arial" w:cs="Arial" w:eastAsia="Arial" w:hAnsi="Arial"/>
          <w:sz w:val="19"/>
          <w:szCs w:val="19"/>
          <w:color w:val="2F2F2F"/>
        </w:rPr>
        <w:t xml:space="preserve"> of the Final ES </w:t>
      </w:r>
      <w:r>
        <w:rPr>
          <w:rFonts w:ascii="Arial" w:cs="Arial" w:eastAsia="Arial" w:hAnsi="Arial"/>
          <w:sz w:val="19"/>
          <w:szCs w:val="19"/>
          <w:color w:val="161616"/>
        </w:rPr>
        <w:t>Reconciliation,</w:t>
      </w:r>
      <w:r>
        <w:rPr>
          <w:rFonts w:ascii="Arial" w:cs="Arial" w:eastAsia="Arial" w:hAnsi="Arial"/>
          <w:sz w:val="19"/>
          <w:szCs w:val="19"/>
          <w:color w:val="2F2F2F"/>
        </w:rPr>
        <w:t xml:space="preserve"> Tenant shall </w:t>
      </w:r>
      <w:r>
        <w:rPr>
          <w:rFonts w:ascii="Arial" w:cs="Arial" w:eastAsia="Arial" w:hAnsi="Arial"/>
          <w:sz w:val="19"/>
          <w:szCs w:val="19"/>
          <w:color w:val="161616"/>
        </w:rPr>
        <w:t>pay</w:t>
      </w:r>
      <w:r>
        <w:rPr>
          <w:rFonts w:ascii="Arial" w:cs="Arial" w:eastAsia="Arial" w:hAnsi="Arial"/>
          <w:sz w:val="19"/>
          <w:szCs w:val="19"/>
          <w:color w:val="2F2F2F"/>
        </w:rPr>
        <w:t xml:space="preserve"> to Landlord any remaining Excess ES Costs </w:t>
      </w:r>
      <w:r>
        <w:rPr>
          <w:rFonts w:ascii="Arial" w:cs="Arial" w:eastAsia="Arial" w:hAnsi="Arial"/>
          <w:sz w:val="19"/>
          <w:szCs w:val="19"/>
          <w:color w:val="161616"/>
        </w:rPr>
        <w:t>(or</w:t>
      </w:r>
      <w:r>
        <w:rPr>
          <w:rFonts w:ascii="Arial" w:cs="Arial" w:eastAsia="Arial" w:hAnsi="Arial"/>
          <w:sz w:val="19"/>
          <w:szCs w:val="19"/>
          <w:color w:val="2F2F2F"/>
        </w:rPr>
        <w:t xml:space="preserve"> Landlord shall refund to Tenant any amounts </w:t>
      </w:r>
      <w:r>
        <w:rPr>
          <w:rFonts w:ascii="Arial" w:cs="Arial" w:eastAsia="Arial" w:hAnsi="Arial"/>
          <w:sz w:val="19"/>
          <w:szCs w:val="19"/>
          <w:color w:val="161616"/>
        </w:rPr>
        <w:t>paid by</w:t>
      </w:r>
      <w:r>
        <w:rPr>
          <w:rFonts w:ascii="Arial" w:cs="Arial" w:eastAsia="Arial" w:hAnsi="Arial"/>
          <w:sz w:val="19"/>
          <w:szCs w:val="19"/>
          <w:color w:val="2F2F2F"/>
        </w:rPr>
        <w:t xml:space="preserve"> Tenant in excess of the actual Excess ES Costs).</w:t>
      </w:r>
    </w:p>
    <w:p>
      <w:pPr>
        <w:spacing w:after="0" w:line="62" w:lineRule="exact"/>
        <w:rPr>
          <w:rFonts w:ascii="Arial" w:cs="Arial" w:eastAsia="Arial" w:hAnsi="Arial"/>
          <w:sz w:val="19"/>
          <w:szCs w:val="19"/>
          <w:color w:val="2F2F2F"/>
        </w:rPr>
      </w:pPr>
    </w:p>
    <w:p>
      <w:pPr>
        <w:jc w:val="both"/>
        <w:ind w:left="220" w:right="380" w:firstLine="754"/>
        <w:spacing w:after="0" w:line="256" w:lineRule="auto"/>
        <w:tabs>
          <w:tab w:leader="none" w:pos="1708" w:val="left"/>
        </w:tabs>
        <w:numPr>
          <w:ilvl w:val="1"/>
          <w:numId w:val="116"/>
        </w:numPr>
        <w:rPr>
          <w:rFonts w:ascii="Arial" w:cs="Arial" w:eastAsia="Arial" w:hAnsi="Arial"/>
          <w:sz w:val="18"/>
          <w:szCs w:val="18"/>
          <w:color w:val="2F2F2F"/>
        </w:rPr>
      </w:pPr>
      <w:r>
        <w:rPr>
          <w:rFonts w:ascii="Arial" w:cs="Arial" w:eastAsia="Arial" w:hAnsi="Arial"/>
          <w:sz w:val="18"/>
          <w:szCs w:val="18"/>
          <w:u w:val="single" w:color="auto"/>
          <w:color w:val="2F2F2F"/>
        </w:rPr>
        <w:t>Space Planning Allowance.</w:t>
      </w:r>
      <w:r>
        <w:rPr>
          <w:rFonts w:ascii="Arial" w:cs="Arial" w:eastAsia="Arial" w:hAnsi="Arial"/>
          <w:sz w:val="18"/>
          <w:szCs w:val="18"/>
          <w:color w:val="2F2F2F"/>
        </w:rPr>
        <w:t xml:space="preserve"> In addition to the ES Allowance, and as a further inducement to </w:t>
      </w:r>
      <w:r>
        <w:rPr>
          <w:rFonts w:ascii="Arial" w:cs="Arial" w:eastAsia="Arial" w:hAnsi="Arial"/>
          <w:sz w:val="18"/>
          <w:szCs w:val="18"/>
          <w:color w:val="4B4B4B"/>
        </w:rPr>
        <w:t>T</w:t>
      </w:r>
      <w:r>
        <w:rPr>
          <w:rFonts w:ascii="Arial" w:cs="Arial" w:eastAsia="Arial" w:hAnsi="Arial"/>
          <w:sz w:val="18"/>
          <w:szCs w:val="18"/>
          <w:color w:val="2F2F2F"/>
        </w:rPr>
        <w:t>enant</w:t>
      </w:r>
      <w:r>
        <w:rPr>
          <w:rFonts w:ascii="Arial" w:cs="Arial" w:eastAsia="Arial" w:hAnsi="Arial"/>
          <w:sz w:val="18"/>
          <w:szCs w:val="18"/>
          <w:color w:val="161616"/>
        </w:rPr>
        <w:t>'</w:t>
      </w:r>
      <w:r>
        <w:rPr>
          <w:rFonts w:ascii="Arial" w:cs="Arial" w:eastAsia="Arial" w:hAnsi="Arial"/>
          <w:sz w:val="18"/>
          <w:szCs w:val="18"/>
          <w:color w:val="2F2F2F"/>
        </w:rPr>
        <w:t xml:space="preserve">s entering into this </w:t>
      </w:r>
      <w:r>
        <w:rPr>
          <w:rFonts w:ascii="Arial" w:cs="Arial" w:eastAsia="Arial" w:hAnsi="Arial"/>
          <w:sz w:val="18"/>
          <w:szCs w:val="18"/>
          <w:color w:val="4B4B4B"/>
        </w:rPr>
        <w:t>T</w:t>
      </w:r>
      <w:r>
        <w:rPr>
          <w:rFonts w:ascii="Arial" w:cs="Arial" w:eastAsia="Arial" w:hAnsi="Arial"/>
          <w:sz w:val="18"/>
          <w:szCs w:val="18"/>
          <w:color w:val="2F2F2F"/>
        </w:rPr>
        <w:t>hir</w:t>
      </w:r>
      <w:r>
        <w:rPr>
          <w:rFonts w:ascii="Arial" w:cs="Arial" w:eastAsia="Arial" w:hAnsi="Arial"/>
          <w:sz w:val="18"/>
          <w:szCs w:val="18"/>
          <w:color w:val="161616"/>
        </w:rPr>
        <w:t>d</w:t>
      </w:r>
      <w:r>
        <w:rPr>
          <w:rFonts w:ascii="Arial" w:cs="Arial" w:eastAsia="Arial" w:hAnsi="Arial"/>
          <w:sz w:val="18"/>
          <w:szCs w:val="18"/>
          <w:color w:val="2F2F2F"/>
        </w:rPr>
        <w:t xml:space="preserve"> Amendment, Landlord shall, subject to this </w:t>
      </w:r>
      <w:r>
        <w:rPr>
          <w:rFonts w:ascii="Arial" w:cs="Arial" w:eastAsia="Arial" w:hAnsi="Arial"/>
          <w:sz w:val="18"/>
          <w:szCs w:val="18"/>
          <w:u w:val="single" w:color="auto"/>
          <w:color w:val="2F2F2F"/>
        </w:rPr>
        <w:t>Section 3(i)</w:t>
      </w:r>
      <w:r>
        <w:rPr>
          <w:rFonts w:ascii="Arial" w:cs="Arial" w:eastAsia="Arial" w:hAnsi="Arial"/>
          <w:sz w:val="18"/>
          <w:szCs w:val="18"/>
          <w:color w:val="2F2F2F"/>
        </w:rPr>
        <w:t xml:space="preserve">, provide to Tenant a special tenant improvement allowance equal to Nine Hundred </w:t>
      </w:r>
      <w:r>
        <w:rPr>
          <w:rFonts w:ascii="Arial" w:cs="Arial" w:eastAsia="Arial" w:hAnsi="Arial"/>
          <w:sz w:val="18"/>
          <w:szCs w:val="18"/>
          <w:color w:val="161616"/>
        </w:rPr>
        <w:t>Sixteen</w:t>
      </w:r>
      <w:r>
        <w:rPr>
          <w:rFonts w:ascii="Arial" w:cs="Arial" w:eastAsia="Arial" w:hAnsi="Arial"/>
          <w:sz w:val="18"/>
          <w:szCs w:val="18"/>
          <w:color w:val="2F2F2F"/>
        </w:rPr>
        <w:t xml:space="preserve"> and 56</w:t>
      </w:r>
      <w:r>
        <w:rPr>
          <w:rFonts w:ascii="Arial" w:cs="Arial" w:eastAsia="Arial" w:hAnsi="Arial"/>
          <w:sz w:val="18"/>
          <w:szCs w:val="18"/>
          <w:color w:val="797979"/>
        </w:rPr>
        <w:t>/</w:t>
      </w:r>
      <w:r>
        <w:rPr>
          <w:rFonts w:ascii="Arial" w:cs="Arial" w:eastAsia="Arial" w:hAnsi="Arial"/>
          <w:sz w:val="18"/>
          <w:szCs w:val="18"/>
          <w:color w:val="161616"/>
        </w:rPr>
        <w:t>1</w:t>
      </w:r>
      <w:r>
        <w:rPr>
          <w:rFonts w:ascii="Arial" w:cs="Arial" w:eastAsia="Arial" w:hAnsi="Arial"/>
          <w:sz w:val="18"/>
          <w:szCs w:val="18"/>
          <w:color w:val="2F2F2F"/>
        </w:rPr>
        <w:t>0</w:t>
      </w:r>
      <w:r>
        <w:rPr>
          <w:rFonts w:ascii="Arial" w:cs="Arial" w:eastAsia="Arial" w:hAnsi="Arial"/>
          <w:sz w:val="18"/>
          <w:szCs w:val="18"/>
          <w:color w:val="161616"/>
        </w:rPr>
        <w:t>0</w:t>
      </w:r>
      <w:r>
        <w:rPr>
          <w:rFonts w:ascii="Arial" w:cs="Arial" w:eastAsia="Arial" w:hAnsi="Arial"/>
          <w:sz w:val="18"/>
          <w:szCs w:val="18"/>
          <w:color w:val="2F2F2F"/>
        </w:rPr>
        <w:t xml:space="preserve"> Dollars ($916.56) (the </w:t>
      </w:r>
      <w:r>
        <w:rPr>
          <w:rFonts w:ascii="Arial" w:cs="Arial" w:eastAsia="Arial" w:hAnsi="Arial"/>
          <w:sz w:val="18"/>
          <w:szCs w:val="18"/>
          <w:u w:val="single" w:color="auto"/>
          <w:color w:val="2F2F2F"/>
        </w:rPr>
        <w:t>"Space Planning Allowance")</w:t>
      </w:r>
      <w:r>
        <w:rPr>
          <w:rFonts w:ascii="Arial" w:cs="Arial" w:eastAsia="Arial" w:hAnsi="Arial"/>
          <w:sz w:val="18"/>
          <w:szCs w:val="18"/>
          <w:color w:val="2F2F2F"/>
        </w:rPr>
        <w:t xml:space="preserve"> to be used by </w:t>
      </w:r>
      <w:r>
        <w:rPr>
          <w:rFonts w:ascii="Arial" w:cs="Arial" w:eastAsia="Arial" w:hAnsi="Arial"/>
          <w:sz w:val="18"/>
          <w:szCs w:val="18"/>
          <w:color w:val="4B4B4B"/>
        </w:rPr>
        <w:t>Tenant</w:t>
      </w:r>
      <w:r>
        <w:rPr>
          <w:rFonts w:ascii="Arial" w:cs="Arial" w:eastAsia="Arial" w:hAnsi="Arial"/>
          <w:sz w:val="18"/>
          <w:szCs w:val="18"/>
          <w:color w:val="2F2F2F"/>
        </w:rPr>
        <w:t xml:space="preserve"> solely for design and architectural costs incurred </w:t>
      </w:r>
      <w:r>
        <w:rPr>
          <w:rFonts w:ascii="Arial" w:cs="Arial" w:eastAsia="Arial" w:hAnsi="Arial"/>
          <w:sz w:val="18"/>
          <w:szCs w:val="18"/>
          <w:color w:val="161616"/>
        </w:rPr>
        <w:t>by</w:t>
      </w:r>
      <w:r>
        <w:rPr>
          <w:rFonts w:ascii="Arial" w:cs="Arial" w:eastAsia="Arial" w:hAnsi="Arial"/>
          <w:sz w:val="18"/>
          <w:szCs w:val="18"/>
          <w:color w:val="2F2F2F"/>
        </w:rPr>
        <w:t xml:space="preserve"> Tenant for space </w:t>
      </w:r>
      <w:r>
        <w:rPr>
          <w:rFonts w:ascii="Arial" w:cs="Arial" w:eastAsia="Arial" w:hAnsi="Arial"/>
          <w:sz w:val="18"/>
          <w:szCs w:val="18"/>
          <w:color w:val="161616"/>
        </w:rPr>
        <w:t>planning</w:t>
      </w:r>
      <w:r>
        <w:rPr>
          <w:rFonts w:ascii="Arial" w:cs="Arial" w:eastAsia="Arial" w:hAnsi="Arial"/>
          <w:sz w:val="18"/>
          <w:szCs w:val="18"/>
          <w:color w:val="2F2F2F"/>
        </w:rPr>
        <w:t xml:space="preserve"> the Expansion Space. </w:t>
      </w:r>
      <w:r>
        <w:rPr>
          <w:rFonts w:ascii="Arial" w:cs="Arial" w:eastAsia="Arial" w:hAnsi="Arial"/>
          <w:sz w:val="18"/>
          <w:szCs w:val="18"/>
          <w:u w:val="single" w:color="auto"/>
          <w:color w:val="2F2F2F"/>
        </w:rPr>
        <w:t>Provided</w:t>
      </w:r>
      <w:r>
        <w:rPr>
          <w:rFonts w:ascii="Arial" w:cs="Arial" w:eastAsia="Arial" w:hAnsi="Arial"/>
          <w:sz w:val="18"/>
          <w:szCs w:val="18"/>
          <w:color w:val="2F2F2F"/>
        </w:rPr>
        <w:t xml:space="preserve"> there </w:t>
      </w:r>
      <w:r>
        <w:rPr>
          <w:rFonts w:ascii="Arial" w:cs="Arial" w:eastAsia="Arial" w:hAnsi="Arial"/>
          <w:sz w:val="18"/>
          <w:szCs w:val="18"/>
          <w:color w:val="161616"/>
        </w:rPr>
        <w:t>is</w:t>
      </w:r>
      <w:r>
        <w:rPr>
          <w:rFonts w:ascii="Arial" w:cs="Arial" w:eastAsia="Arial" w:hAnsi="Arial"/>
          <w:sz w:val="18"/>
          <w:szCs w:val="18"/>
          <w:color w:val="2F2F2F"/>
        </w:rPr>
        <w:t xml:space="preserve"> no Event of </w:t>
      </w:r>
      <w:r>
        <w:rPr>
          <w:rFonts w:ascii="Arial" w:cs="Arial" w:eastAsia="Arial" w:hAnsi="Arial"/>
          <w:sz w:val="18"/>
          <w:szCs w:val="18"/>
          <w:color w:val="161616"/>
        </w:rPr>
        <w:t>Default</w:t>
      </w:r>
      <w:r>
        <w:rPr>
          <w:rFonts w:ascii="Arial" w:cs="Arial" w:eastAsia="Arial" w:hAnsi="Arial"/>
          <w:sz w:val="18"/>
          <w:szCs w:val="18"/>
          <w:color w:val="2F2F2F"/>
        </w:rPr>
        <w:t xml:space="preserve"> or event which, with the passage of time and</w:t>
      </w:r>
      <w:r>
        <w:rPr>
          <w:rFonts w:ascii="Arial" w:cs="Arial" w:eastAsia="Arial" w:hAnsi="Arial"/>
          <w:sz w:val="18"/>
          <w:szCs w:val="18"/>
          <w:color w:val="797979"/>
        </w:rPr>
        <w:t>/</w:t>
      </w:r>
      <w:r>
        <w:rPr>
          <w:rFonts w:ascii="Arial" w:cs="Arial" w:eastAsia="Arial" w:hAnsi="Arial"/>
          <w:sz w:val="18"/>
          <w:szCs w:val="18"/>
          <w:color w:val="2F2F2F"/>
        </w:rPr>
        <w:t xml:space="preserve">or the giving of notice would constitute an Event of Default, Landlord shall </w:t>
      </w:r>
      <w:r>
        <w:rPr>
          <w:rFonts w:ascii="Arial" w:cs="Arial" w:eastAsia="Arial" w:hAnsi="Arial"/>
          <w:sz w:val="18"/>
          <w:szCs w:val="18"/>
          <w:color w:val="161616"/>
        </w:rPr>
        <w:t>pay</w:t>
      </w:r>
      <w:r>
        <w:rPr>
          <w:rFonts w:ascii="Arial" w:cs="Arial" w:eastAsia="Arial" w:hAnsi="Arial"/>
          <w:sz w:val="18"/>
          <w:szCs w:val="18"/>
          <w:color w:val="2F2F2F"/>
        </w:rPr>
        <w:t xml:space="preserve"> </w:t>
      </w:r>
      <w:r>
        <w:rPr>
          <w:rFonts w:ascii="Arial" w:cs="Arial" w:eastAsia="Arial" w:hAnsi="Arial"/>
          <w:sz w:val="18"/>
          <w:szCs w:val="18"/>
          <w:color w:val="4B4B4B"/>
        </w:rPr>
        <w:t>the</w:t>
      </w:r>
      <w:r>
        <w:rPr>
          <w:rFonts w:ascii="Arial" w:cs="Arial" w:eastAsia="Arial" w:hAnsi="Arial"/>
          <w:sz w:val="18"/>
          <w:szCs w:val="18"/>
          <w:color w:val="2F2F2F"/>
        </w:rPr>
        <w:t xml:space="preserve"> Space </w:t>
      </w:r>
      <w:r>
        <w:rPr>
          <w:rFonts w:ascii="Arial" w:cs="Arial" w:eastAsia="Arial" w:hAnsi="Arial"/>
          <w:sz w:val="18"/>
          <w:szCs w:val="18"/>
          <w:color w:val="161616"/>
        </w:rPr>
        <w:t>Planning</w:t>
      </w:r>
      <w:r>
        <w:rPr>
          <w:rFonts w:ascii="Arial" w:cs="Arial" w:eastAsia="Arial" w:hAnsi="Arial"/>
          <w:sz w:val="18"/>
          <w:szCs w:val="18"/>
          <w:color w:val="2F2F2F"/>
        </w:rPr>
        <w:t xml:space="preserve"> </w:t>
      </w:r>
      <w:r>
        <w:rPr>
          <w:rFonts w:ascii="Arial" w:cs="Arial" w:eastAsia="Arial" w:hAnsi="Arial"/>
          <w:sz w:val="18"/>
          <w:szCs w:val="18"/>
          <w:color w:val="161616"/>
        </w:rPr>
        <w:t xml:space="preserve">Allowance </w:t>
      </w:r>
      <w:r>
        <w:rPr>
          <w:rFonts w:ascii="Arial" w:cs="Arial" w:eastAsia="Arial" w:hAnsi="Arial"/>
          <w:sz w:val="18"/>
          <w:szCs w:val="18"/>
          <w:color w:val="2F2F2F"/>
        </w:rPr>
        <w:t>to Tenant within thirty (30)</w:t>
      </w:r>
      <w:r>
        <w:rPr>
          <w:rFonts w:ascii="Arial" w:cs="Arial" w:eastAsia="Arial" w:hAnsi="Arial"/>
          <w:sz w:val="18"/>
          <w:szCs w:val="18"/>
          <w:color w:val="161616"/>
        </w:rPr>
        <w:t xml:space="preserve"> days </w:t>
      </w:r>
      <w:r>
        <w:rPr>
          <w:rFonts w:ascii="Arial" w:cs="Arial" w:eastAsia="Arial" w:hAnsi="Arial"/>
          <w:sz w:val="18"/>
          <w:szCs w:val="18"/>
          <w:color w:val="2F2F2F"/>
        </w:rPr>
        <w:t>after the</w:t>
      </w:r>
      <w:r>
        <w:rPr>
          <w:rFonts w:ascii="Arial" w:cs="Arial" w:eastAsia="Arial" w:hAnsi="Arial"/>
          <w:sz w:val="18"/>
          <w:szCs w:val="18"/>
          <w:color w:val="161616"/>
        </w:rPr>
        <w:t xml:space="preserve"> later </w:t>
      </w:r>
      <w:r>
        <w:rPr>
          <w:rFonts w:ascii="Arial" w:cs="Arial" w:eastAsia="Arial" w:hAnsi="Arial"/>
          <w:sz w:val="18"/>
          <w:szCs w:val="18"/>
          <w:color w:val="4B4B4B"/>
        </w:rPr>
        <w:t>to</w:t>
      </w:r>
      <w:r>
        <w:rPr>
          <w:rFonts w:ascii="Arial" w:cs="Arial" w:eastAsia="Arial" w:hAnsi="Arial"/>
          <w:sz w:val="18"/>
          <w:szCs w:val="18"/>
          <w:color w:val="161616"/>
        </w:rPr>
        <w:t xml:space="preserve"> </w:t>
      </w:r>
      <w:r>
        <w:rPr>
          <w:rFonts w:ascii="Arial" w:cs="Arial" w:eastAsia="Arial" w:hAnsi="Arial"/>
          <w:sz w:val="18"/>
          <w:szCs w:val="18"/>
          <w:color w:val="2F2F2F"/>
        </w:rPr>
        <w:t>occur of (a) Landlord's receipt of the draft ES Design</w:t>
      </w:r>
      <w:r>
        <w:rPr>
          <w:rFonts w:ascii="Arial" w:cs="Arial" w:eastAsia="Arial" w:hAnsi="Arial"/>
          <w:sz w:val="18"/>
          <w:szCs w:val="18"/>
          <w:color w:val="161616"/>
        </w:rPr>
        <w:t xml:space="preserve"> Development Plans, </w:t>
      </w:r>
      <w:r>
        <w:rPr>
          <w:rFonts w:ascii="Arial" w:cs="Arial" w:eastAsia="Arial" w:hAnsi="Arial"/>
          <w:sz w:val="18"/>
          <w:szCs w:val="18"/>
          <w:color w:val="2F2F2F"/>
        </w:rPr>
        <w:t>and (b) Landlord's receipt of a reasonably</w:t>
      </w:r>
      <w:r>
        <w:rPr>
          <w:rFonts w:ascii="Arial" w:cs="Arial" w:eastAsia="Arial" w:hAnsi="Arial"/>
          <w:sz w:val="18"/>
          <w:szCs w:val="18"/>
          <w:color w:val="161616"/>
        </w:rPr>
        <w:t xml:space="preserve"> detailed </w:t>
      </w:r>
      <w:r>
        <w:rPr>
          <w:rFonts w:ascii="Arial" w:cs="Arial" w:eastAsia="Arial" w:hAnsi="Arial"/>
          <w:sz w:val="18"/>
          <w:szCs w:val="18"/>
          <w:color w:val="2F2F2F"/>
        </w:rPr>
        <w:t>invoice therefor, which</w:t>
      </w:r>
      <w:r>
        <w:rPr>
          <w:rFonts w:ascii="Arial" w:cs="Arial" w:eastAsia="Arial" w:hAnsi="Arial"/>
          <w:sz w:val="18"/>
          <w:szCs w:val="18"/>
          <w:color w:val="161616"/>
        </w:rPr>
        <w:t xml:space="preserve"> invoice </w:t>
      </w:r>
      <w:r>
        <w:rPr>
          <w:rFonts w:ascii="Arial" w:cs="Arial" w:eastAsia="Arial" w:hAnsi="Arial"/>
          <w:sz w:val="18"/>
          <w:szCs w:val="18"/>
          <w:color w:val="2F2F2F"/>
        </w:rPr>
        <w:t>must be</w:t>
      </w:r>
      <w:r>
        <w:rPr>
          <w:rFonts w:ascii="Arial" w:cs="Arial" w:eastAsia="Arial" w:hAnsi="Arial"/>
          <w:sz w:val="18"/>
          <w:szCs w:val="18"/>
          <w:color w:val="161616"/>
        </w:rPr>
        <w:t xml:space="preserve"> delivered </w:t>
      </w:r>
      <w:r>
        <w:rPr>
          <w:rFonts w:ascii="Arial" w:cs="Arial" w:eastAsia="Arial" w:hAnsi="Arial"/>
          <w:sz w:val="18"/>
          <w:szCs w:val="18"/>
          <w:color w:val="2F2F2F"/>
        </w:rPr>
        <w:t>to Landlord on or before</w:t>
      </w:r>
      <w:r>
        <w:rPr>
          <w:rFonts w:ascii="Arial" w:cs="Arial" w:eastAsia="Arial" w:hAnsi="Arial"/>
          <w:sz w:val="18"/>
          <w:szCs w:val="18"/>
          <w:color w:val="161616"/>
        </w:rPr>
        <w:t xml:space="preserve"> </w:t>
      </w:r>
      <w:r>
        <w:rPr>
          <w:rFonts w:ascii="Arial" w:cs="Arial" w:eastAsia="Arial" w:hAnsi="Arial"/>
          <w:sz w:val="18"/>
          <w:szCs w:val="18"/>
          <w:color w:val="2F2F2F"/>
        </w:rPr>
        <w:t xml:space="preserve">the </w:t>
      </w:r>
      <w:r>
        <w:rPr>
          <w:rFonts w:ascii="Arial" w:cs="Arial" w:eastAsia="Arial" w:hAnsi="Arial"/>
          <w:sz w:val="18"/>
          <w:szCs w:val="18"/>
          <w:color w:val="161616"/>
        </w:rPr>
        <w:t>date</w:t>
      </w:r>
      <w:r>
        <w:rPr>
          <w:rFonts w:ascii="Arial" w:cs="Arial" w:eastAsia="Arial" w:hAnsi="Arial"/>
          <w:sz w:val="18"/>
          <w:szCs w:val="18"/>
          <w:color w:val="2F2F2F"/>
        </w:rPr>
        <w:t xml:space="preserve"> which </w:t>
      </w:r>
      <w:r>
        <w:rPr>
          <w:rFonts w:ascii="Arial" w:cs="Arial" w:eastAsia="Arial" w:hAnsi="Arial"/>
          <w:sz w:val="18"/>
          <w:szCs w:val="18"/>
          <w:color w:val="161616"/>
        </w:rPr>
        <w:t>is</w:t>
      </w:r>
      <w:r>
        <w:rPr>
          <w:rFonts w:ascii="Arial" w:cs="Arial" w:eastAsia="Arial" w:hAnsi="Arial"/>
          <w:sz w:val="18"/>
          <w:szCs w:val="18"/>
          <w:color w:val="2F2F2F"/>
        </w:rPr>
        <w:t xml:space="preserve"> sixty </w:t>
      </w:r>
      <w:r>
        <w:rPr>
          <w:rFonts w:ascii="Arial" w:cs="Arial" w:eastAsia="Arial" w:hAnsi="Arial"/>
          <w:sz w:val="18"/>
          <w:szCs w:val="18"/>
          <w:color w:val="161616"/>
        </w:rPr>
        <w:t>(</w:t>
      </w:r>
      <w:r>
        <w:rPr>
          <w:rFonts w:ascii="Arial" w:cs="Arial" w:eastAsia="Arial" w:hAnsi="Arial"/>
          <w:sz w:val="18"/>
          <w:szCs w:val="18"/>
          <w:color w:val="2F2F2F"/>
        </w:rPr>
        <w:t xml:space="preserve">60) </w:t>
      </w:r>
      <w:r>
        <w:rPr>
          <w:rFonts w:ascii="Arial" w:cs="Arial" w:eastAsia="Arial" w:hAnsi="Arial"/>
          <w:sz w:val="18"/>
          <w:szCs w:val="18"/>
          <w:color w:val="161616"/>
        </w:rPr>
        <w:t>days</w:t>
      </w:r>
      <w:r>
        <w:rPr>
          <w:rFonts w:ascii="Arial" w:cs="Arial" w:eastAsia="Arial" w:hAnsi="Arial"/>
          <w:sz w:val="18"/>
          <w:szCs w:val="18"/>
          <w:color w:val="2F2F2F"/>
        </w:rPr>
        <w:t xml:space="preserve"> after the ES Commencement Date: </w:t>
      </w:r>
      <w:r>
        <w:rPr>
          <w:rFonts w:ascii="Arial" w:cs="Arial" w:eastAsia="Arial" w:hAnsi="Arial"/>
          <w:sz w:val="18"/>
          <w:szCs w:val="18"/>
          <w:u w:val="single" w:color="auto"/>
          <w:color w:val="2F2F2F"/>
        </w:rPr>
        <w:t>provided, however,</w:t>
      </w:r>
      <w:r>
        <w:rPr>
          <w:rFonts w:ascii="Arial" w:cs="Arial" w:eastAsia="Arial" w:hAnsi="Arial"/>
          <w:sz w:val="18"/>
          <w:szCs w:val="18"/>
          <w:color w:val="2F2F2F"/>
        </w:rPr>
        <w:t xml:space="preserve"> that </w:t>
      </w:r>
      <w:r>
        <w:rPr>
          <w:rFonts w:ascii="Arial" w:cs="Arial" w:eastAsia="Arial" w:hAnsi="Arial"/>
          <w:sz w:val="18"/>
          <w:szCs w:val="18"/>
          <w:color w:val="161616"/>
        </w:rPr>
        <w:t>if</w:t>
      </w:r>
      <w:r>
        <w:rPr>
          <w:rFonts w:ascii="Arial" w:cs="Arial" w:eastAsia="Arial" w:hAnsi="Arial"/>
          <w:sz w:val="18"/>
          <w:szCs w:val="18"/>
          <w:color w:val="2F2F2F"/>
        </w:rPr>
        <w:t xml:space="preserve"> Tenant cures any default prior to the expiration of applicable cure periods set forth </w:t>
      </w:r>
      <w:r>
        <w:rPr>
          <w:rFonts w:ascii="Arial" w:cs="Arial" w:eastAsia="Arial" w:hAnsi="Arial"/>
          <w:sz w:val="18"/>
          <w:szCs w:val="18"/>
          <w:color w:val="161616"/>
        </w:rPr>
        <w:t>in</w:t>
      </w:r>
      <w:r>
        <w:rPr>
          <w:rFonts w:ascii="Arial" w:cs="Arial" w:eastAsia="Arial" w:hAnsi="Arial"/>
          <w:sz w:val="18"/>
          <w:szCs w:val="18"/>
          <w:color w:val="2F2F2F"/>
        </w:rPr>
        <w:t xml:space="preserve"> </w:t>
      </w:r>
      <w:r>
        <w:rPr>
          <w:rFonts w:ascii="Arial" w:cs="Arial" w:eastAsia="Arial" w:hAnsi="Arial"/>
          <w:sz w:val="18"/>
          <w:szCs w:val="18"/>
          <w:u w:val="single" w:color="auto"/>
          <w:color w:val="2F2F2F"/>
        </w:rPr>
        <w:t>Article 20</w:t>
      </w:r>
      <w:r>
        <w:rPr>
          <w:rFonts w:ascii="Arial" w:cs="Arial" w:eastAsia="Arial" w:hAnsi="Arial"/>
          <w:sz w:val="18"/>
          <w:szCs w:val="18"/>
          <w:color w:val="2F2F2F"/>
        </w:rPr>
        <w:t xml:space="preserve"> of the Lease, </w:t>
      </w:r>
      <w:r>
        <w:rPr>
          <w:rFonts w:ascii="Arial" w:cs="Arial" w:eastAsia="Arial" w:hAnsi="Arial"/>
          <w:sz w:val="18"/>
          <w:szCs w:val="18"/>
          <w:color w:val="4B4B4B"/>
        </w:rPr>
        <w:t>then</w:t>
      </w:r>
      <w:r>
        <w:rPr>
          <w:rFonts w:ascii="Arial" w:cs="Arial" w:eastAsia="Arial" w:hAnsi="Arial"/>
          <w:sz w:val="18"/>
          <w:szCs w:val="18"/>
          <w:color w:val="2F2F2F"/>
        </w:rPr>
        <w:t xml:space="preserve"> Landlord's obligation to pay </w:t>
      </w:r>
      <w:r>
        <w:rPr>
          <w:rFonts w:ascii="Arial" w:cs="Arial" w:eastAsia="Arial" w:hAnsi="Arial"/>
          <w:sz w:val="18"/>
          <w:szCs w:val="18"/>
          <w:color w:val="161616"/>
        </w:rPr>
        <w:t>the Space</w:t>
      </w:r>
      <w:r>
        <w:rPr>
          <w:rFonts w:ascii="Arial" w:cs="Arial" w:eastAsia="Arial" w:hAnsi="Arial"/>
          <w:sz w:val="18"/>
          <w:szCs w:val="18"/>
          <w:color w:val="2F2F2F"/>
        </w:rPr>
        <w:t xml:space="preserve"> Planning Allowance shall be reinstated. Tenant shall not </w:t>
      </w:r>
      <w:r>
        <w:rPr>
          <w:rFonts w:ascii="Arial" w:cs="Arial" w:eastAsia="Arial" w:hAnsi="Arial"/>
          <w:sz w:val="18"/>
          <w:szCs w:val="18"/>
          <w:color w:val="161616"/>
        </w:rPr>
        <w:t>be</w:t>
      </w:r>
      <w:r>
        <w:rPr>
          <w:rFonts w:ascii="Arial" w:cs="Arial" w:eastAsia="Arial" w:hAnsi="Arial"/>
          <w:sz w:val="18"/>
          <w:szCs w:val="18"/>
          <w:color w:val="2F2F2F"/>
        </w:rPr>
        <w:t xml:space="preserve"> entitled to any unused portion of the </w:t>
      </w:r>
      <w:r>
        <w:rPr>
          <w:rFonts w:ascii="Arial" w:cs="Arial" w:eastAsia="Arial" w:hAnsi="Arial"/>
          <w:sz w:val="18"/>
          <w:szCs w:val="18"/>
          <w:color w:val="161616"/>
        </w:rPr>
        <w:t>Space</w:t>
      </w:r>
      <w:r>
        <w:rPr>
          <w:rFonts w:ascii="Arial" w:cs="Arial" w:eastAsia="Arial" w:hAnsi="Arial"/>
          <w:sz w:val="18"/>
          <w:szCs w:val="18"/>
          <w:color w:val="2F2F2F"/>
        </w:rPr>
        <w:t xml:space="preserve"> Planning Allowance.</w:t>
      </w:r>
    </w:p>
    <w:p>
      <w:pPr>
        <w:spacing w:after="0" w:line="276" w:lineRule="exact"/>
        <w:rPr>
          <w:rFonts w:ascii="Arial" w:cs="Arial" w:eastAsia="Arial" w:hAnsi="Arial"/>
          <w:sz w:val="18"/>
          <w:szCs w:val="18"/>
          <w:color w:val="2F2F2F"/>
        </w:rPr>
      </w:pPr>
    </w:p>
    <w:p>
      <w:pPr>
        <w:jc w:val="both"/>
        <w:ind w:left="220" w:right="380" w:firstLine="372"/>
        <w:spacing w:after="0" w:line="237" w:lineRule="auto"/>
        <w:tabs>
          <w:tab w:leader="none" w:pos="956" w:val="left"/>
        </w:tabs>
        <w:numPr>
          <w:ilvl w:val="0"/>
          <w:numId w:val="117"/>
        </w:numPr>
        <w:rPr>
          <w:rFonts w:ascii="Arial" w:cs="Arial" w:eastAsia="Arial" w:hAnsi="Arial"/>
          <w:sz w:val="20"/>
          <w:szCs w:val="20"/>
          <w:u w:val="single" w:color="auto"/>
          <w:color w:val="2F2F2F"/>
        </w:rPr>
      </w:pPr>
      <w:r>
        <w:rPr>
          <w:rFonts w:ascii="Arial" w:cs="Arial" w:eastAsia="Arial" w:hAnsi="Arial"/>
          <w:sz w:val="20"/>
          <w:szCs w:val="20"/>
          <w:u w:val="single" w:color="auto"/>
          <w:color w:val="2F2F2F"/>
        </w:rPr>
        <w:t>Base Rent</w:t>
      </w:r>
      <w:r>
        <w:rPr>
          <w:rFonts w:ascii="Arial" w:cs="Arial" w:eastAsia="Arial" w:hAnsi="Arial"/>
          <w:sz w:val="20"/>
          <w:szCs w:val="20"/>
          <w:color w:val="282828"/>
        </w:rPr>
        <w:t>.</w:t>
      </w:r>
      <w:r>
        <w:rPr>
          <w:rFonts w:ascii="Arial" w:cs="Arial" w:eastAsia="Arial" w:hAnsi="Arial"/>
          <w:sz w:val="20"/>
          <w:szCs w:val="20"/>
          <w:color w:val="2F2F2F"/>
        </w:rPr>
        <w:t xml:space="preserve"> </w:t>
      </w:r>
      <w:r>
        <w:rPr>
          <w:rFonts w:ascii="Arial" w:cs="Arial" w:eastAsia="Arial" w:hAnsi="Arial"/>
          <w:sz w:val="20"/>
          <w:szCs w:val="20"/>
          <w:color w:val="363636"/>
        </w:rPr>
        <w:t>Notwithstanding anything to the contrary, commencing on the ES Rent Commencement Date, Base Rent during</w:t>
      </w:r>
      <w:r>
        <w:rPr>
          <w:rFonts w:ascii="Arial" w:cs="Arial" w:eastAsia="Arial" w:hAnsi="Arial"/>
          <w:sz w:val="20"/>
          <w:szCs w:val="20"/>
          <w:color w:val="2F2F2F"/>
        </w:rPr>
        <w:t xml:space="preserve"> </w:t>
      </w:r>
      <w:r>
        <w:rPr>
          <w:rFonts w:ascii="Arial" w:cs="Arial" w:eastAsia="Arial" w:hAnsi="Arial"/>
          <w:sz w:val="20"/>
          <w:szCs w:val="20"/>
          <w:color w:val="363636"/>
        </w:rPr>
        <w:t xml:space="preserve">the Initial Term with respect to the Expansion Space shall be paid in the following amounts, prorated for any partial months, </w:t>
      </w:r>
      <w:r>
        <w:rPr>
          <w:rFonts w:ascii="Arial" w:cs="Arial" w:eastAsia="Arial" w:hAnsi="Arial"/>
          <w:sz w:val="20"/>
          <w:szCs w:val="20"/>
          <w:color w:val="282828"/>
        </w:rPr>
        <w:t>and</w:t>
      </w:r>
      <w:r>
        <w:rPr>
          <w:rFonts w:ascii="Arial" w:cs="Arial" w:eastAsia="Arial" w:hAnsi="Arial"/>
          <w:sz w:val="20"/>
          <w:szCs w:val="20"/>
          <w:color w:val="363636"/>
        </w:rPr>
        <w:t xml:space="preserve"> </w:t>
      </w:r>
      <w:r>
        <w:rPr>
          <w:rFonts w:ascii="Arial" w:cs="Arial" w:eastAsia="Arial" w:hAnsi="Arial"/>
          <w:sz w:val="20"/>
          <w:szCs w:val="20"/>
          <w:color w:val="282828"/>
        </w:rPr>
        <w:t xml:space="preserve">otherwise </w:t>
      </w:r>
      <w:r>
        <w:rPr>
          <w:rFonts w:ascii="Arial" w:cs="Arial" w:eastAsia="Arial" w:hAnsi="Arial"/>
          <w:sz w:val="20"/>
          <w:szCs w:val="20"/>
          <w:color w:val="363636"/>
        </w:rPr>
        <w:t>in accordance with</w:t>
      </w:r>
      <w:r>
        <w:rPr>
          <w:rFonts w:ascii="Arial" w:cs="Arial" w:eastAsia="Arial" w:hAnsi="Arial"/>
          <w:sz w:val="20"/>
          <w:szCs w:val="20"/>
          <w:color w:val="282828"/>
        </w:rPr>
        <w:t xml:space="preserve"> the terms of </w:t>
      </w:r>
      <w:r>
        <w:rPr>
          <w:rFonts w:ascii="Arial" w:cs="Arial" w:eastAsia="Arial" w:hAnsi="Arial"/>
          <w:sz w:val="20"/>
          <w:szCs w:val="20"/>
          <w:color w:val="161616"/>
        </w:rPr>
        <w:t>the</w:t>
      </w:r>
      <w:r>
        <w:rPr>
          <w:rFonts w:ascii="Arial" w:cs="Arial" w:eastAsia="Arial" w:hAnsi="Arial"/>
          <w:sz w:val="20"/>
          <w:szCs w:val="20"/>
          <w:color w:val="282828"/>
        </w:rPr>
        <w:t xml:space="preserve"> </w:t>
      </w:r>
      <w:r>
        <w:rPr>
          <w:rFonts w:ascii="Arial" w:cs="Arial" w:eastAsia="Arial" w:hAnsi="Arial"/>
          <w:sz w:val="20"/>
          <w:szCs w:val="20"/>
          <w:color w:val="363636"/>
        </w:rPr>
        <w:t>Lease: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19"/>
                <w:szCs w:val="19"/>
                <w:color w:val="auto"/>
              </w:rPr>
            </w:pPr>
          </w:p>
        </w:tc>
        <w:tc>
          <w:tcPr>
            <w:tcW w:w="1420" w:type="dxa"/>
            <w:vAlign w:val="bottom"/>
            <w:gridSpan w:val="3"/>
            <w:vMerge w:val="restart"/>
          </w:tcPr>
          <w:p>
            <w:pPr>
              <w:spacing w:after="0"/>
              <w:rPr>
                <w:sz w:val="20"/>
                <w:szCs w:val="20"/>
                <w:color w:val="auto"/>
              </w:rPr>
            </w:pPr>
            <w:r>
              <w:rPr>
                <w:rFonts w:ascii="Arial" w:cs="Arial" w:eastAsia="Arial" w:hAnsi="Arial"/>
                <w:sz w:val="20"/>
                <w:szCs w:val="20"/>
                <w:color w:val="363636"/>
              </w:rPr>
              <w:t>ES Rent Y</w:t>
            </w:r>
            <w:r>
              <w:rPr>
                <w:rFonts w:ascii="Arial" w:cs="Arial" w:eastAsia="Arial" w:hAnsi="Arial"/>
                <w:sz w:val="20"/>
                <w:szCs w:val="20"/>
                <w:color w:val="282828"/>
              </w:rPr>
              <w:t>ear</w:t>
            </w:r>
          </w:p>
        </w:tc>
        <w:tc>
          <w:tcPr>
            <w:tcW w:w="2320" w:type="dxa"/>
            <w:vAlign w:val="bottom"/>
            <w:gridSpan w:val="4"/>
            <w:vMerge w:val="restart"/>
          </w:tcPr>
          <w:p>
            <w:pPr>
              <w:ind w:left="360"/>
              <w:spacing w:after="0"/>
              <w:rPr>
                <w:sz w:val="20"/>
                <w:szCs w:val="20"/>
                <w:color w:val="auto"/>
              </w:rPr>
            </w:pPr>
            <w:r>
              <w:rPr>
                <w:rFonts w:ascii="Arial" w:cs="Arial" w:eastAsia="Arial" w:hAnsi="Arial"/>
                <w:sz w:val="20"/>
                <w:szCs w:val="20"/>
                <w:color w:val="363636"/>
              </w:rPr>
              <w:t xml:space="preserve">Annual </w:t>
            </w:r>
            <w:r>
              <w:rPr>
                <w:rFonts w:ascii="Arial" w:cs="Arial" w:eastAsia="Arial" w:hAnsi="Arial"/>
                <w:sz w:val="20"/>
                <w:szCs w:val="20"/>
                <w:color w:val="282828"/>
              </w:rPr>
              <w:t>Base Rent</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bottom w:val="single" w:sz="8" w:color="282828"/>
            </w:tcBorders>
            <w:gridSpan w:val="2"/>
          </w:tcPr>
          <w:p>
            <w:pPr>
              <w:spacing w:after="0"/>
              <w:rPr>
                <w:sz w:val="20"/>
                <w:szCs w:val="20"/>
                <w:color w:val="auto"/>
              </w:rPr>
            </w:pPr>
            <w:r>
              <w:rPr>
                <w:rFonts w:ascii="Arial" w:cs="Arial" w:eastAsia="Arial" w:hAnsi="Arial"/>
                <w:sz w:val="20"/>
                <w:szCs w:val="20"/>
                <w:color w:val="282828"/>
                <w:w w:val="94"/>
              </w:rPr>
              <w:t>Monthly</w:t>
            </w:r>
          </w:p>
        </w:tc>
        <w:tc>
          <w:tcPr>
            <w:tcW w:w="700" w:type="dxa"/>
            <w:vAlign w:val="bottom"/>
          </w:tcPr>
          <w:p>
            <w:pPr>
              <w:spacing w:after="0"/>
              <w:rPr>
                <w:sz w:val="19"/>
                <w:szCs w:val="19"/>
                <w:color w:val="auto"/>
              </w:rPr>
            </w:pPr>
          </w:p>
        </w:tc>
        <w:tc>
          <w:tcPr>
            <w:tcW w:w="940" w:type="dxa"/>
            <w:vAlign w:val="bottom"/>
            <w:vMerge w:val="restart"/>
          </w:tcPr>
          <w:p>
            <w:pPr>
              <w:ind w:left="20"/>
              <w:spacing w:after="0"/>
              <w:rPr>
                <w:sz w:val="20"/>
                <w:szCs w:val="20"/>
                <w:color w:val="auto"/>
              </w:rPr>
            </w:pPr>
            <w:r>
              <w:rPr>
                <w:rFonts w:ascii="Arial" w:cs="Arial" w:eastAsia="Arial" w:hAnsi="Arial"/>
                <w:sz w:val="20"/>
                <w:szCs w:val="20"/>
                <w:color w:val="161616"/>
              </w:rPr>
              <w:t xml:space="preserve">Per </w:t>
            </w:r>
            <w:r>
              <w:rPr>
                <w:rFonts w:ascii="Arial" w:cs="Arial" w:eastAsia="Arial" w:hAnsi="Arial"/>
                <w:sz w:val="20"/>
                <w:szCs w:val="20"/>
                <w:color w:val="282828"/>
              </w:rPr>
              <w:t>RS</w:t>
            </w:r>
            <w:r>
              <w:rPr>
                <w:rFonts w:ascii="Arial" w:cs="Arial" w:eastAsia="Arial" w:hAnsi="Arial"/>
                <w:sz w:val="20"/>
                <w:szCs w:val="20"/>
                <w:color w:val="494949"/>
              </w:rPr>
              <w:t>F</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2320" w:type="dxa"/>
            <w:vAlign w:val="bottom"/>
            <w:gridSpan w:val="4"/>
            <w:vMerge w:val="continue"/>
          </w:tcPr>
          <w:p>
            <w:pPr>
              <w:spacing w:after="0"/>
              <w:rPr>
                <w:sz w:val="17"/>
                <w:szCs w:val="17"/>
                <w:color w:val="auto"/>
              </w:rPr>
            </w:pPr>
          </w:p>
        </w:tc>
        <w:tc>
          <w:tcPr>
            <w:tcW w:w="520" w:type="dxa"/>
            <w:vAlign w:val="bottom"/>
          </w:tcPr>
          <w:p>
            <w:pPr>
              <w:spacing w:after="0"/>
              <w:rPr>
                <w:sz w:val="17"/>
                <w:szCs w:val="17"/>
                <w:color w:val="auto"/>
              </w:rPr>
            </w:pPr>
          </w:p>
        </w:tc>
        <w:tc>
          <w:tcPr>
            <w:tcW w:w="1220" w:type="dxa"/>
            <w:vAlign w:val="bottom"/>
            <w:gridSpan w:val="3"/>
          </w:tcPr>
          <w:p>
            <w:pPr>
              <w:spacing w:after="0" w:line="196" w:lineRule="exact"/>
              <w:rPr>
                <w:sz w:val="20"/>
                <w:szCs w:val="20"/>
                <w:color w:val="auto"/>
              </w:rPr>
            </w:pPr>
            <w:r>
              <w:rPr>
                <w:rFonts w:ascii="Arial" w:cs="Arial" w:eastAsia="Arial" w:hAnsi="Arial"/>
                <w:sz w:val="20"/>
                <w:szCs w:val="20"/>
                <w:color w:val="363636"/>
              </w:rPr>
              <w:t>Installment</w:t>
            </w:r>
          </w:p>
        </w:tc>
        <w:tc>
          <w:tcPr>
            <w:tcW w:w="7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840" w:type="dxa"/>
            <w:vAlign w:val="bottom"/>
            <w:shd w:val="clear" w:color="auto" w:fill="363636"/>
          </w:tcPr>
          <w:p>
            <w:pPr>
              <w:spacing w:after="0" w:line="20" w:lineRule="exact"/>
              <w:rPr>
                <w:sz w:val="1"/>
                <w:szCs w:val="1"/>
                <w:color w:val="auto"/>
              </w:rPr>
            </w:pPr>
          </w:p>
        </w:tc>
        <w:tc>
          <w:tcPr>
            <w:tcW w:w="260" w:type="dxa"/>
            <w:vAlign w:val="bottom"/>
            <w:shd w:val="clear" w:color="auto" w:fill="28282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363636"/>
          </w:tcPr>
          <w:p>
            <w:pPr>
              <w:spacing w:after="0" w:line="20" w:lineRule="exact"/>
              <w:rPr>
                <w:sz w:val="1"/>
                <w:szCs w:val="1"/>
                <w:color w:val="auto"/>
              </w:rPr>
            </w:pPr>
          </w:p>
        </w:tc>
        <w:tc>
          <w:tcPr>
            <w:tcW w:w="820" w:type="dxa"/>
            <w:vAlign w:val="bottom"/>
            <w:shd w:val="clear" w:color="auto" w:fill="28282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shd w:val="clear" w:color="auto" w:fill="36363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54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60" w:type="dxa"/>
            <w:vAlign w:val="bottom"/>
            <w:vMerge w:val="restart"/>
          </w:tcPr>
          <w:p>
            <w:pPr>
              <w:jc w:val="right"/>
              <w:ind w:right="1"/>
              <w:spacing w:after="0"/>
              <w:rPr>
                <w:sz w:val="20"/>
                <w:szCs w:val="20"/>
                <w:color w:val="auto"/>
              </w:rPr>
            </w:pPr>
            <w:r>
              <w:rPr>
                <w:rFonts w:ascii="Arial" w:cs="Arial" w:eastAsia="Arial" w:hAnsi="Arial"/>
                <w:sz w:val="20"/>
                <w:szCs w:val="20"/>
                <w:color w:val="161616"/>
              </w:rPr>
              <w:t>1</w:t>
            </w:r>
          </w:p>
        </w:tc>
        <w:tc>
          <w:tcPr>
            <w:tcW w:w="320" w:type="dxa"/>
            <w:vAlign w:val="bottom"/>
            <w:vMerge w:val="restart"/>
          </w:tcPr>
          <w:p>
            <w:pPr>
              <w:spacing w:after="0" w:line="20" w:lineRule="exact"/>
              <w:rPr>
                <w:sz w:val="1"/>
                <w:szCs w:val="1"/>
                <w:color w:val="auto"/>
              </w:rPr>
            </w:pPr>
          </w:p>
        </w:tc>
        <w:tc>
          <w:tcPr>
            <w:tcW w:w="1800" w:type="dxa"/>
            <w:vAlign w:val="bottom"/>
            <w:gridSpan w:val="3"/>
            <w:vMerge w:val="restart"/>
          </w:tcPr>
          <w:p>
            <w:pPr>
              <w:ind w:left="360"/>
              <w:spacing w:after="0"/>
              <w:rPr>
                <w:sz w:val="20"/>
                <w:szCs w:val="20"/>
                <w:color w:val="auto"/>
              </w:rPr>
            </w:pPr>
            <w:r>
              <w:rPr>
                <w:rFonts w:ascii="Arial" w:cs="Arial" w:eastAsia="Arial" w:hAnsi="Arial"/>
                <w:sz w:val="20"/>
                <w:szCs w:val="20"/>
                <w:color w:val="282828"/>
              </w:rPr>
              <w:t>$863,094.00</w:t>
            </w:r>
          </w:p>
        </w:tc>
        <w:tc>
          <w:tcPr>
            <w:tcW w:w="520" w:type="dxa"/>
            <w:vAlign w:val="bottom"/>
            <w:vMerge w:val="restart"/>
          </w:tcPr>
          <w:p>
            <w:pPr>
              <w:spacing w:after="0" w:line="20" w:lineRule="exact"/>
              <w:rPr>
                <w:sz w:val="1"/>
                <w:szCs w:val="1"/>
                <w:color w:val="auto"/>
              </w:rPr>
            </w:pPr>
          </w:p>
        </w:tc>
        <w:tc>
          <w:tcPr>
            <w:tcW w:w="1420" w:type="dxa"/>
            <w:vAlign w:val="bottom"/>
            <w:gridSpan w:val="3"/>
            <w:vMerge w:val="restart"/>
          </w:tcPr>
          <w:p>
            <w:pPr>
              <w:ind w:left="520"/>
              <w:spacing w:after="0"/>
              <w:rPr>
                <w:sz w:val="20"/>
                <w:szCs w:val="20"/>
                <w:color w:val="auto"/>
              </w:rPr>
            </w:pPr>
            <w:r>
              <w:rPr>
                <w:rFonts w:ascii="Arial" w:cs="Arial" w:eastAsia="Arial" w:hAnsi="Arial"/>
                <w:sz w:val="20"/>
                <w:szCs w:val="20"/>
                <w:color w:val="282828"/>
                <w:w w:val="87"/>
              </w:rPr>
              <w:t>$71,924.50</w:t>
            </w:r>
          </w:p>
        </w:tc>
        <w:tc>
          <w:tcPr>
            <w:tcW w:w="320" w:type="dxa"/>
            <w:vAlign w:val="bottom"/>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540" w:type="dxa"/>
            <w:vAlign w:val="bottom"/>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1800" w:type="dxa"/>
            <w:vAlign w:val="bottom"/>
            <w:gridSpan w:val="3"/>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1420" w:type="dxa"/>
            <w:vAlign w:val="bottom"/>
            <w:gridSpan w:val="3"/>
            <w:vMerge w:val="continue"/>
          </w:tcPr>
          <w:p>
            <w:pPr>
              <w:spacing w:after="0"/>
              <w:rPr>
                <w:sz w:val="21"/>
                <w:szCs w:val="21"/>
                <w:color w:val="auto"/>
              </w:rPr>
            </w:pPr>
          </w:p>
        </w:tc>
        <w:tc>
          <w:tcPr>
            <w:tcW w:w="32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363636"/>
              </w:rPr>
              <w:t>$113.00</w:t>
            </w:r>
          </w:p>
        </w:tc>
        <w:tc>
          <w:tcPr>
            <w:tcW w:w="2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640" w:type="dxa"/>
            <w:vAlign w:val="bottom"/>
            <w:gridSpan w:val="3"/>
          </w:tcPr>
          <w:p>
            <w:pPr>
              <w:jc w:val="right"/>
              <w:ind w:right="1"/>
              <w:spacing w:after="0"/>
              <w:rPr>
                <w:sz w:val="20"/>
                <w:szCs w:val="20"/>
                <w:color w:val="auto"/>
              </w:rPr>
            </w:pPr>
            <w:r>
              <w:rPr>
                <w:rFonts w:ascii="Arial" w:cs="Arial" w:eastAsia="Arial" w:hAnsi="Arial"/>
                <w:sz w:val="20"/>
                <w:szCs w:val="20"/>
                <w:color w:val="363636"/>
              </w:rPr>
              <w:t>2</w:t>
            </w:r>
          </w:p>
        </w:tc>
        <w:tc>
          <w:tcPr>
            <w:tcW w:w="320" w:type="dxa"/>
            <w:vAlign w:val="bottom"/>
          </w:tcPr>
          <w:p>
            <w:pPr>
              <w:spacing w:after="0"/>
              <w:rPr>
                <w:sz w:val="24"/>
                <w:szCs w:val="24"/>
                <w:color w:val="auto"/>
              </w:rPr>
            </w:pPr>
          </w:p>
        </w:tc>
        <w:tc>
          <w:tcPr>
            <w:tcW w:w="1800" w:type="dxa"/>
            <w:vAlign w:val="bottom"/>
            <w:gridSpan w:val="3"/>
          </w:tcPr>
          <w:p>
            <w:pPr>
              <w:ind w:left="360"/>
              <w:spacing w:after="0"/>
              <w:rPr>
                <w:sz w:val="20"/>
                <w:szCs w:val="20"/>
                <w:color w:val="auto"/>
              </w:rPr>
            </w:pPr>
            <w:r>
              <w:rPr>
                <w:rFonts w:ascii="Arial" w:cs="Arial" w:eastAsia="Arial" w:hAnsi="Arial"/>
                <w:sz w:val="20"/>
                <w:szCs w:val="20"/>
                <w:color w:val="363636"/>
              </w:rPr>
              <w:t>$888,986.82</w:t>
            </w:r>
          </w:p>
        </w:tc>
        <w:tc>
          <w:tcPr>
            <w:tcW w:w="520" w:type="dxa"/>
            <w:vAlign w:val="bottom"/>
          </w:tcPr>
          <w:p>
            <w:pPr>
              <w:spacing w:after="0"/>
              <w:rPr>
                <w:sz w:val="24"/>
                <w:szCs w:val="24"/>
                <w:color w:val="auto"/>
              </w:rPr>
            </w:pPr>
          </w:p>
        </w:tc>
        <w:tc>
          <w:tcPr>
            <w:tcW w:w="1420" w:type="dxa"/>
            <w:vAlign w:val="bottom"/>
            <w:gridSpan w:val="3"/>
          </w:tcPr>
          <w:p>
            <w:pPr>
              <w:ind w:left="520"/>
              <w:spacing w:after="0"/>
              <w:rPr>
                <w:sz w:val="20"/>
                <w:szCs w:val="20"/>
                <w:color w:val="auto"/>
              </w:rPr>
            </w:pPr>
            <w:r>
              <w:rPr>
                <w:rFonts w:ascii="Arial" w:cs="Arial" w:eastAsia="Arial" w:hAnsi="Arial"/>
                <w:sz w:val="20"/>
                <w:szCs w:val="20"/>
                <w:color w:val="161616"/>
                <w:w w:val="87"/>
              </w:rPr>
              <w:t>$74,082.24</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161616"/>
              </w:rPr>
              <w:t>$116.39</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40" w:type="dxa"/>
            <w:vAlign w:val="bottom"/>
            <w:gridSpan w:val="3"/>
          </w:tcPr>
          <w:p>
            <w:pPr>
              <w:jc w:val="right"/>
              <w:ind w:right="1"/>
              <w:spacing w:after="0"/>
              <w:rPr>
                <w:sz w:val="20"/>
                <w:szCs w:val="20"/>
                <w:color w:val="auto"/>
              </w:rPr>
            </w:pPr>
            <w:r>
              <w:rPr>
                <w:rFonts w:ascii="Arial" w:cs="Arial" w:eastAsia="Arial" w:hAnsi="Arial"/>
                <w:sz w:val="20"/>
                <w:szCs w:val="20"/>
                <w:color w:val="161616"/>
              </w:rPr>
              <w:t>3</w:t>
            </w:r>
          </w:p>
        </w:tc>
        <w:tc>
          <w:tcPr>
            <w:tcW w:w="320" w:type="dxa"/>
            <w:vAlign w:val="bottom"/>
          </w:tcPr>
          <w:p>
            <w:pPr>
              <w:spacing w:after="0"/>
              <w:rPr>
                <w:sz w:val="23"/>
                <w:szCs w:val="23"/>
                <w:color w:val="auto"/>
              </w:rPr>
            </w:pPr>
          </w:p>
        </w:tc>
        <w:tc>
          <w:tcPr>
            <w:tcW w:w="1800" w:type="dxa"/>
            <w:vAlign w:val="bottom"/>
            <w:gridSpan w:val="3"/>
          </w:tcPr>
          <w:p>
            <w:pPr>
              <w:ind w:left="360"/>
              <w:spacing w:after="0"/>
              <w:rPr>
                <w:sz w:val="20"/>
                <w:szCs w:val="20"/>
                <w:color w:val="auto"/>
              </w:rPr>
            </w:pPr>
            <w:r>
              <w:rPr>
                <w:rFonts w:ascii="Arial" w:cs="Arial" w:eastAsia="Arial" w:hAnsi="Arial"/>
                <w:sz w:val="20"/>
                <w:szCs w:val="20"/>
                <w:color w:val="363636"/>
              </w:rPr>
              <w:t>$915,656.42</w:t>
            </w:r>
          </w:p>
        </w:tc>
        <w:tc>
          <w:tcPr>
            <w:tcW w:w="520" w:type="dxa"/>
            <w:vAlign w:val="bottom"/>
          </w:tcPr>
          <w:p>
            <w:pPr>
              <w:spacing w:after="0"/>
              <w:rPr>
                <w:sz w:val="23"/>
                <w:szCs w:val="23"/>
                <w:color w:val="auto"/>
              </w:rPr>
            </w:pPr>
          </w:p>
        </w:tc>
        <w:tc>
          <w:tcPr>
            <w:tcW w:w="1420" w:type="dxa"/>
            <w:vAlign w:val="bottom"/>
            <w:gridSpan w:val="3"/>
          </w:tcPr>
          <w:p>
            <w:pPr>
              <w:ind w:left="520"/>
              <w:spacing w:after="0"/>
              <w:rPr>
                <w:sz w:val="20"/>
                <w:szCs w:val="20"/>
                <w:color w:val="auto"/>
              </w:rPr>
            </w:pPr>
            <w:r>
              <w:rPr>
                <w:rFonts w:ascii="Arial" w:cs="Arial" w:eastAsia="Arial" w:hAnsi="Arial"/>
                <w:sz w:val="20"/>
                <w:szCs w:val="20"/>
                <w:color w:val="282828"/>
                <w:w w:val="87"/>
              </w:rPr>
              <w:t>$76,304.70</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161616"/>
              </w:rPr>
              <w:t>$119.88</w:t>
            </w: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3"/>
          </w:tcPr>
          <w:p>
            <w:pPr>
              <w:jc w:val="right"/>
              <w:ind w:right="1"/>
              <w:spacing w:after="0"/>
              <w:rPr>
                <w:sz w:val="20"/>
                <w:szCs w:val="20"/>
                <w:color w:val="auto"/>
              </w:rPr>
            </w:pPr>
            <w:r>
              <w:rPr>
                <w:rFonts w:ascii="Arial" w:cs="Arial" w:eastAsia="Arial" w:hAnsi="Arial"/>
                <w:sz w:val="20"/>
                <w:szCs w:val="20"/>
                <w:color w:val="363636"/>
              </w:rPr>
              <w:t>4</w:t>
            </w:r>
          </w:p>
        </w:tc>
        <w:tc>
          <w:tcPr>
            <w:tcW w:w="320" w:type="dxa"/>
            <w:vAlign w:val="bottom"/>
          </w:tcPr>
          <w:p>
            <w:pPr>
              <w:spacing w:after="0"/>
              <w:rPr>
                <w:sz w:val="23"/>
                <w:szCs w:val="23"/>
                <w:color w:val="auto"/>
              </w:rPr>
            </w:pPr>
          </w:p>
        </w:tc>
        <w:tc>
          <w:tcPr>
            <w:tcW w:w="1800" w:type="dxa"/>
            <w:vAlign w:val="bottom"/>
            <w:gridSpan w:val="3"/>
          </w:tcPr>
          <w:p>
            <w:pPr>
              <w:ind w:left="360"/>
              <w:spacing w:after="0"/>
              <w:rPr>
                <w:sz w:val="20"/>
                <w:szCs w:val="20"/>
                <w:color w:val="auto"/>
              </w:rPr>
            </w:pPr>
            <w:r>
              <w:rPr>
                <w:rFonts w:ascii="Arial" w:cs="Arial" w:eastAsia="Arial" w:hAnsi="Arial"/>
                <w:sz w:val="20"/>
                <w:szCs w:val="20"/>
                <w:color w:val="363636"/>
              </w:rPr>
              <w:t>$943,126.12</w:t>
            </w:r>
          </w:p>
        </w:tc>
        <w:tc>
          <w:tcPr>
            <w:tcW w:w="520" w:type="dxa"/>
            <w:vAlign w:val="bottom"/>
          </w:tcPr>
          <w:p>
            <w:pPr>
              <w:spacing w:after="0"/>
              <w:rPr>
                <w:sz w:val="23"/>
                <w:szCs w:val="23"/>
                <w:color w:val="auto"/>
              </w:rPr>
            </w:pPr>
          </w:p>
        </w:tc>
        <w:tc>
          <w:tcPr>
            <w:tcW w:w="1420" w:type="dxa"/>
            <w:vAlign w:val="bottom"/>
            <w:gridSpan w:val="3"/>
          </w:tcPr>
          <w:p>
            <w:pPr>
              <w:ind w:left="520"/>
              <w:spacing w:after="0"/>
              <w:rPr>
                <w:sz w:val="20"/>
                <w:szCs w:val="20"/>
                <w:color w:val="auto"/>
              </w:rPr>
            </w:pPr>
            <w:r>
              <w:rPr>
                <w:rFonts w:ascii="Arial" w:cs="Arial" w:eastAsia="Arial" w:hAnsi="Arial"/>
                <w:sz w:val="20"/>
                <w:szCs w:val="20"/>
                <w:color w:val="282828"/>
                <w:w w:val="87"/>
              </w:rPr>
              <w:t>$78,593.84</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161616"/>
              </w:rPr>
              <w:t>$</w:t>
            </w:r>
            <w:r>
              <w:rPr>
                <w:rFonts w:ascii="Arial" w:cs="Arial" w:eastAsia="Arial" w:hAnsi="Arial"/>
                <w:sz w:val="20"/>
                <w:szCs w:val="20"/>
                <w:color w:val="494949"/>
              </w:rPr>
              <w:t>1</w:t>
            </w:r>
            <w:r>
              <w:rPr>
                <w:rFonts w:ascii="Arial" w:cs="Arial" w:eastAsia="Arial" w:hAnsi="Arial"/>
                <w:sz w:val="20"/>
                <w:szCs w:val="20"/>
                <w:color w:val="282828"/>
              </w:rPr>
              <w:t>23.48</w:t>
            </w: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3"/>
          </w:tcPr>
          <w:p>
            <w:pPr>
              <w:jc w:val="right"/>
              <w:ind w:right="1"/>
              <w:spacing w:after="0"/>
              <w:rPr>
                <w:sz w:val="20"/>
                <w:szCs w:val="20"/>
                <w:color w:val="auto"/>
              </w:rPr>
            </w:pPr>
            <w:r>
              <w:rPr>
                <w:rFonts w:ascii="Arial" w:cs="Arial" w:eastAsia="Arial" w:hAnsi="Arial"/>
                <w:sz w:val="20"/>
                <w:szCs w:val="20"/>
                <w:color w:val="363636"/>
              </w:rPr>
              <w:t>5</w:t>
            </w:r>
          </w:p>
        </w:tc>
        <w:tc>
          <w:tcPr>
            <w:tcW w:w="320" w:type="dxa"/>
            <w:vAlign w:val="bottom"/>
          </w:tcPr>
          <w:p>
            <w:pPr>
              <w:spacing w:after="0"/>
              <w:rPr>
                <w:sz w:val="23"/>
                <w:szCs w:val="23"/>
                <w:color w:val="auto"/>
              </w:rPr>
            </w:pPr>
          </w:p>
        </w:tc>
        <w:tc>
          <w:tcPr>
            <w:tcW w:w="1800" w:type="dxa"/>
            <w:vAlign w:val="bottom"/>
            <w:gridSpan w:val="3"/>
          </w:tcPr>
          <w:p>
            <w:pPr>
              <w:ind w:left="360"/>
              <w:spacing w:after="0"/>
              <w:rPr>
                <w:sz w:val="20"/>
                <w:szCs w:val="20"/>
                <w:color w:val="auto"/>
              </w:rPr>
            </w:pPr>
            <w:r>
              <w:rPr>
                <w:rFonts w:ascii="Arial" w:cs="Arial" w:eastAsia="Arial" w:hAnsi="Arial"/>
                <w:sz w:val="20"/>
                <w:szCs w:val="20"/>
                <w:color w:val="363636"/>
              </w:rPr>
              <w:t>$971,419.90</w:t>
            </w:r>
          </w:p>
        </w:tc>
        <w:tc>
          <w:tcPr>
            <w:tcW w:w="520" w:type="dxa"/>
            <w:vAlign w:val="bottom"/>
          </w:tcPr>
          <w:p>
            <w:pPr>
              <w:spacing w:after="0"/>
              <w:rPr>
                <w:sz w:val="23"/>
                <w:szCs w:val="23"/>
                <w:color w:val="auto"/>
              </w:rPr>
            </w:pPr>
          </w:p>
        </w:tc>
        <w:tc>
          <w:tcPr>
            <w:tcW w:w="1420" w:type="dxa"/>
            <w:vAlign w:val="bottom"/>
            <w:gridSpan w:val="3"/>
          </w:tcPr>
          <w:p>
            <w:pPr>
              <w:ind w:left="520"/>
              <w:spacing w:after="0"/>
              <w:rPr>
                <w:sz w:val="20"/>
                <w:szCs w:val="20"/>
                <w:color w:val="auto"/>
              </w:rPr>
            </w:pPr>
            <w:r>
              <w:rPr>
                <w:rFonts w:ascii="Arial" w:cs="Arial" w:eastAsia="Arial" w:hAnsi="Arial"/>
                <w:sz w:val="20"/>
                <w:szCs w:val="20"/>
                <w:color w:val="161616"/>
                <w:w w:val="87"/>
              </w:rPr>
              <w:t>$80,951.66</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161616"/>
              </w:rPr>
              <w:t>$127.18</w:t>
            </w: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3"/>
          </w:tcPr>
          <w:p>
            <w:pPr>
              <w:jc w:val="right"/>
              <w:ind w:right="1"/>
              <w:spacing w:after="0"/>
              <w:rPr>
                <w:sz w:val="20"/>
                <w:szCs w:val="20"/>
                <w:color w:val="auto"/>
              </w:rPr>
            </w:pPr>
            <w:r>
              <w:rPr>
                <w:rFonts w:ascii="Arial" w:cs="Arial" w:eastAsia="Arial" w:hAnsi="Arial"/>
                <w:sz w:val="20"/>
                <w:szCs w:val="20"/>
                <w:color w:val="282828"/>
              </w:rPr>
              <w:t>6</w:t>
            </w:r>
          </w:p>
        </w:tc>
        <w:tc>
          <w:tcPr>
            <w:tcW w:w="320" w:type="dxa"/>
            <w:vAlign w:val="bottom"/>
          </w:tcPr>
          <w:p>
            <w:pPr>
              <w:spacing w:after="0"/>
              <w:rPr>
                <w:sz w:val="23"/>
                <w:szCs w:val="23"/>
                <w:color w:val="auto"/>
              </w:rPr>
            </w:pPr>
          </w:p>
        </w:tc>
        <w:tc>
          <w:tcPr>
            <w:tcW w:w="1800" w:type="dxa"/>
            <w:vAlign w:val="bottom"/>
            <w:gridSpan w:val="3"/>
          </w:tcPr>
          <w:p>
            <w:pPr>
              <w:ind w:left="340"/>
              <w:spacing w:after="0"/>
              <w:rPr>
                <w:sz w:val="20"/>
                <w:szCs w:val="20"/>
                <w:color w:val="auto"/>
              </w:rPr>
            </w:pPr>
            <w:r>
              <w:rPr>
                <w:rFonts w:ascii="Arial" w:cs="Arial" w:eastAsia="Arial" w:hAnsi="Arial"/>
                <w:sz w:val="20"/>
                <w:szCs w:val="20"/>
                <w:color w:val="363636"/>
              </w:rPr>
              <w:t>$1,000,562.50</w:t>
            </w:r>
          </w:p>
        </w:tc>
        <w:tc>
          <w:tcPr>
            <w:tcW w:w="520" w:type="dxa"/>
            <w:vAlign w:val="bottom"/>
          </w:tcPr>
          <w:p>
            <w:pPr>
              <w:spacing w:after="0"/>
              <w:rPr>
                <w:sz w:val="23"/>
                <w:szCs w:val="23"/>
                <w:color w:val="auto"/>
              </w:rPr>
            </w:pPr>
          </w:p>
        </w:tc>
        <w:tc>
          <w:tcPr>
            <w:tcW w:w="1420" w:type="dxa"/>
            <w:vAlign w:val="bottom"/>
            <w:gridSpan w:val="3"/>
          </w:tcPr>
          <w:p>
            <w:pPr>
              <w:ind w:left="520"/>
              <w:spacing w:after="0"/>
              <w:rPr>
                <w:sz w:val="20"/>
                <w:szCs w:val="20"/>
                <w:color w:val="auto"/>
              </w:rPr>
            </w:pPr>
            <w:r>
              <w:rPr>
                <w:rFonts w:ascii="Arial" w:cs="Arial" w:eastAsia="Arial" w:hAnsi="Arial"/>
                <w:sz w:val="20"/>
                <w:szCs w:val="20"/>
                <w:color w:val="282828"/>
                <w:w w:val="87"/>
              </w:rPr>
              <w:t>$83,380.21</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161616"/>
              </w:rPr>
              <w:t>$131.00</w:t>
            </w: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3"/>
          </w:tcPr>
          <w:p>
            <w:pPr>
              <w:jc w:val="right"/>
              <w:ind w:right="1"/>
              <w:spacing w:after="0"/>
              <w:rPr>
                <w:sz w:val="20"/>
                <w:szCs w:val="20"/>
                <w:color w:val="auto"/>
              </w:rPr>
            </w:pPr>
            <w:r>
              <w:rPr>
                <w:rFonts w:ascii="Arial" w:cs="Arial" w:eastAsia="Arial" w:hAnsi="Arial"/>
                <w:sz w:val="20"/>
                <w:szCs w:val="20"/>
                <w:color w:val="282828"/>
              </w:rPr>
              <w:t>7</w:t>
            </w:r>
          </w:p>
        </w:tc>
        <w:tc>
          <w:tcPr>
            <w:tcW w:w="320" w:type="dxa"/>
            <w:vAlign w:val="bottom"/>
          </w:tcPr>
          <w:p>
            <w:pPr>
              <w:spacing w:after="0"/>
              <w:rPr>
                <w:sz w:val="23"/>
                <w:szCs w:val="23"/>
                <w:color w:val="auto"/>
              </w:rPr>
            </w:pPr>
          </w:p>
        </w:tc>
        <w:tc>
          <w:tcPr>
            <w:tcW w:w="1800" w:type="dxa"/>
            <w:vAlign w:val="bottom"/>
            <w:gridSpan w:val="3"/>
          </w:tcPr>
          <w:p>
            <w:pPr>
              <w:ind w:left="340"/>
              <w:spacing w:after="0"/>
              <w:rPr>
                <w:sz w:val="20"/>
                <w:szCs w:val="20"/>
                <w:color w:val="auto"/>
              </w:rPr>
            </w:pPr>
            <w:r>
              <w:rPr>
                <w:rFonts w:ascii="Arial" w:cs="Arial" w:eastAsia="Arial" w:hAnsi="Arial"/>
                <w:sz w:val="20"/>
                <w:szCs w:val="20"/>
                <w:color w:val="363636"/>
              </w:rPr>
              <w:t>$1,030,579.37</w:t>
            </w:r>
          </w:p>
        </w:tc>
        <w:tc>
          <w:tcPr>
            <w:tcW w:w="520" w:type="dxa"/>
            <w:vAlign w:val="bottom"/>
          </w:tcPr>
          <w:p>
            <w:pPr>
              <w:spacing w:after="0"/>
              <w:rPr>
                <w:sz w:val="23"/>
                <w:szCs w:val="23"/>
                <w:color w:val="auto"/>
              </w:rPr>
            </w:pPr>
          </w:p>
        </w:tc>
        <w:tc>
          <w:tcPr>
            <w:tcW w:w="1420" w:type="dxa"/>
            <w:vAlign w:val="bottom"/>
            <w:gridSpan w:val="3"/>
          </w:tcPr>
          <w:p>
            <w:pPr>
              <w:ind w:left="520"/>
              <w:spacing w:after="0"/>
              <w:rPr>
                <w:sz w:val="20"/>
                <w:szCs w:val="20"/>
                <w:color w:val="auto"/>
              </w:rPr>
            </w:pPr>
            <w:r>
              <w:rPr>
                <w:rFonts w:ascii="Arial" w:cs="Arial" w:eastAsia="Arial" w:hAnsi="Arial"/>
                <w:sz w:val="20"/>
                <w:szCs w:val="20"/>
                <w:color w:val="282828"/>
                <w:w w:val="87"/>
              </w:rPr>
              <w:t>$85,881.61</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161616"/>
              </w:rPr>
              <w:t>$134.93</w:t>
            </w: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3"/>
          </w:tcPr>
          <w:p>
            <w:pPr>
              <w:jc w:val="right"/>
              <w:ind w:right="1"/>
              <w:spacing w:after="0"/>
              <w:rPr>
                <w:sz w:val="20"/>
                <w:szCs w:val="20"/>
                <w:color w:val="auto"/>
              </w:rPr>
            </w:pPr>
            <w:r>
              <w:rPr>
                <w:rFonts w:ascii="Arial" w:cs="Arial" w:eastAsia="Arial" w:hAnsi="Arial"/>
                <w:sz w:val="20"/>
                <w:szCs w:val="20"/>
                <w:color w:val="282828"/>
              </w:rPr>
              <w:t>8</w:t>
            </w:r>
          </w:p>
        </w:tc>
        <w:tc>
          <w:tcPr>
            <w:tcW w:w="320" w:type="dxa"/>
            <w:vAlign w:val="bottom"/>
          </w:tcPr>
          <w:p>
            <w:pPr>
              <w:spacing w:after="0"/>
              <w:rPr>
                <w:sz w:val="23"/>
                <w:szCs w:val="23"/>
                <w:color w:val="auto"/>
              </w:rPr>
            </w:pPr>
          </w:p>
        </w:tc>
        <w:tc>
          <w:tcPr>
            <w:tcW w:w="1800" w:type="dxa"/>
            <w:vAlign w:val="bottom"/>
            <w:gridSpan w:val="3"/>
          </w:tcPr>
          <w:p>
            <w:pPr>
              <w:ind w:left="340"/>
              <w:spacing w:after="0"/>
              <w:rPr>
                <w:sz w:val="20"/>
                <w:szCs w:val="20"/>
                <w:color w:val="auto"/>
              </w:rPr>
            </w:pPr>
            <w:r>
              <w:rPr>
                <w:rFonts w:ascii="Arial" w:cs="Arial" w:eastAsia="Arial" w:hAnsi="Arial"/>
                <w:sz w:val="20"/>
                <w:szCs w:val="20"/>
                <w:color w:val="363636"/>
              </w:rPr>
              <w:t>$1,061,496.75</w:t>
            </w:r>
          </w:p>
        </w:tc>
        <w:tc>
          <w:tcPr>
            <w:tcW w:w="520" w:type="dxa"/>
            <w:vAlign w:val="bottom"/>
          </w:tcPr>
          <w:p>
            <w:pPr>
              <w:spacing w:after="0"/>
              <w:rPr>
                <w:sz w:val="23"/>
                <w:szCs w:val="23"/>
                <w:color w:val="auto"/>
              </w:rPr>
            </w:pPr>
          </w:p>
        </w:tc>
        <w:tc>
          <w:tcPr>
            <w:tcW w:w="1420" w:type="dxa"/>
            <w:vAlign w:val="bottom"/>
            <w:gridSpan w:val="3"/>
          </w:tcPr>
          <w:p>
            <w:pPr>
              <w:ind w:left="520"/>
              <w:spacing w:after="0"/>
              <w:rPr>
                <w:sz w:val="20"/>
                <w:szCs w:val="20"/>
                <w:color w:val="auto"/>
              </w:rPr>
            </w:pPr>
            <w:r>
              <w:rPr>
                <w:rFonts w:ascii="Arial" w:cs="Arial" w:eastAsia="Arial" w:hAnsi="Arial"/>
                <w:sz w:val="20"/>
                <w:szCs w:val="20"/>
                <w:color w:val="161616"/>
                <w:w w:val="87"/>
              </w:rPr>
              <w:t>$88,458.06</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161616"/>
              </w:rPr>
              <w:t>$138.98</w:t>
            </w: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3"/>
          </w:tcPr>
          <w:p>
            <w:pPr>
              <w:jc w:val="right"/>
              <w:ind w:right="1"/>
              <w:spacing w:after="0"/>
              <w:rPr>
                <w:sz w:val="20"/>
                <w:szCs w:val="20"/>
                <w:color w:val="auto"/>
              </w:rPr>
            </w:pPr>
            <w:r>
              <w:rPr>
                <w:rFonts w:ascii="Arial" w:cs="Arial" w:eastAsia="Arial" w:hAnsi="Arial"/>
                <w:sz w:val="20"/>
                <w:szCs w:val="20"/>
                <w:color w:val="282828"/>
              </w:rPr>
              <w:t>9</w:t>
            </w:r>
          </w:p>
        </w:tc>
        <w:tc>
          <w:tcPr>
            <w:tcW w:w="320" w:type="dxa"/>
            <w:vAlign w:val="bottom"/>
          </w:tcPr>
          <w:p>
            <w:pPr>
              <w:spacing w:after="0"/>
              <w:rPr>
                <w:sz w:val="23"/>
                <w:szCs w:val="23"/>
                <w:color w:val="auto"/>
              </w:rPr>
            </w:pPr>
          </w:p>
        </w:tc>
        <w:tc>
          <w:tcPr>
            <w:tcW w:w="1800" w:type="dxa"/>
            <w:vAlign w:val="bottom"/>
            <w:gridSpan w:val="3"/>
          </w:tcPr>
          <w:p>
            <w:pPr>
              <w:ind w:left="340"/>
              <w:spacing w:after="0"/>
              <w:rPr>
                <w:sz w:val="20"/>
                <w:szCs w:val="20"/>
                <w:color w:val="auto"/>
              </w:rPr>
            </w:pPr>
            <w:r>
              <w:rPr>
                <w:rFonts w:ascii="Arial" w:cs="Arial" w:eastAsia="Arial" w:hAnsi="Arial"/>
                <w:sz w:val="20"/>
                <w:szCs w:val="20"/>
                <w:color w:val="363636"/>
              </w:rPr>
              <w:t>$1,093,341.66</w:t>
            </w:r>
          </w:p>
        </w:tc>
        <w:tc>
          <w:tcPr>
            <w:tcW w:w="520" w:type="dxa"/>
            <w:vAlign w:val="bottom"/>
          </w:tcPr>
          <w:p>
            <w:pPr>
              <w:spacing w:after="0"/>
              <w:rPr>
                <w:sz w:val="23"/>
                <w:szCs w:val="23"/>
                <w:color w:val="auto"/>
              </w:rPr>
            </w:pPr>
          </w:p>
        </w:tc>
        <w:tc>
          <w:tcPr>
            <w:tcW w:w="1420" w:type="dxa"/>
            <w:vAlign w:val="bottom"/>
            <w:gridSpan w:val="3"/>
          </w:tcPr>
          <w:p>
            <w:pPr>
              <w:ind w:left="520"/>
              <w:spacing w:after="0"/>
              <w:rPr>
                <w:sz w:val="20"/>
                <w:szCs w:val="20"/>
                <w:color w:val="auto"/>
              </w:rPr>
            </w:pPr>
            <w:r>
              <w:rPr>
                <w:rFonts w:ascii="Arial" w:cs="Arial" w:eastAsia="Arial" w:hAnsi="Arial"/>
                <w:sz w:val="20"/>
                <w:szCs w:val="20"/>
                <w:color w:val="282828"/>
                <w:w w:val="87"/>
              </w:rPr>
              <w:t>$91,111.80</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161616"/>
              </w:rPr>
              <w:t>$143.15</w:t>
            </w:r>
          </w:p>
        </w:tc>
        <w:tc>
          <w:tcPr>
            <w:tcW w:w="2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40" w:type="dxa"/>
            <w:vAlign w:val="bottom"/>
            <w:gridSpan w:val="3"/>
          </w:tcPr>
          <w:p>
            <w:pPr>
              <w:ind w:left="2220"/>
              <w:spacing w:after="0"/>
              <w:rPr>
                <w:sz w:val="20"/>
                <w:szCs w:val="20"/>
                <w:color w:val="auto"/>
              </w:rPr>
            </w:pPr>
            <w:r>
              <w:rPr>
                <w:rFonts w:ascii="Arial" w:cs="Arial" w:eastAsia="Arial" w:hAnsi="Arial"/>
                <w:sz w:val="20"/>
                <w:szCs w:val="20"/>
                <w:color w:val="161616"/>
              </w:rPr>
              <w:t>10</w:t>
            </w:r>
          </w:p>
        </w:tc>
        <w:tc>
          <w:tcPr>
            <w:tcW w:w="320" w:type="dxa"/>
            <w:vAlign w:val="bottom"/>
          </w:tcPr>
          <w:p>
            <w:pPr>
              <w:spacing w:after="0"/>
              <w:rPr>
                <w:sz w:val="22"/>
                <w:szCs w:val="22"/>
                <w:color w:val="auto"/>
              </w:rPr>
            </w:pPr>
          </w:p>
        </w:tc>
        <w:tc>
          <w:tcPr>
            <w:tcW w:w="1800" w:type="dxa"/>
            <w:vAlign w:val="bottom"/>
            <w:gridSpan w:val="3"/>
          </w:tcPr>
          <w:p>
            <w:pPr>
              <w:ind w:left="340"/>
              <w:spacing w:after="0"/>
              <w:rPr>
                <w:sz w:val="20"/>
                <w:szCs w:val="20"/>
                <w:color w:val="auto"/>
              </w:rPr>
            </w:pPr>
            <w:r>
              <w:rPr>
                <w:rFonts w:ascii="Arial" w:cs="Arial" w:eastAsia="Arial" w:hAnsi="Arial"/>
                <w:sz w:val="20"/>
                <w:szCs w:val="20"/>
                <w:color w:val="363636"/>
              </w:rPr>
              <w:t>$1,126,141.91</w:t>
            </w:r>
          </w:p>
        </w:tc>
        <w:tc>
          <w:tcPr>
            <w:tcW w:w="520" w:type="dxa"/>
            <w:vAlign w:val="bottom"/>
          </w:tcPr>
          <w:p>
            <w:pPr>
              <w:spacing w:after="0"/>
              <w:rPr>
                <w:sz w:val="22"/>
                <w:szCs w:val="22"/>
                <w:color w:val="auto"/>
              </w:rPr>
            </w:pPr>
          </w:p>
        </w:tc>
        <w:tc>
          <w:tcPr>
            <w:tcW w:w="1420" w:type="dxa"/>
            <w:vAlign w:val="bottom"/>
            <w:gridSpan w:val="3"/>
          </w:tcPr>
          <w:p>
            <w:pPr>
              <w:ind w:left="520"/>
              <w:spacing w:after="0"/>
              <w:rPr>
                <w:sz w:val="20"/>
                <w:szCs w:val="20"/>
                <w:color w:val="auto"/>
              </w:rPr>
            </w:pPr>
            <w:r>
              <w:rPr>
                <w:rFonts w:ascii="Arial" w:cs="Arial" w:eastAsia="Arial" w:hAnsi="Arial"/>
                <w:sz w:val="20"/>
                <w:szCs w:val="20"/>
                <w:color w:val="282828"/>
                <w:w w:val="87"/>
              </w:rPr>
              <w:t>$93,845.16</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161616"/>
              </w:rPr>
              <w:t>$147.44</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40" w:type="dxa"/>
            <w:vAlign w:val="bottom"/>
            <w:gridSpan w:val="3"/>
          </w:tcPr>
          <w:p>
            <w:pPr>
              <w:ind w:left="2220"/>
              <w:spacing w:after="0"/>
              <w:rPr>
                <w:sz w:val="20"/>
                <w:szCs w:val="20"/>
                <w:color w:val="auto"/>
              </w:rPr>
            </w:pPr>
            <w:r>
              <w:rPr>
                <w:rFonts w:ascii="Arial" w:cs="Arial" w:eastAsia="Arial" w:hAnsi="Arial"/>
                <w:sz w:val="20"/>
                <w:szCs w:val="20"/>
                <w:color w:val="161616"/>
              </w:rPr>
              <w:t>11</w:t>
            </w:r>
          </w:p>
        </w:tc>
        <w:tc>
          <w:tcPr>
            <w:tcW w:w="320" w:type="dxa"/>
            <w:vAlign w:val="bottom"/>
          </w:tcPr>
          <w:p>
            <w:pPr>
              <w:spacing w:after="0"/>
              <w:rPr>
                <w:sz w:val="22"/>
                <w:szCs w:val="22"/>
                <w:color w:val="auto"/>
              </w:rPr>
            </w:pPr>
          </w:p>
        </w:tc>
        <w:tc>
          <w:tcPr>
            <w:tcW w:w="1800" w:type="dxa"/>
            <w:vAlign w:val="bottom"/>
            <w:gridSpan w:val="3"/>
          </w:tcPr>
          <w:p>
            <w:pPr>
              <w:ind w:left="340"/>
              <w:spacing w:after="0"/>
              <w:rPr>
                <w:sz w:val="20"/>
                <w:szCs w:val="20"/>
                <w:color w:val="auto"/>
              </w:rPr>
            </w:pPr>
            <w:r>
              <w:rPr>
                <w:rFonts w:ascii="Arial" w:cs="Arial" w:eastAsia="Arial" w:hAnsi="Arial"/>
                <w:sz w:val="20"/>
                <w:szCs w:val="20"/>
                <w:color w:val="363636"/>
              </w:rPr>
              <w:t>$1,159,926.16</w:t>
            </w:r>
          </w:p>
        </w:tc>
        <w:tc>
          <w:tcPr>
            <w:tcW w:w="520" w:type="dxa"/>
            <w:vAlign w:val="bottom"/>
          </w:tcPr>
          <w:p>
            <w:pPr>
              <w:spacing w:after="0"/>
              <w:rPr>
                <w:sz w:val="22"/>
                <w:szCs w:val="22"/>
                <w:color w:val="auto"/>
              </w:rPr>
            </w:pPr>
          </w:p>
        </w:tc>
        <w:tc>
          <w:tcPr>
            <w:tcW w:w="1420" w:type="dxa"/>
            <w:vAlign w:val="bottom"/>
            <w:gridSpan w:val="3"/>
          </w:tcPr>
          <w:p>
            <w:pPr>
              <w:ind w:left="520"/>
              <w:spacing w:after="0"/>
              <w:rPr>
                <w:sz w:val="20"/>
                <w:szCs w:val="20"/>
                <w:color w:val="auto"/>
              </w:rPr>
            </w:pPr>
            <w:r>
              <w:rPr>
                <w:rFonts w:ascii="Arial" w:cs="Arial" w:eastAsia="Arial" w:hAnsi="Arial"/>
                <w:sz w:val="20"/>
                <w:szCs w:val="20"/>
                <w:color w:val="282828"/>
                <w:w w:val="87"/>
              </w:rPr>
              <w:t>$96,660.51</w:t>
            </w: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ind w:left="20"/>
              <w:spacing w:after="0"/>
              <w:rPr>
                <w:sz w:val="20"/>
                <w:szCs w:val="20"/>
                <w:color w:val="auto"/>
              </w:rPr>
            </w:pPr>
            <w:r>
              <w:rPr>
                <w:rFonts w:ascii="Arial" w:cs="Arial" w:eastAsia="Arial" w:hAnsi="Arial"/>
                <w:sz w:val="20"/>
                <w:szCs w:val="20"/>
                <w:color w:val="161616"/>
              </w:rPr>
              <w:t>$151.86</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1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9" w:right="339" w:bottom="1440" w:gutter="0" w:footer="0" w:header="0"/>
        </w:sectPr>
      </w:pPr>
    </w:p>
    <w:bookmarkStart w:id="198" w:name="page199"/>
    <w:bookmarkEnd w:id="198"/>
    <w:p>
      <w:pPr>
        <w:jc w:val="both"/>
        <w:ind w:right="20" w:firstLine="743"/>
        <w:spacing w:after="0" w:line="234" w:lineRule="auto"/>
        <w:rPr>
          <w:sz w:val="20"/>
          <w:szCs w:val="20"/>
          <w:color w:val="auto"/>
        </w:rPr>
      </w:pPr>
      <w:r>
        <w:rPr>
          <w:rFonts w:ascii="Arial" w:cs="Arial" w:eastAsia="Arial" w:hAnsi="Arial"/>
          <w:sz w:val="20"/>
          <w:szCs w:val="20"/>
          <w:color w:val="282828"/>
        </w:rPr>
        <w:t xml:space="preserve">The </w:t>
      </w:r>
      <w:r>
        <w:rPr>
          <w:rFonts w:ascii="Arial" w:cs="Arial" w:eastAsia="Arial" w:hAnsi="Arial"/>
          <w:sz w:val="20"/>
          <w:szCs w:val="20"/>
          <w:u w:val="single" w:color="auto"/>
          <w:color w:val="2F2F2F"/>
        </w:rPr>
        <w:t>"ES Rent Commencement Date"</w:t>
      </w:r>
      <w:r>
        <w:rPr>
          <w:rFonts w:ascii="Arial" w:cs="Arial" w:eastAsia="Arial" w:hAnsi="Arial"/>
          <w:sz w:val="20"/>
          <w:szCs w:val="20"/>
          <w:color w:val="282828"/>
        </w:rPr>
        <w:t xml:space="preserve"> </w:t>
      </w:r>
      <w:r>
        <w:rPr>
          <w:rFonts w:ascii="Arial" w:cs="Arial" w:eastAsia="Arial" w:hAnsi="Arial"/>
          <w:sz w:val="20"/>
          <w:szCs w:val="20"/>
          <w:color w:val="363636"/>
        </w:rPr>
        <w:t>shall</w:t>
      </w:r>
      <w:r>
        <w:rPr>
          <w:rFonts w:ascii="Arial" w:cs="Arial" w:eastAsia="Arial" w:hAnsi="Arial"/>
          <w:sz w:val="20"/>
          <w:szCs w:val="20"/>
          <w:color w:val="282828"/>
        </w:rPr>
        <w:t xml:space="preserve"> mean </w:t>
      </w:r>
      <w:r>
        <w:rPr>
          <w:rFonts w:ascii="Arial" w:cs="Arial" w:eastAsia="Arial" w:hAnsi="Arial"/>
          <w:sz w:val="20"/>
          <w:szCs w:val="20"/>
          <w:color w:val="363636"/>
        </w:rPr>
        <w:t>the ES Commencement</w:t>
      </w:r>
      <w:r>
        <w:rPr>
          <w:rFonts w:ascii="Arial" w:cs="Arial" w:eastAsia="Arial" w:hAnsi="Arial"/>
          <w:sz w:val="20"/>
          <w:szCs w:val="20"/>
          <w:color w:val="282828"/>
        </w:rPr>
        <w:t xml:space="preserve"> Date, </w:t>
      </w:r>
      <w:r>
        <w:rPr>
          <w:rFonts w:ascii="Arial" w:cs="Arial" w:eastAsia="Arial" w:hAnsi="Arial"/>
          <w:sz w:val="20"/>
          <w:szCs w:val="20"/>
          <w:color w:val="363636"/>
        </w:rPr>
        <w:t>subject to acceleration</w:t>
      </w:r>
      <w:r>
        <w:rPr>
          <w:rFonts w:ascii="Arial" w:cs="Arial" w:eastAsia="Arial" w:hAnsi="Arial"/>
          <w:sz w:val="20"/>
          <w:szCs w:val="20"/>
          <w:color w:val="282828"/>
        </w:rPr>
        <w:t xml:space="preserve"> on </w:t>
      </w:r>
      <w:r>
        <w:rPr>
          <w:rFonts w:ascii="Arial" w:cs="Arial" w:eastAsia="Arial" w:hAnsi="Arial"/>
          <w:sz w:val="20"/>
          <w:szCs w:val="20"/>
          <w:color w:val="363636"/>
        </w:rPr>
        <w:t>a day for</w:t>
      </w:r>
      <w:r>
        <w:rPr>
          <w:rFonts w:ascii="Arial" w:cs="Arial" w:eastAsia="Arial" w:hAnsi="Arial"/>
          <w:sz w:val="20"/>
          <w:szCs w:val="20"/>
          <w:color w:val="282828"/>
        </w:rPr>
        <w:t xml:space="preserve"> </w:t>
      </w:r>
      <w:r>
        <w:rPr>
          <w:rFonts w:ascii="Arial" w:cs="Arial" w:eastAsia="Arial" w:hAnsi="Arial"/>
          <w:sz w:val="20"/>
          <w:szCs w:val="20"/>
          <w:color w:val="161616"/>
        </w:rPr>
        <w:t>day basis</w:t>
      </w:r>
      <w:r>
        <w:rPr>
          <w:rFonts w:ascii="Arial" w:cs="Arial" w:eastAsia="Arial" w:hAnsi="Arial"/>
          <w:sz w:val="20"/>
          <w:szCs w:val="20"/>
          <w:color w:val="282828"/>
        </w:rPr>
        <w:t xml:space="preserve"> </w:t>
      </w:r>
      <w:r>
        <w:rPr>
          <w:rFonts w:ascii="Arial" w:cs="Arial" w:eastAsia="Arial" w:hAnsi="Arial"/>
          <w:sz w:val="20"/>
          <w:szCs w:val="20"/>
          <w:color w:val="363636"/>
        </w:rPr>
        <w:t xml:space="preserve">for each </w:t>
      </w:r>
      <w:r>
        <w:rPr>
          <w:rFonts w:ascii="Arial" w:cs="Arial" w:eastAsia="Arial" w:hAnsi="Arial"/>
          <w:sz w:val="20"/>
          <w:szCs w:val="20"/>
          <w:color w:val="161616"/>
        </w:rPr>
        <w:t>day</w:t>
      </w:r>
      <w:r>
        <w:rPr>
          <w:rFonts w:ascii="Arial" w:cs="Arial" w:eastAsia="Arial" w:hAnsi="Arial"/>
          <w:sz w:val="20"/>
          <w:szCs w:val="20"/>
          <w:color w:val="363636"/>
        </w:rPr>
        <w:t xml:space="preserve"> of Tenant </w:t>
      </w:r>
      <w:r>
        <w:rPr>
          <w:rFonts w:ascii="Arial" w:cs="Arial" w:eastAsia="Arial" w:hAnsi="Arial"/>
          <w:sz w:val="20"/>
          <w:szCs w:val="20"/>
          <w:color w:val="161616"/>
        </w:rPr>
        <w:t>Delay</w:t>
      </w:r>
      <w:r>
        <w:rPr>
          <w:rFonts w:ascii="Arial" w:cs="Arial" w:eastAsia="Arial" w:hAnsi="Arial"/>
          <w:sz w:val="20"/>
          <w:szCs w:val="20"/>
          <w:color w:val="363636"/>
        </w:rPr>
        <w:t xml:space="preserve"> </w:t>
      </w:r>
      <w:r>
        <w:rPr>
          <w:rFonts w:ascii="Arial" w:cs="Arial" w:eastAsia="Arial" w:hAnsi="Arial"/>
          <w:sz w:val="20"/>
          <w:szCs w:val="20"/>
          <w:color w:val="282828"/>
        </w:rPr>
        <w:t>(if any). Base Rent</w:t>
      </w:r>
      <w:r>
        <w:rPr>
          <w:rFonts w:ascii="Arial" w:cs="Arial" w:eastAsia="Arial" w:hAnsi="Arial"/>
          <w:sz w:val="20"/>
          <w:szCs w:val="20"/>
          <w:color w:val="363636"/>
        </w:rPr>
        <w:t xml:space="preserve"> with respect to the Expansion </w:t>
      </w:r>
      <w:r>
        <w:rPr>
          <w:rFonts w:ascii="Arial" w:cs="Arial" w:eastAsia="Arial" w:hAnsi="Arial"/>
          <w:sz w:val="20"/>
          <w:szCs w:val="20"/>
          <w:color w:val="161616"/>
        </w:rPr>
        <w:t>Space during</w:t>
      </w:r>
      <w:r>
        <w:rPr>
          <w:rFonts w:ascii="Arial" w:cs="Arial" w:eastAsia="Arial" w:hAnsi="Arial"/>
          <w:sz w:val="20"/>
          <w:szCs w:val="20"/>
          <w:color w:val="363636"/>
        </w:rPr>
        <w:t xml:space="preserve"> </w:t>
      </w:r>
      <w:r>
        <w:rPr>
          <w:rFonts w:ascii="Arial" w:cs="Arial" w:eastAsia="Arial" w:hAnsi="Arial"/>
          <w:sz w:val="20"/>
          <w:szCs w:val="20"/>
          <w:color w:val="282828"/>
        </w:rPr>
        <w:t>the</w:t>
      </w:r>
      <w:r>
        <w:rPr>
          <w:rFonts w:ascii="Arial" w:cs="Arial" w:eastAsia="Arial" w:hAnsi="Arial"/>
          <w:sz w:val="20"/>
          <w:szCs w:val="20"/>
          <w:color w:val="363636"/>
        </w:rPr>
        <w:t xml:space="preserve"> Extension Terms, </w:t>
      </w:r>
      <w:r>
        <w:rPr>
          <w:rFonts w:ascii="Arial" w:cs="Arial" w:eastAsia="Arial" w:hAnsi="Arial"/>
          <w:sz w:val="20"/>
          <w:szCs w:val="20"/>
          <w:color w:val="494949"/>
        </w:rPr>
        <w:t>if</w:t>
      </w:r>
      <w:r>
        <w:rPr>
          <w:rFonts w:ascii="Arial" w:cs="Arial" w:eastAsia="Arial" w:hAnsi="Arial"/>
          <w:sz w:val="20"/>
          <w:szCs w:val="20"/>
          <w:color w:val="363636"/>
        </w:rPr>
        <w:t xml:space="preserve"> </w:t>
      </w:r>
      <w:r>
        <w:rPr>
          <w:rFonts w:ascii="Arial" w:cs="Arial" w:eastAsia="Arial" w:hAnsi="Arial"/>
          <w:sz w:val="20"/>
          <w:szCs w:val="20"/>
          <w:color w:val="282828"/>
        </w:rPr>
        <w:t>any,</w:t>
      </w:r>
      <w:r>
        <w:rPr>
          <w:rFonts w:ascii="Arial" w:cs="Arial" w:eastAsia="Arial" w:hAnsi="Arial"/>
          <w:sz w:val="20"/>
          <w:szCs w:val="20"/>
          <w:color w:val="363636"/>
        </w:rPr>
        <w:t xml:space="preserve"> shall </w:t>
      </w:r>
      <w:r>
        <w:rPr>
          <w:rFonts w:ascii="Arial" w:cs="Arial" w:eastAsia="Arial" w:hAnsi="Arial"/>
          <w:sz w:val="20"/>
          <w:szCs w:val="20"/>
          <w:color w:val="282828"/>
        </w:rPr>
        <w:t>be</w:t>
      </w:r>
      <w:r>
        <w:rPr>
          <w:rFonts w:ascii="Arial" w:cs="Arial" w:eastAsia="Arial" w:hAnsi="Arial"/>
          <w:sz w:val="20"/>
          <w:szCs w:val="20"/>
          <w:color w:val="363636"/>
        </w:rPr>
        <w:t xml:space="preserve"> </w:t>
      </w:r>
      <w:r>
        <w:rPr>
          <w:rFonts w:ascii="Arial" w:cs="Arial" w:eastAsia="Arial" w:hAnsi="Arial"/>
          <w:sz w:val="20"/>
          <w:szCs w:val="20"/>
          <w:color w:val="282828"/>
        </w:rPr>
        <w:t xml:space="preserve">determined </w:t>
      </w:r>
      <w:r>
        <w:rPr>
          <w:rFonts w:ascii="Arial" w:cs="Arial" w:eastAsia="Arial" w:hAnsi="Arial"/>
          <w:sz w:val="20"/>
          <w:szCs w:val="20"/>
          <w:color w:val="494949"/>
        </w:rPr>
        <w:t>in</w:t>
      </w:r>
      <w:r>
        <w:rPr>
          <w:rFonts w:ascii="Arial" w:cs="Arial" w:eastAsia="Arial" w:hAnsi="Arial"/>
          <w:sz w:val="20"/>
          <w:szCs w:val="20"/>
          <w:color w:val="282828"/>
        </w:rPr>
        <w:t xml:space="preserve"> accordance with </w:t>
      </w:r>
      <w:r>
        <w:rPr>
          <w:rFonts w:ascii="Arial" w:cs="Arial" w:eastAsia="Arial" w:hAnsi="Arial"/>
          <w:sz w:val="20"/>
          <w:szCs w:val="20"/>
          <w:u w:val="single" w:color="auto"/>
          <w:color w:val="2F2F2F"/>
        </w:rPr>
        <w:t>Section 1.2</w:t>
      </w:r>
      <w:r>
        <w:rPr>
          <w:rFonts w:ascii="Arial" w:cs="Arial" w:eastAsia="Arial" w:hAnsi="Arial"/>
          <w:sz w:val="20"/>
          <w:szCs w:val="20"/>
          <w:color w:val="282828"/>
        </w:rPr>
        <w:t xml:space="preserve"> of the </w:t>
      </w:r>
      <w:r>
        <w:rPr>
          <w:rFonts w:ascii="Arial" w:cs="Arial" w:eastAsia="Arial" w:hAnsi="Arial"/>
          <w:sz w:val="20"/>
          <w:szCs w:val="20"/>
          <w:color w:val="363636"/>
        </w:rPr>
        <w:t>Lease. Base Rent</w:t>
      </w:r>
      <w:r>
        <w:rPr>
          <w:rFonts w:ascii="Arial" w:cs="Arial" w:eastAsia="Arial" w:hAnsi="Arial"/>
          <w:sz w:val="20"/>
          <w:szCs w:val="20"/>
          <w:color w:val="282828"/>
        </w:rPr>
        <w:t xml:space="preserve"> with </w:t>
      </w:r>
      <w:r>
        <w:rPr>
          <w:rFonts w:ascii="Arial" w:cs="Arial" w:eastAsia="Arial" w:hAnsi="Arial"/>
          <w:sz w:val="20"/>
          <w:szCs w:val="20"/>
          <w:color w:val="363636"/>
        </w:rPr>
        <w:t>respect to the</w:t>
      </w:r>
      <w:r>
        <w:rPr>
          <w:rFonts w:ascii="Arial" w:cs="Arial" w:eastAsia="Arial" w:hAnsi="Arial"/>
          <w:sz w:val="20"/>
          <w:szCs w:val="20"/>
          <w:color w:val="282828"/>
        </w:rPr>
        <w:t xml:space="preserve"> </w:t>
      </w:r>
      <w:r>
        <w:rPr>
          <w:rFonts w:ascii="Arial" w:cs="Arial" w:eastAsia="Arial" w:hAnsi="Arial"/>
          <w:sz w:val="20"/>
          <w:szCs w:val="20"/>
          <w:color w:val="161616"/>
        </w:rPr>
        <w:t>Original</w:t>
      </w:r>
      <w:r>
        <w:rPr>
          <w:rFonts w:ascii="Arial" w:cs="Arial" w:eastAsia="Arial" w:hAnsi="Arial"/>
          <w:sz w:val="20"/>
          <w:szCs w:val="20"/>
          <w:color w:val="282828"/>
        </w:rPr>
        <w:t xml:space="preserve"> </w:t>
      </w:r>
      <w:r>
        <w:rPr>
          <w:rFonts w:ascii="Arial" w:cs="Arial" w:eastAsia="Arial" w:hAnsi="Arial"/>
          <w:sz w:val="20"/>
          <w:szCs w:val="20"/>
          <w:color w:val="363636"/>
        </w:rPr>
        <w:t>Premises</w:t>
      </w:r>
      <w:r>
        <w:rPr>
          <w:rFonts w:ascii="Arial" w:cs="Arial" w:eastAsia="Arial" w:hAnsi="Arial"/>
          <w:sz w:val="20"/>
          <w:szCs w:val="20"/>
          <w:color w:val="282828"/>
        </w:rPr>
        <w:t xml:space="preserve"> shall be </w:t>
      </w:r>
      <w:r>
        <w:rPr>
          <w:rFonts w:ascii="Arial" w:cs="Arial" w:eastAsia="Arial" w:hAnsi="Arial"/>
          <w:sz w:val="20"/>
          <w:szCs w:val="20"/>
          <w:color w:val="161616"/>
        </w:rPr>
        <w:t>paid</w:t>
      </w:r>
      <w:r>
        <w:rPr>
          <w:rFonts w:ascii="Arial" w:cs="Arial" w:eastAsia="Arial" w:hAnsi="Arial"/>
          <w:sz w:val="20"/>
          <w:szCs w:val="20"/>
          <w:color w:val="282828"/>
        </w:rPr>
        <w:t xml:space="preserve"> </w:t>
      </w:r>
      <w:r>
        <w:rPr>
          <w:rFonts w:ascii="Arial" w:cs="Arial" w:eastAsia="Arial" w:hAnsi="Arial"/>
          <w:sz w:val="20"/>
          <w:szCs w:val="20"/>
          <w:color w:val="363636"/>
        </w:rPr>
        <w:t>in</w:t>
      </w:r>
      <w:r>
        <w:rPr>
          <w:rFonts w:ascii="Arial" w:cs="Arial" w:eastAsia="Arial" w:hAnsi="Arial"/>
          <w:sz w:val="20"/>
          <w:szCs w:val="20"/>
          <w:color w:val="282828"/>
        </w:rPr>
        <w:t xml:space="preserve"> the </w:t>
      </w:r>
      <w:r>
        <w:rPr>
          <w:rFonts w:ascii="Arial" w:cs="Arial" w:eastAsia="Arial" w:hAnsi="Arial"/>
          <w:sz w:val="20"/>
          <w:szCs w:val="20"/>
          <w:color w:val="363636"/>
        </w:rPr>
        <w:t>amounts</w:t>
      </w:r>
      <w:r>
        <w:rPr>
          <w:rFonts w:ascii="Arial" w:cs="Arial" w:eastAsia="Arial" w:hAnsi="Arial"/>
          <w:sz w:val="20"/>
          <w:szCs w:val="20"/>
          <w:color w:val="282828"/>
        </w:rPr>
        <w:t xml:space="preserve"> </w:t>
      </w:r>
      <w:r>
        <w:rPr>
          <w:rFonts w:ascii="Arial" w:cs="Arial" w:eastAsia="Arial" w:hAnsi="Arial"/>
          <w:sz w:val="20"/>
          <w:szCs w:val="20"/>
          <w:color w:val="363636"/>
        </w:rPr>
        <w:t xml:space="preserve">set </w:t>
      </w:r>
      <w:r>
        <w:rPr>
          <w:rFonts w:ascii="Arial" w:cs="Arial" w:eastAsia="Arial" w:hAnsi="Arial"/>
          <w:sz w:val="20"/>
          <w:szCs w:val="20"/>
          <w:color w:val="282828"/>
        </w:rPr>
        <w:t>forth</w:t>
      </w:r>
      <w:r>
        <w:rPr>
          <w:rFonts w:ascii="Arial" w:cs="Arial" w:eastAsia="Arial" w:hAnsi="Arial"/>
          <w:sz w:val="20"/>
          <w:szCs w:val="20"/>
          <w:color w:val="363636"/>
        </w:rPr>
        <w:t xml:space="preserve"> in </w:t>
      </w:r>
      <w:r>
        <w:rPr>
          <w:rFonts w:ascii="Arial" w:cs="Arial" w:eastAsia="Arial" w:hAnsi="Arial"/>
          <w:sz w:val="20"/>
          <w:szCs w:val="20"/>
          <w:color w:val="282828"/>
        </w:rPr>
        <w:t>the Lease.</w:t>
      </w:r>
    </w:p>
    <w:p>
      <w:pPr>
        <w:spacing w:after="0" w:line="89" w:lineRule="exact"/>
        <w:rPr>
          <w:sz w:val="20"/>
          <w:szCs w:val="20"/>
          <w:color w:val="auto"/>
        </w:rPr>
      </w:pPr>
    </w:p>
    <w:p>
      <w:pPr>
        <w:ind w:left="740" w:hanging="367"/>
        <w:spacing w:after="0"/>
        <w:tabs>
          <w:tab w:leader="none" w:pos="740" w:val="left"/>
        </w:tabs>
        <w:numPr>
          <w:ilvl w:val="0"/>
          <w:numId w:val="118"/>
        </w:numPr>
        <w:rPr>
          <w:rFonts w:ascii="Arial" w:cs="Arial" w:eastAsia="Arial" w:hAnsi="Arial"/>
          <w:sz w:val="20"/>
          <w:szCs w:val="20"/>
          <w:u w:val="single" w:color="auto"/>
          <w:color w:val="2F2F2F"/>
        </w:rPr>
      </w:pPr>
      <w:r>
        <w:rPr>
          <w:rFonts w:ascii="Arial" w:cs="Arial" w:eastAsia="Arial" w:hAnsi="Arial"/>
          <w:sz w:val="20"/>
          <w:szCs w:val="20"/>
          <w:u w:val="single" w:color="auto"/>
          <w:color w:val="2F2F2F"/>
        </w:rPr>
        <w:t>Letter of Credit.</w:t>
      </w:r>
    </w:p>
    <w:p>
      <w:pPr>
        <w:spacing w:after="0" w:line="94" w:lineRule="exact"/>
        <w:rPr>
          <w:rFonts w:ascii="Arial" w:cs="Arial" w:eastAsia="Arial" w:hAnsi="Arial"/>
          <w:sz w:val="20"/>
          <w:szCs w:val="20"/>
          <w:u w:val="single" w:color="auto"/>
          <w:color w:val="2F2F2F"/>
        </w:rPr>
      </w:pPr>
    </w:p>
    <w:p>
      <w:pPr>
        <w:jc w:val="both"/>
        <w:ind w:left="-100" w:right="20" w:firstLine="742"/>
        <w:spacing w:after="0" w:line="229" w:lineRule="auto"/>
        <w:tabs>
          <w:tab w:leader="none" w:pos="1368" w:val="left"/>
        </w:tabs>
        <w:numPr>
          <w:ilvl w:val="1"/>
          <w:numId w:val="118"/>
        </w:numPr>
        <w:rPr>
          <w:rFonts w:ascii="Arial" w:cs="Arial" w:eastAsia="Arial" w:hAnsi="Arial"/>
          <w:sz w:val="20"/>
          <w:szCs w:val="20"/>
          <w:color w:val="282828"/>
        </w:rPr>
      </w:pPr>
      <w:r>
        <w:rPr>
          <w:rFonts w:ascii="Arial" w:cs="Arial" w:eastAsia="Arial" w:hAnsi="Arial"/>
          <w:sz w:val="20"/>
          <w:szCs w:val="20"/>
          <w:color w:val="282828"/>
        </w:rPr>
        <w:t xml:space="preserve">Landlord </w:t>
      </w:r>
      <w:r>
        <w:rPr>
          <w:rFonts w:ascii="Arial" w:cs="Arial" w:eastAsia="Arial" w:hAnsi="Arial"/>
          <w:sz w:val="20"/>
          <w:szCs w:val="20"/>
          <w:color w:val="363636"/>
        </w:rPr>
        <w:t>and</w:t>
      </w:r>
      <w:r>
        <w:rPr>
          <w:rFonts w:ascii="Arial" w:cs="Arial" w:eastAsia="Arial" w:hAnsi="Arial"/>
          <w:sz w:val="20"/>
          <w:szCs w:val="20"/>
          <w:color w:val="282828"/>
        </w:rPr>
        <w:t xml:space="preserve"> Tenant </w:t>
      </w:r>
      <w:r>
        <w:rPr>
          <w:rFonts w:ascii="Arial" w:cs="Arial" w:eastAsia="Arial" w:hAnsi="Arial"/>
          <w:sz w:val="20"/>
          <w:szCs w:val="20"/>
          <w:color w:val="363636"/>
        </w:rPr>
        <w:t>acknowledge</w:t>
      </w:r>
      <w:r>
        <w:rPr>
          <w:rFonts w:ascii="Arial" w:cs="Arial" w:eastAsia="Arial" w:hAnsi="Arial"/>
          <w:sz w:val="20"/>
          <w:szCs w:val="20"/>
          <w:color w:val="282828"/>
        </w:rPr>
        <w:t xml:space="preserve"> and </w:t>
      </w:r>
      <w:r>
        <w:rPr>
          <w:rFonts w:ascii="Arial" w:cs="Arial" w:eastAsia="Arial" w:hAnsi="Arial"/>
          <w:sz w:val="20"/>
          <w:szCs w:val="20"/>
          <w:color w:val="363636"/>
        </w:rPr>
        <w:t>agree that</w:t>
      </w:r>
      <w:r>
        <w:rPr>
          <w:rFonts w:ascii="Arial" w:cs="Arial" w:eastAsia="Arial" w:hAnsi="Arial"/>
          <w:sz w:val="20"/>
          <w:szCs w:val="20"/>
          <w:color w:val="282828"/>
        </w:rPr>
        <w:t xml:space="preserve"> Landlord </w:t>
      </w:r>
      <w:r>
        <w:rPr>
          <w:rFonts w:ascii="Arial" w:cs="Arial" w:eastAsia="Arial" w:hAnsi="Arial"/>
          <w:sz w:val="20"/>
          <w:szCs w:val="20"/>
          <w:color w:val="161616"/>
        </w:rPr>
        <w:t>is</w:t>
      </w:r>
      <w:r>
        <w:rPr>
          <w:rFonts w:ascii="Arial" w:cs="Arial" w:eastAsia="Arial" w:hAnsi="Arial"/>
          <w:sz w:val="20"/>
          <w:szCs w:val="20"/>
          <w:color w:val="282828"/>
        </w:rPr>
        <w:t xml:space="preserve"> holding </w:t>
      </w:r>
      <w:r>
        <w:rPr>
          <w:rFonts w:ascii="Arial" w:cs="Arial" w:eastAsia="Arial" w:hAnsi="Arial"/>
          <w:sz w:val="20"/>
          <w:szCs w:val="20"/>
          <w:color w:val="363636"/>
        </w:rPr>
        <w:t>a letter</w:t>
      </w:r>
      <w:r>
        <w:rPr>
          <w:rFonts w:ascii="Arial" w:cs="Arial" w:eastAsia="Arial" w:hAnsi="Arial"/>
          <w:sz w:val="20"/>
          <w:szCs w:val="20"/>
          <w:color w:val="282828"/>
        </w:rPr>
        <w:t xml:space="preserve"> of credit </w:t>
      </w:r>
      <w:r>
        <w:rPr>
          <w:rFonts w:ascii="Arial" w:cs="Arial" w:eastAsia="Arial" w:hAnsi="Arial"/>
          <w:sz w:val="20"/>
          <w:szCs w:val="20"/>
          <w:color w:val="363636"/>
        </w:rPr>
        <w:t>in the</w:t>
      </w:r>
      <w:r>
        <w:rPr>
          <w:rFonts w:ascii="Arial" w:cs="Arial" w:eastAsia="Arial" w:hAnsi="Arial"/>
          <w:sz w:val="20"/>
          <w:szCs w:val="20"/>
          <w:color w:val="282828"/>
        </w:rPr>
        <w:t xml:space="preserve"> amount of </w:t>
      </w:r>
      <w:r>
        <w:rPr>
          <w:rFonts w:ascii="Arial" w:cs="Arial" w:eastAsia="Arial" w:hAnsi="Arial"/>
          <w:sz w:val="20"/>
          <w:szCs w:val="20"/>
          <w:color w:val="161616"/>
        </w:rPr>
        <w:t xml:space="preserve">$11,832,830.00 </w:t>
      </w:r>
      <w:r>
        <w:rPr>
          <w:rFonts w:ascii="Arial" w:cs="Arial" w:eastAsia="Arial" w:hAnsi="Arial"/>
          <w:sz w:val="20"/>
          <w:szCs w:val="20"/>
          <w:color w:val="363636"/>
        </w:rPr>
        <w:t>in accordance with</w:t>
      </w:r>
      <w:r>
        <w:rPr>
          <w:rFonts w:ascii="Arial" w:cs="Arial" w:eastAsia="Arial" w:hAnsi="Arial"/>
          <w:sz w:val="20"/>
          <w:szCs w:val="20"/>
          <w:color w:val="161616"/>
        </w:rPr>
        <w:t xml:space="preserve"> </w:t>
      </w:r>
      <w:r>
        <w:rPr>
          <w:rFonts w:ascii="Arial" w:cs="Arial" w:eastAsia="Arial" w:hAnsi="Arial"/>
          <w:sz w:val="20"/>
          <w:szCs w:val="20"/>
          <w:u w:val="single" w:color="auto"/>
          <w:color w:val="2F2F2F"/>
        </w:rPr>
        <w:t>Section 7</w:t>
      </w:r>
      <w:r>
        <w:rPr>
          <w:rFonts w:ascii="Arial" w:cs="Arial" w:eastAsia="Arial" w:hAnsi="Arial"/>
          <w:sz w:val="20"/>
          <w:szCs w:val="20"/>
          <w:color w:val="161616"/>
        </w:rPr>
        <w:t xml:space="preserve"> </w:t>
      </w:r>
      <w:r>
        <w:rPr>
          <w:rFonts w:ascii="Arial" w:cs="Arial" w:eastAsia="Arial" w:hAnsi="Arial"/>
          <w:sz w:val="20"/>
          <w:szCs w:val="20"/>
          <w:color w:val="282828"/>
        </w:rPr>
        <w:t>of</w:t>
      </w:r>
      <w:r>
        <w:rPr>
          <w:rFonts w:ascii="Arial" w:cs="Arial" w:eastAsia="Arial" w:hAnsi="Arial"/>
          <w:sz w:val="20"/>
          <w:szCs w:val="20"/>
          <w:color w:val="161616"/>
        </w:rPr>
        <w:t xml:space="preserve"> </w:t>
      </w:r>
      <w:r>
        <w:rPr>
          <w:rFonts w:ascii="Arial" w:cs="Arial" w:eastAsia="Arial" w:hAnsi="Arial"/>
          <w:sz w:val="20"/>
          <w:szCs w:val="20"/>
          <w:color w:val="363636"/>
        </w:rPr>
        <w:t>the</w:t>
      </w:r>
      <w:r>
        <w:rPr>
          <w:rFonts w:ascii="Arial" w:cs="Arial" w:eastAsia="Arial" w:hAnsi="Arial"/>
          <w:sz w:val="20"/>
          <w:szCs w:val="20"/>
          <w:color w:val="161616"/>
        </w:rPr>
        <w:t xml:space="preserve"> </w:t>
      </w:r>
      <w:r>
        <w:rPr>
          <w:rFonts w:ascii="Arial" w:cs="Arial" w:eastAsia="Arial" w:hAnsi="Arial"/>
          <w:sz w:val="20"/>
          <w:szCs w:val="20"/>
          <w:color w:val="282828"/>
        </w:rPr>
        <w:t>Lease</w:t>
      </w:r>
      <w:r>
        <w:rPr>
          <w:rFonts w:ascii="Arial" w:cs="Arial" w:eastAsia="Arial" w:hAnsi="Arial"/>
          <w:sz w:val="20"/>
          <w:szCs w:val="20"/>
          <w:color w:val="161616"/>
        </w:rPr>
        <w:t xml:space="preserve"> </w:t>
      </w:r>
      <w:r>
        <w:rPr>
          <w:rFonts w:ascii="Arial" w:cs="Arial" w:eastAsia="Arial" w:hAnsi="Arial"/>
          <w:sz w:val="20"/>
          <w:szCs w:val="20"/>
          <w:color w:val="363636"/>
        </w:rPr>
        <w:t>(the</w:t>
      </w:r>
      <w:r>
        <w:rPr>
          <w:rFonts w:ascii="Arial" w:cs="Arial" w:eastAsia="Arial" w:hAnsi="Arial"/>
          <w:sz w:val="20"/>
          <w:szCs w:val="20"/>
          <w:color w:val="161616"/>
        </w:rPr>
        <w:t xml:space="preserve"> </w:t>
      </w:r>
      <w:r>
        <w:rPr>
          <w:rFonts w:ascii="Arial" w:cs="Arial" w:eastAsia="Arial" w:hAnsi="Arial"/>
          <w:sz w:val="20"/>
          <w:szCs w:val="20"/>
          <w:u w:val="single" w:color="auto"/>
          <w:color w:val="2F2F2F"/>
        </w:rPr>
        <w:t>"Existing Letter of Credit").</w:t>
      </w:r>
      <w:r>
        <w:rPr>
          <w:rFonts w:ascii="Arial" w:cs="Arial" w:eastAsia="Arial" w:hAnsi="Arial"/>
          <w:sz w:val="20"/>
          <w:szCs w:val="20"/>
          <w:color w:val="161616"/>
        </w:rPr>
        <w:t xml:space="preserve"> Wi</w:t>
      </w:r>
      <w:r>
        <w:rPr>
          <w:rFonts w:ascii="Arial" w:cs="Arial" w:eastAsia="Arial" w:hAnsi="Arial"/>
          <w:sz w:val="20"/>
          <w:szCs w:val="20"/>
          <w:color w:val="494949"/>
        </w:rPr>
        <w:t>thi</w:t>
      </w:r>
      <w:r>
        <w:rPr>
          <w:rFonts w:ascii="Arial" w:cs="Arial" w:eastAsia="Arial" w:hAnsi="Arial"/>
          <w:sz w:val="20"/>
          <w:szCs w:val="20"/>
          <w:color w:val="282828"/>
        </w:rPr>
        <w:t>n</w:t>
      </w:r>
      <w:r>
        <w:rPr>
          <w:rFonts w:ascii="Arial" w:cs="Arial" w:eastAsia="Arial" w:hAnsi="Arial"/>
          <w:sz w:val="20"/>
          <w:szCs w:val="20"/>
          <w:color w:val="161616"/>
        </w:rPr>
        <w:t xml:space="preserve"> </w:t>
      </w:r>
      <w:r>
        <w:rPr>
          <w:rFonts w:ascii="Arial" w:cs="Arial" w:eastAsia="Arial" w:hAnsi="Arial"/>
          <w:sz w:val="20"/>
          <w:szCs w:val="20"/>
          <w:color w:val="363636"/>
        </w:rPr>
        <w:t>ten (10)</w:t>
      </w:r>
      <w:r>
        <w:rPr>
          <w:rFonts w:ascii="Arial" w:cs="Arial" w:eastAsia="Arial" w:hAnsi="Arial"/>
          <w:sz w:val="20"/>
          <w:szCs w:val="20"/>
          <w:color w:val="161616"/>
        </w:rPr>
        <w:t xml:space="preserve"> </w:t>
      </w:r>
      <w:r>
        <w:rPr>
          <w:rFonts w:ascii="Arial" w:cs="Arial" w:eastAsia="Arial" w:hAnsi="Arial"/>
          <w:sz w:val="20"/>
          <w:szCs w:val="20"/>
          <w:color w:val="282828"/>
        </w:rPr>
        <w:t>business days of</w:t>
      </w:r>
      <w:r>
        <w:rPr>
          <w:rFonts w:ascii="Arial" w:cs="Arial" w:eastAsia="Arial" w:hAnsi="Arial"/>
          <w:sz w:val="20"/>
          <w:szCs w:val="20"/>
          <w:color w:val="161616"/>
        </w:rPr>
        <w:t xml:space="preserve"> </w:t>
      </w:r>
      <w:r>
        <w:rPr>
          <w:rFonts w:ascii="Arial" w:cs="Arial" w:eastAsia="Arial" w:hAnsi="Arial"/>
          <w:sz w:val="20"/>
          <w:szCs w:val="20"/>
          <w:color w:val="363636"/>
        </w:rPr>
        <w:t>the</w:t>
      </w:r>
      <w:r>
        <w:rPr>
          <w:rFonts w:ascii="Arial" w:cs="Arial" w:eastAsia="Arial" w:hAnsi="Arial"/>
          <w:sz w:val="20"/>
          <w:szCs w:val="20"/>
          <w:color w:val="161616"/>
        </w:rPr>
        <w:t xml:space="preserve"> Phase 1 Rent </w:t>
      </w:r>
      <w:r>
        <w:rPr>
          <w:rFonts w:ascii="Arial" w:cs="Arial" w:eastAsia="Arial" w:hAnsi="Arial"/>
          <w:sz w:val="20"/>
          <w:szCs w:val="20"/>
          <w:color w:val="282828"/>
        </w:rPr>
        <w:t>Commencement Date,</w:t>
      </w:r>
      <w:r>
        <w:rPr>
          <w:rFonts w:ascii="Arial" w:cs="Arial" w:eastAsia="Arial" w:hAnsi="Arial"/>
          <w:sz w:val="20"/>
          <w:szCs w:val="20"/>
          <w:color w:val="161616"/>
        </w:rPr>
        <w:t xml:space="preserve"> </w:t>
      </w:r>
      <w:r>
        <w:rPr>
          <w:rFonts w:ascii="Arial" w:cs="Arial" w:eastAsia="Arial" w:hAnsi="Arial"/>
          <w:sz w:val="20"/>
          <w:szCs w:val="20"/>
          <w:color w:val="363636"/>
        </w:rPr>
        <w:t>Tenant shall deliver to</w:t>
      </w:r>
      <w:r>
        <w:rPr>
          <w:rFonts w:ascii="Arial" w:cs="Arial" w:eastAsia="Arial" w:hAnsi="Arial"/>
          <w:sz w:val="20"/>
          <w:szCs w:val="20"/>
          <w:color w:val="161616"/>
        </w:rPr>
        <w:t xml:space="preserve"> </w:t>
      </w:r>
      <w:r>
        <w:rPr>
          <w:rFonts w:ascii="Arial" w:cs="Arial" w:eastAsia="Arial" w:hAnsi="Arial"/>
          <w:sz w:val="20"/>
          <w:szCs w:val="20"/>
          <w:color w:val="282828"/>
        </w:rPr>
        <w:t>Landlord either (i) an additional irrevocable letter of credit which shall be in the</w:t>
      </w:r>
      <w:r>
        <w:rPr>
          <w:rFonts w:ascii="Arial" w:cs="Arial" w:eastAsia="Arial" w:hAnsi="Arial"/>
          <w:sz w:val="20"/>
          <w:szCs w:val="20"/>
          <w:color w:val="161616"/>
        </w:rPr>
        <w:t xml:space="preserve"> </w:t>
      </w:r>
      <w:r>
        <w:rPr>
          <w:rFonts w:ascii="Arial" w:cs="Arial" w:eastAsia="Arial" w:hAnsi="Arial"/>
          <w:sz w:val="20"/>
          <w:szCs w:val="20"/>
          <w:color w:val="282828"/>
        </w:rPr>
        <w:t xml:space="preserve">amount of Eight Hundred Sixty Three Thousand Ninety-Four and no/100 Dollars ($863,094.00) and otherwise meeting the requirements of </w:t>
      </w:r>
      <w:r>
        <w:rPr>
          <w:rFonts w:ascii="Arial" w:cs="Arial" w:eastAsia="Arial" w:hAnsi="Arial"/>
          <w:sz w:val="20"/>
          <w:szCs w:val="20"/>
          <w:u w:val="single" w:color="auto"/>
          <w:color w:val="282828"/>
        </w:rPr>
        <w:t>Section 7</w:t>
      </w:r>
      <w:r>
        <w:rPr>
          <w:rFonts w:ascii="Arial" w:cs="Arial" w:eastAsia="Arial" w:hAnsi="Arial"/>
          <w:sz w:val="20"/>
          <w:szCs w:val="20"/>
          <w:color w:val="282828"/>
        </w:rPr>
        <w:t xml:space="preserve"> of the Lease, or (ii) an amendment to the Existing Letter of Credit increasing the face amount thereof by Eight Hundred Sixty-Three Thousand Ninety-Four and no/100 Dollars ($863,094.00). From and after the delivery thereof, all references in the Lease to the "Letter of Credit" shall mean, collectively, the Existing Letter of Credit together with such additional letter of credit, or such amendment, as applicable.</w:t>
      </w:r>
    </w:p>
    <w:p>
      <w:pPr>
        <w:spacing w:after="0" w:line="94" w:lineRule="exact"/>
        <w:rPr>
          <w:rFonts w:ascii="Arial" w:cs="Arial" w:eastAsia="Arial" w:hAnsi="Arial"/>
          <w:sz w:val="20"/>
          <w:szCs w:val="20"/>
          <w:color w:val="282828"/>
        </w:rPr>
      </w:pPr>
    </w:p>
    <w:p>
      <w:pPr>
        <w:jc w:val="both"/>
        <w:ind w:left="-100" w:right="20" w:firstLine="742"/>
        <w:spacing w:after="0" w:line="253" w:lineRule="auto"/>
        <w:tabs>
          <w:tab w:leader="none" w:pos="1368" w:val="left"/>
        </w:tabs>
        <w:numPr>
          <w:ilvl w:val="1"/>
          <w:numId w:val="118"/>
        </w:numPr>
        <w:rPr>
          <w:rFonts w:ascii="Arial" w:cs="Arial" w:eastAsia="Arial" w:hAnsi="Arial"/>
          <w:sz w:val="18"/>
          <w:szCs w:val="18"/>
          <w:color w:val="282828"/>
        </w:rPr>
      </w:pPr>
      <w:r>
        <w:rPr>
          <w:rFonts w:ascii="Arial" w:cs="Arial" w:eastAsia="Arial" w:hAnsi="Arial"/>
          <w:sz w:val="18"/>
          <w:szCs w:val="18"/>
          <w:color w:val="282828"/>
        </w:rPr>
        <w:t xml:space="preserve">So </w:t>
      </w:r>
      <w:r>
        <w:rPr>
          <w:rFonts w:ascii="Arial" w:cs="Arial" w:eastAsia="Arial" w:hAnsi="Arial"/>
          <w:sz w:val="18"/>
          <w:szCs w:val="18"/>
          <w:color w:val="363636"/>
        </w:rPr>
        <w:t>long as</w:t>
      </w:r>
      <w:r>
        <w:rPr>
          <w:rFonts w:ascii="Arial" w:cs="Arial" w:eastAsia="Arial" w:hAnsi="Arial"/>
          <w:sz w:val="18"/>
          <w:szCs w:val="18"/>
          <w:color w:val="282828"/>
        </w:rPr>
        <w:t xml:space="preserve"> Tenant </w:t>
      </w:r>
      <w:r>
        <w:rPr>
          <w:rFonts w:ascii="Arial" w:cs="Arial" w:eastAsia="Arial" w:hAnsi="Arial"/>
          <w:sz w:val="18"/>
          <w:szCs w:val="18"/>
          <w:color w:val="363636"/>
        </w:rPr>
        <w:t>complies</w:t>
      </w:r>
      <w:r>
        <w:rPr>
          <w:rFonts w:ascii="Arial" w:cs="Arial" w:eastAsia="Arial" w:hAnsi="Arial"/>
          <w:sz w:val="18"/>
          <w:szCs w:val="18"/>
          <w:color w:val="282828"/>
        </w:rPr>
        <w:t xml:space="preserve"> with </w:t>
      </w:r>
      <w:r>
        <w:rPr>
          <w:rFonts w:ascii="Arial" w:cs="Arial" w:eastAsia="Arial" w:hAnsi="Arial"/>
          <w:sz w:val="18"/>
          <w:szCs w:val="18"/>
          <w:color w:val="161616"/>
        </w:rPr>
        <w:t>its</w:t>
      </w:r>
      <w:r>
        <w:rPr>
          <w:rFonts w:ascii="Arial" w:cs="Arial" w:eastAsia="Arial" w:hAnsi="Arial"/>
          <w:sz w:val="18"/>
          <w:szCs w:val="18"/>
          <w:color w:val="282828"/>
        </w:rPr>
        <w:t xml:space="preserve"> obligations </w:t>
      </w:r>
      <w:r>
        <w:rPr>
          <w:rFonts w:ascii="Arial" w:cs="Arial" w:eastAsia="Arial" w:hAnsi="Arial"/>
          <w:sz w:val="18"/>
          <w:szCs w:val="18"/>
          <w:color w:val="363636"/>
        </w:rPr>
        <w:t>under</w:t>
      </w:r>
      <w:r>
        <w:rPr>
          <w:rFonts w:ascii="Arial" w:cs="Arial" w:eastAsia="Arial" w:hAnsi="Arial"/>
          <w:sz w:val="18"/>
          <w:szCs w:val="18"/>
          <w:color w:val="282828"/>
        </w:rPr>
        <w:t xml:space="preserve"> </w:t>
      </w:r>
      <w:r>
        <w:rPr>
          <w:rFonts w:ascii="Arial" w:cs="Arial" w:eastAsia="Arial" w:hAnsi="Arial"/>
          <w:sz w:val="18"/>
          <w:szCs w:val="18"/>
          <w:u w:val="single" w:color="auto"/>
          <w:color w:val="313131"/>
        </w:rPr>
        <w:t>Section 5(a)</w:t>
      </w:r>
      <w:r>
        <w:rPr>
          <w:rFonts w:ascii="Arial" w:cs="Arial" w:eastAsia="Arial" w:hAnsi="Arial"/>
          <w:sz w:val="18"/>
          <w:szCs w:val="18"/>
          <w:color w:val="282828"/>
        </w:rPr>
        <w:t xml:space="preserve"> </w:t>
      </w:r>
      <w:r>
        <w:rPr>
          <w:rFonts w:ascii="Arial" w:cs="Arial" w:eastAsia="Arial" w:hAnsi="Arial"/>
          <w:sz w:val="18"/>
          <w:szCs w:val="18"/>
          <w:color w:val="363636"/>
        </w:rPr>
        <w:t>above,</w:t>
      </w:r>
      <w:r>
        <w:rPr>
          <w:rFonts w:ascii="Arial" w:cs="Arial" w:eastAsia="Arial" w:hAnsi="Arial"/>
          <w:sz w:val="18"/>
          <w:szCs w:val="18"/>
          <w:color w:val="282828"/>
        </w:rPr>
        <w:t xml:space="preserve"> </w:t>
      </w:r>
      <w:r>
        <w:rPr>
          <w:rFonts w:ascii="Arial" w:cs="Arial" w:eastAsia="Arial" w:hAnsi="Arial"/>
          <w:sz w:val="18"/>
          <w:szCs w:val="18"/>
          <w:u w:val="single" w:color="auto"/>
          <w:color w:val="313131"/>
        </w:rPr>
        <w:t>Section 7.1(a)</w:t>
      </w:r>
      <w:r>
        <w:rPr>
          <w:rFonts w:ascii="Arial" w:cs="Arial" w:eastAsia="Arial" w:hAnsi="Arial"/>
          <w:sz w:val="18"/>
          <w:szCs w:val="18"/>
          <w:color w:val="282828"/>
        </w:rPr>
        <w:t xml:space="preserve"> of </w:t>
      </w:r>
      <w:r>
        <w:rPr>
          <w:rFonts w:ascii="Arial" w:cs="Arial" w:eastAsia="Arial" w:hAnsi="Arial"/>
          <w:sz w:val="18"/>
          <w:szCs w:val="18"/>
          <w:color w:val="363636"/>
        </w:rPr>
        <w:t>the</w:t>
      </w:r>
      <w:r>
        <w:rPr>
          <w:rFonts w:ascii="Arial" w:cs="Arial" w:eastAsia="Arial" w:hAnsi="Arial"/>
          <w:sz w:val="18"/>
          <w:szCs w:val="18"/>
          <w:color w:val="282828"/>
        </w:rPr>
        <w:t xml:space="preserve"> Lease </w:t>
      </w:r>
      <w:r>
        <w:rPr>
          <w:rFonts w:ascii="Arial" w:cs="Arial" w:eastAsia="Arial" w:hAnsi="Arial"/>
          <w:sz w:val="18"/>
          <w:szCs w:val="18"/>
          <w:color w:val="363636"/>
        </w:rPr>
        <w:t>shall be</w:t>
      </w:r>
      <w:r>
        <w:rPr>
          <w:rFonts w:ascii="Arial" w:cs="Arial" w:eastAsia="Arial" w:hAnsi="Arial"/>
          <w:sz w:val="18"/>
          <w:szCs w:val="18"/>
          <w:color w:val="282828"/>
        </w:rPr>
        <w:t xml:space="preserve"> </w:t>
      </w:r>
      <w:r>
        <w:rPr>
          <w:rFonts w:ascii="Arial" w:cs="Arial" w:eastAsia="Arial" w:hAnsi="Arial"/>
          <w:sz w:val="18"/>
          <w:szCs w:val="18"/>
          <w:color w:val="363636"/>
        </w:rPr>
        <w:t xml:space="preserve">deleted </w:t>
      </w:r>
      <w:r>
        <w:rPr>
          <w:rFonts w:ascii="Arial" w:cs="Arial" w:eastAsia="Arial" w:hAnsi="Arial"/>
          <w:sz w:val="18"/>
          <w:szCs w:val="18"/>
          <w:color w:val="161616"/>
        </w:rPr>
        <w:t>in</w:t>
      </w:r>
      <w:r>
        <w:rPr>
          <w:rFonts w:ascii="Arial" w:cs="Arial" w:eastAsia="Arial" w:hAnsi="Arial"/>
          <w:sz w:val="18"/>
          <w:szCs w:val="18"/>
          <w:color w:val="363636"/>
        </w:rPr>
        <w:t xml:space="preserve"> its entirety </w:t>
      </w:r>
      <w:r>
        <w:rPr>
          <w:rFonts w:ascii="Arial" w:cs="Arial" w:eastAsia="Arial" w:hAnsi="Arial"/>
          <w:sz w:val="18"/>
          <w:szCs w:val="18"/>
          <w:color w:val="282828"/>
        </w:rPr>
        <w:t>and</w:t>
      </w:r>
      <w:r>
        <w:rPr>
          <w:rFonts w:ascii="Arial" w:cs="Arial" w:eastAsia="Arial" w:hAnsi="Arial"/>
          <w:sz w:val="18"/>
          <w:szCs w:val="18"/>
          <w:color w:val="363636"/>
        </w:rPr>
        <w:t xml:space="preserve"> replaced with the following: "If no Event </w:t>
      </w:r>
      <w:r>
        <w:rPr>
          <w:rFonts w:ascii="Arial" w:cs="Arial" w:eastAsia="Arial" w:hAnsi="Arial"/>
          <w:sz w:val="18"/>
          <w:szCs w:val="18"/>
          <w:color w:val="282828"/>
        </w:rPr>
        <w:t>of</w:t>
      </w:r>
      <w:r>
        <w:rPr>
          <w:rFonts w:ascii="Arial" w:cs="Arial" w:eastAsia="Arial" w:hAnsi="Arial"/>
          <w:sz w:val="18"/>
          <w:szCs w:val="18"/>
          <w:color w:val="363636"/>
        </w:rPr>
        <w:t xml:space="preserve"> </w:t>
      </w:r>
      <w:r>
        <w:rPr>
          <w:rFonts w:ascii="Arial" w:cs="Arial" w:eastAsia="Arial" w:hAnsi="Arial"/>
          <w:sz w:val="18"/>
          <w:szCs w:val="18"/>
          <w:color w:val="161616"/>
        </w:rPr>
        <w:t>Default</w:t>
      </w:r>
      <w:r>
        <w:rPr>
          <w:rFonts w:ascii="Arial" w:cs="Arial" w:eastAsia="Arial" w:hAnsi="Arial"/>
          <w:sz w:val="18"/>
          <w:szCs w:val="18"/>
          <w:color w:val="363636"/>
        </w:rPr>
        <w:t xml:space="preserve"> has </w:t>
      </w:r>
      <w:r>
        <w:rPr>
          <w:rFonts w:ascii="Arial" w:cs="Arial" w:eastAsia="Arial" w:hAnsi="Arial"/>
          <w:sz w:val="18"/>
          <w:szCs w:val="18"/>
          <w:color w:val="282828"/>
        </w:rPr>
        <w:t>occurred</w:t>
      </w:r>
      <w:r>
        <w:rPr>
          <w:rFonts w:ascii="Arial" w:cs="Arial" w:eastAsia="Arial" w:hAnsi="Arial"/>
          <w:sz w:val="18"/>
          <w:szCs w:val="18"/>
          <w:color w:val="363636"/>
        </w:rPr>
        <w:t xml:space="preserve"> and </w:t>
      </w:r>
      <w:r>
        <w:rPr>
          <w:rFonts w:ascii="Arial" w:cs="Arial" w:eastAsia="Arial" w:hAnsi="Arial"/>
          <w:sz w:val="18"/>
          <w:szCs w:val="18"/>
          <w:color w:val="282828"/>
        </w:rPr>
        <w:t>no</w:t>
      </w:r>
      <w:r>
        <w:rPr>
          <w:rFonts w:ascii="Arial" w:cs="Arial" w:eastAsia="Arial" w:hAnsi="Arial"/>
          <w:sz w:val="18"/>
          <w:szCs w:val="18"/>
          <w:color w:val="363636"/>
        </w:rPr>
        <w:t xml:space="preserve"> event </w:t>
      </w:r>
      <w:r>
        <w:rPr>
          <w:rFonts w:ascii="Arial" w:cs="Arial" w:eastAsia="Arial" w:hAnsi="Arial"/>
          <w:sz w:val="18"/>
          <w:szCs w:val="18"/>
          <w:color w:val="282828"/>
        </w:rPr>
        <w:t>has occurred which, with</w:t>
      </w:r>
      <w:r>
        <w:rPr>
          <w:rFonts w:ascii="Arial" w:cs="Arial" w:eastAsia="Arial" w:hAnsi="Arial"/>
          <w:sz w:val="18"/>
          <w:szCs w:val="18"/>
          <w:color w:val="363636"/>
        </w:rPr>
        <w:t xml:space="preserve"> </w:t>
      </w:r>
      <w:r>
        <w:rPr>
          <w:rFonts w:ascii="Arial" w:cs="Arial" w:eastAsia="Arial" w:hAnsi="Arial"/>
          <w:sz w:val="18"/>
          <w:szCs w:val="18"/>
          <w:color w:val="494949"/>
        </w:rPr>
        <w:t>the</w:t>
      </w:r>
      <w:r>
        <w:rPr>
          <w:rFonts w:ascii="Arial" w:cs="Arial" w:eastAsia="Arial" w:hAnsi="Arial"/>
          <w:sz w:val="18"/>
          <w:szCs w:val="18"/>
          <w:color w:val="363636"/>
        </w:rPr>
        <w:t xml:space="preserve"> </w:t>
      </w:r>
      <w:r>
        <w:rPr>
          <w:rFonts w:ascii="Arial" w:cs="Arial" w:eastAsia="Arial" w:hAnsi="Arial"/>
          <w:sz w:val="18"/>
          <w:szCs w:val="18"/>
          <w:color w:val="161616"/>
        </w:rPr>
        <w:t xml:space="preserve">passage </w:t>
      </w:r>
      <w:r>
        <w:rPr>
          <w:rFonts w:ascii="Arial" w:cs="Arial" w:eastAsia="Arial" w:hAnsi="Arial"/>
          <w:sz w:val="18"/>
          <w:szCs w:val="18"/>
          <w:color w:val="282828"/>
        </w:rPr>
        <w:t>of</w:t>
      </w:r>
      <w:r>
        <w:rPr>
          <w:rFonts w:ascii="Arial" w:cs="Arial" w:eastAsia="Arial" w:hAnsi="Arial"/>
          <w:sz w:val="18"/>
          <w:szCs w:val="18"/>
          <w:color w:val="161616"/>
        </w:rPr>
        <w:t xml:space="preserve"> </w:t>
      </w:r>
      <w:r>
        <w:rPr>
          <w:rFonts w:ascii="Arial" w:cs="Arial" w:eastAsia="Arial" w:hAnsi="Arial"/>
          <w:sz w:val="18"/>
          <w:szCs w:val="18"/>
          <w:color w:val="494949"/>
        </w:rPr>
        <w:t>t</w:t>
      </w:r>
      <w:r>
        <w:rPr>
          <w:rFonts w:ascii="Arial" w:cs="Arial" w:eastAsia="Arial" w:hAnsi="Arial"/>
          <w:sz w:val="18"/>
          <w:szCs w:val="18"/>
          <w:color w:val="161616"/>
        </w:rPr>
        <w:t>i</w:t>
      </w:r>
      <w:r>
        <w:rPr>
          <w:rFonts w:ascii="Arial" w:cs="Arial" w:eastAsia="Arial" w:hAnsi="Arial"/>
          <w:sz w:val="18"/>
          <w:szCs w:val="18"/>
          <w:color w:val="363636"/>
        </w:rPr>
        <w:t>me</w:t>
      </w:r>
      <w:r>
        <w:rPr>
          <w:rFonts w:ascii="Arial" w:cs="Arial" w:eastAsia="Arial" w:hAnsi="Arial"/>
          <w:sz w:val="18"/>
          <w:szCs w:val="18"/>
          <w:color w:val="161616"/>
        </w:rPr>
        <w:t xml:space="preserve"> </w:t>
      </w:r>
      <w:r>
        <w:rPr>
          <w:rFonts w:ascii="Arial" w:cs="Arial" w:eastAsia="Arial" w:hAnsi="Arial"/>
          <w:sz w:val="18"/>
          <w:szCs w:val="18"/>
          <w:color w:val="282828"/>
        </w:rPr>
        <w:t>and</w:t>
      </w:r>
      <w:r>
        <w:rPr>
          <w:rFonts w:ascii="Arial" w:cs="Arial" w:eastAsia="Arial" w:hAnsi="Arial"/>
          <w:sz w:val="18"/>
          <w:szCs w:val="18"/>
          <w:color w:val="6E6E6E"/>
        </w:rPr>
        <w:t>/</w:t>
      </w:r>
      <w:r>
        <w:rPr>
          <w:rFonts w:ascii="Arial" w:cs="Arial" w:eastAsia="Arial" w:hAnsi="Arial"/>
          <w:sz w:val="18"/>
          <w:szCs w:val="18"/>
          <w:color w:val="282828"/>
        </w:rPr>
        <w:t>or</w:t>
      </w:r>
      <w:r>
        <w:rPr>
          <w:rFonts w:ascii="Arial" w:cs="Arial" w:eastAsia="Arial" w:hAnsi="Arial"/>
          <w:sz w:val="18"/>
          <w:szCs w:val="18"/>
          <w:color w:val="161616"/>
        </w:rPr>
        <w:t xml:space="preserve"> </w:t>
      </w:r>
      <w:r>
        <w:rPr>
          <w:rFonts w:ascii="Arial" w:cs="Arial" w:eastAsia="Arial" w:hAnsi="Arial"/>
          <w:sz w:val="18"/>
          <w:szCs w:val="18"/>
          <w:color w:val="494949"/>
        </w:rPr>
        <w:t>the</w:t>
      </w:r>
      <w:r>
        <w:rPr>
          <w:rFonts w:ascii="Arial" w:cs="Arial" w:eastAsia="Arial" w:hAnsi="Arial"/>
          <w:sz w:val="18"/>
          <w:szCs w:val="18"/>
          <w:color w:val="161616"/>
        </w:rPr>
        <w:t xml:space="preserve"> </w:t>
      </w:r>
      <w:r>
        <w:rPr>
          <w:rFonts w:ascii="Arial" w:cs="Arial" w:eastAsia="Arial" w:hAnsi="Arial"/>
          <w:sz w:val="18"/>
          <w:szCs w:val="18"/>
          <w:color w:val="363636"/>
        </w:rPr>
        <w:t>giving</w:t>
      </w:r>
      <w:r>
        <w:rPr>
          <w:rFonts w:ascii="Arial" w:cs="Arial" w:eastAsia="Arial" w:hAnsi="Arial"/>
          <w:sz w:val="18"/>
          <w:szCs w:val="18"/>
          <w:color w:val="161616"/>
        </w:rPr>
        <w:t xml:space="preserve"> </w:t>
      </w:r>
      <w:r>
        <w:rPr>
          <w:rFonts w:ascii="Arial" w:cs="Arial" w:eastAsia="Arial" w:hAnsi="Arial"/>
          <w:sz w:val="18"/>
          <w:szCs w:val="18"/>
          <w:color w:val="282828"/>
        </w:rPr>
        <w:t>of notice, would constitute</w:t>
      </w:r>
      <w:r>
        <w:rPr>
          <w:rFonts w:ascii="Arial" w:cs="Arial" w:eastAsia="Arial" w:hAnsi="Arial"/>
          <w:sz w:val="18"/>
          <w:szCs w:val="18"/>
          <w:color w:val="161616"/>
        </w:rPr>
        <w:t xml:space="preserve"> </w:t>
      </w:r>
      <w:r>
        <w:rPr>
          <w:rFonts w:ascii="Arial" w:cs="Arial" w:eastAsia="Arial" w:hAnsi="Arial"/>
          <w:sz w:val="18"/>
          <w:szCs w:val="18"/>
          <w:color w:val="363636"/>
        </w:rPr>
        <w:t>an Event</w:t>
      </w:r>
      <w:r>
        <w:rPr>
          <w:rFonts w:ascii="Arial" w:cs="Arial" w:eastAsia="Arial" w:hAnsi="Arial"/>
          <w:sz w:val="18"/>
          <w:szCs w:val="18"/>
          <w:color w:val="161616"/>
        </w:rPr>
        <w:t xml:space="preserve"> </w:t>
      </w:r>
      <w:r>
        <w:rPr>
          <w:rFonts w:ascii="Arial" w:cs="Arial" w:eastAsia="Arial" w:hAnsi="Arial"/>
          <w:sz w:val="18"/>
          <w:szCs w:val="18"/>
          <w:color w:val="282828"/>
        </w:rPr>
        <w:t>of Default</w:t>
      </w:r>
      <w:r>
        <w:rPr>
          <w:rFonts w:ascii="Arial" w:cs="Arial" w:eastAsia="Arial" w:hAnsi="Arial"/>
          <w:sz w:val="18"/>
          <w:szCs w:val="18"/>
          <w:color w:val="161616"/>
        </w:rPr>
        <w:t xml:space="preserve"> </w:t>
      </w:r>
      <w:r>
        <w:rPr>
          <w:rFonts w:ascii="Arial" w:cs="Arial" w:eastAsia="Arial" w:hAnsi="Arial"/>
          <w:sz w:val="18"/>
          <w:szCs w:val="18"/>
          <w:color w:val="363636"/>
        </w:rPr>
        <w:t>and further provided that there</w:t>
      </w:r>
      <w:r>
        <w:rPr>
          <w:rFonts w:ascii="Arial" w:cs="Arial" w:eastAsia="Arial" w:hAnsi="Arial"/>
          <w:sz w:val="18"/>
          <w:szCs w:val="18"/>
          <w:color w:val="161616"/>
        </w:rPr>
        <w:t xml:space="preserve"> is </w:t>
      </w:r>
      <w:r>
        <w:rPr>
          <w:rFonts w:ascii="Arial" w:cs="Arial" w:eastAsia="Arial" w:hAnsi="Arial"/>
          <w:sz w:val="18"/>
          <w:szCs w:val="18"/>
          <w:color w:val="282828"/>
        </w:rPr>
        <w:t>no</w:t>
      </w:r>
      <w:r>
        <w:rPr>
          <w:rFonts w:ascii="Arial" w:cs="Arial" w:eastAsia="Arial" w:hAnsi="Arial"/>
          <w:sz w:val="18"/>
          <w:szCs w:val="18"/>
          <w:color w:val="161616"/>
        </w:rPr>
        <w:t xml:space="preserve"> </w:t>
      </w:r>
      <w:r>
        <w:rPr>
          <w:rFonts w:ascii="Arial" w:cs="Arial" w:eastAsia="Arial" w:hAnsi="Arial"/>
          <w:sz w:val="18"/>
          <w:szCs w:val="18"/>
          <w:color w:val="363636"/>
        </w:rPr>
        <w:t>material</w:t>
      </w:r>
      <w:r>
        <w:rPr>
          <w:rFonts w:ascii="Arial" w:cs="Arial" w:eastAsia="Arial" w:hAnsi="Arial"/>
          <w:sz w:val="18"/>
          <w:szCs w:val="18"/>
          <w:color w:val="161616"/>
        </w:rPr>
        <w:t xml:space="preserve"> </w:t>
      </w:r>
      <w:r>
        <w:rPr>
          <w:rFonts w:ascii="Arial" w:cs="Arial" w:eastAsia="Arial" w:hAnsi="Arial"/>
          <w:sz w:val="18"/>
          <w:szCs w:val="18"/>
          <w:color w:val="282828"/>
        </w:rPr>
        <w:t>adverse</w:t>
      </w:r>
      <w:r>
        <w:rPr>
          <w:rFonts w:ascii="Arial" w:cs="Arial" w:eastAsia="Arial" w:hAnsi="Arial"/>
          <w:sz w:val="18"/>
          <w:szCs w:val="18"/>
          <w:color w:val="161616"/>
        </w:rPr>
        <w:t xml:space="preserve"> </w:t>
      </w:r>
      <w:r>
        <w:rPr>
          <w:rFonts w:ascii="Arial" w:cs="Arial" w:eastAsia="Arial" w:hAnsi="Arial"/>
          <w:sz w:val="18"/>
          <w:szCs w:val="18"/>
          <w:color w:val="363636"/>
        </w:rPr>
        <w:t xml:space="preserve">change </w:t>
      </w:r>
      <w:r>
        <w:rPr>
          <w:rFonts w:ascii="Arial" w:cs="Arial" w:eastAsia="Arial" w:hAnsi="Arial"/>
          <w:sz w:val="18"/>
          <w:szCs w:val="18"/>
          <w:color w:val="161616"/>
        </w:rPr>
        <w:t>in</w:t>
      </w:r>
      <w:r>
        <w:rPr>
          <w:rFonts w:ascii="Arial" w:cs="Arial" w:eastAsia="Arial" w:hAnsi="Arial"/>
          <w:sz w:val="18"/>
          <w:szCs w:val="18"/>
          <w:color w:val="363636"/>
        </w:rPr>
        <w:t xml:space="preserve"> Tenant's tangible </w:t>
      </w:r>
      <w:r>
        <w:rPr>
          <w:rFonts w:ascii="Arial" w:cs="Arial" w:eastAsia="Arial" w:hAnsi="Arial"/>
          <w:sz w:val="18"/>
          <w:szCs w:val="18"/>
          <w:color w:val="282828"/>
        </w:rPr>
        <w:t>net worth (as</w:t>
      </w:r>
      <w:r>
        <w:rPr>
          <w:rFonts w:ascii="Arial" w:cs="Arial" w:eastAsia="Arial" w:hAnsi="Arial"/>
          <w:sz w:val="18"/>
          <w:szCs w:val="18"/>
          <w:color w:val="363636"/>
        </w:rPr>
        <w:t xml:space="preserve"> </w:t>
      </w:r>
      <w:r>
        <w:rPr>
          <w:rFonts w:ascii="Arial" w:cs="Arial" w:eastAsia="Arial" w:hAnsi="Arial"/>
          <w:sz w:val="18"/>
          <w:szCs w:val="18"/>
          <w:color w:val="161616"/>
        </w:rPr>
        <w:t>defined in</w:t>
      </w:r>
      <w:r>
        <w:rPr>
          <w:rFonts w:ascii="Arial" w:cs="Arial" w:eastAsia="Arial" w:hAnsi="Arial"/>
          <w:sz w:val="18"/>
          <w:szCs w:val="18"/>
          <w:color w:val="363636"/>
        </w:rPr>
        <w:t xml:space="preserve"> </w:t>
      </w:r>
      <w:r>
        <w:rPr>
          <w:rFonts w:ascii="Arial" w:cs="Arial" w:eastAsia="Arial" w:hAnsi="Arial"/>
          <w:sz w:val="18"/>
          <w:szCs w:val="18"/>
          <w:u w:val="single" w:color="auto"/>
          <w:color w:val="313131"/>
        </w:rPr>
        <w:t>Section 13.4</w:t>
      </w:r>
      <w:r>
        <w:rPr>
          <w:rFonts w:ascii="Arial" w:cs="Arial" w:eastAsia="Arial" w:hAnsi="Arial"/>
          <w:sz w:val="18"/>
          <w:szCs w:val="18"/>
          <w:color w:val="363636"/>
        </w:rPr>
        <w:t xml:space="preserve"> below) as verified </w:t>
      </w:r>
      <w:r>
        <w:rPr>
          <w:rFonts w:ascii="Arial" w:cs="Arial" w:eastAsia="Arial" w:hAnsi="Arial"/>
          <w:sz w:val="18"/>
          <w:szCs w:val="18"/>
          <w:color w:val="161616"/>
        </w:rPr>
        <w:t>by</w:t>
      </w:r>
      <w:r>
        <w:rPr>
          <w:rFonts w:ascii="Arial" w:cs="Arial" w:eastAsia="Arial" w:hAnsi="Arial"/>
          <w:sz w:val="18"/>
          <w:szCs w:val="18"/>
          <w:color w:val="363636"/>
        </w:rPr>
        <w:t xml:space="preserve"> </w:t>
      </w:r>
      <w:r>
        <w:rPr>
          <w:rFonts w:ascii="Arial" w:cs="Arial" w:eastAsia="Arial" w:hAnsi="Arial"/>
          <w:sz w:val="18"/>
          <w:szCs w:val="18"/>
          <w:color w:val="282828"/>
        </w:rPr>
        <w:t>Landlord based upon</w:t>
      </w:r>
      <w:r>
        <w:rPr>
          <w:rFonts w:ascii="Arial" w:cs="Arial" w:eastAsia="Arial" w:hAnsi="Arial"/>
          <w:sz w:val="18"/>
          <w:szCs w:val="18"/>
          <w:color w:val="363636"/>
        </w:rPr>
        <w:t xml:space="preserve"> a </w:t>
      </w:r>
      <w:r>
        <w:rPr>
          <w:rFonts w:ascii="Arial" w:cs="Arial" w:eastAsia="Arial" w:hAnsi="Arial"/>
          <w:sz w:val="18"/>
          <w:szCs w:val="18"/>
          <w:color w:val="282828"/>
        </w:rPr>
        <w:t>certificate</w:t>
      </w:r>
      <w:r>
        <w:rPr>
          <w:rFonts w:ascii="Arial" w:cs="Arial" w:eastAsia="Arial" w:hAnsi="Arial"/>
          <w:sz w:val="18"/>
          <w:szCs w:val="18"/>
          <w:color w:val="363636"/>
        </w:rPr>
        <w:t xml:space="preserve"> from Tenant's </w:t>
      </w:r>
      <w:r>
        <w:rPr>
          <w:rFonts w:ascii="Arial" w:cs="Arial" w:eastAsia="Arial" w:hAnsi="Arial"/>
          <w:sz w:val="18"/>
          <w:szCs w:val="18"/>
          <w:color w:val="282828"/>
        </w:rPr>
        <w:t xml:space="preserve">chief financial officer and </w:t>
      </w:r>
      <w:r>
        <w:rPr>
          <w:rFonts w:ascii="Arial" w:cs="Arial" w:eastAsia="Arial" w:hAnsi="Arial"/>
          <w:sz w:val="18"/>
          <w:szCs w:val="18"/>
          <w:color w:val="363636"/>
        </w:rPr>
        <w:t>audited financials, then the face</w:t>
      </w:r>
      <w:r>
        <w:rPr>
          <w:rFonts w:ascii="Arial" w:cs="Arial" w:eastAsia="Arial" w:hAnsi="Arial"/>
          <w:sz w:val="18"/>
          <w:szCs w:val="18"/>
          <w:color w:val="282828"/>
        </w:rPr>
        <w:t xml:space="preserve"> amount of </w:t>
      </w:r>
      <w:r>
        <w:rPr>
          <w:rFonts w:ascii="Arial" w:cs="Arial" w:eastAsia="Arial" w:hAnsi="Arial"/>
          <w:sz w:val="18"/>
          <w:szCs w:val="18"/>
          <w:color w:val="363636"/>
        </w:rPr>
        <w:t>the</w:t>
      </w:r>
      <w:r>
        <w:rPr>
          <w:rFonts w:ascii="Arial" w:cs="Arial" w:eastAsia="Arial" w:hAnsi="Arial"/>
          <w:sz w:val="18"/>
          <w:szCs w:val="18"/>
          <w:color w:val="282828"/>
        </w:rPr>
        <w:t xml:space="preserve"> Letter of Credit may </w:t>
      </w:r>
      <w:r>
        <w:rPr>
          <w:rFonts w:ascii="Arial" w:cs="Arial" w:eastAsia="Arial" w:hAnsi="Arial"/>
          <w:sz w:val="18"/>
          <w:szCs w:val="18"/>
          <w:color w:val="161616"/>
        </w:rPr>
        <w:t>be</w:t>
      </w:r>
      <w:r>
        <w:rPr>
          <w:rFonts w:ascii="Arial" w:cs="Arial" w:eastAsia="Arial" w:hAnsi="Arial"/>
          <w:sz w:val="18"/>
          <w:szCs w:val="18"/>
          <w:color w:val="282828"/>
        </w:rPr>
        <w:t xml:space="preserve"> </w:t>
      </w:r>
      <w:r>
        <w:rPr>
          <w:rFonts w:ascii="Arial" w:cs="Arial" w:eastAsia="Arial" w:hAnsi="Arial"/>
          <w:sz w:val="18"/>
          <w:szCs w:val="18"/>
          <w:color w:val="313131"/>
        </w:rPr>
        <w:t>reduced</w:t>
      </w:r>
      <w:r>
        <w:rPr>
          <w:rFonts w:ascii="Arial" w:cs="Arial" w:eastAsia="Arial" w:hAnsi="Arial"/>
          <w:sz w:val="18"/>
          <w:szCs w:val="18"/>
          <w:color w:val="282828"/>
        </w:rPr>
        <w:t xml:space="preserve"> </w:t>
      </w:r>
      <w:r>
        <w:rPr>
          <w:rFonts w:ascii="Arial" w:cs="Arial" w:eastAsia="Arial" w:hAnsi="Arial"/>
          <w:sz w:val="18"/>
          <w:szCs w:val="18"/>
          <w:color w:val="161616"/>
        </w:rPr>
        <w:t>by</w:t>
      </w:r>
      <w:r>
        <w:rPr>
          <w:rFonts w:ascii="Arial" w:cs="Arial" w:eastAsia="Arial" w:hAnsi="Arial"/>
          <w:sz w:val="18"/>
          <w:szCs w:val="18"/>
          <w:color w:val="282828"/>
        </w:rPr>
        <w:t xml:space="preserve"> </w:t>
      </w:r>
      <w:r>
        <w:rPr>
          <w:rFonts w:ascii="Arial" w:cs="Arial" w:eastAsia="Arial" w:hAnsi="Arial"/>
          <w:sz w:val="18"/>
          <w:szCs w:val="18"/>
          <w:color w:val="313131"/>
        </w:rPr>
        <w:t>Tenant to (a) Nine Million</w:t>
      </w:r>
      <w:r>
        <w:rPr>
          <w:rFonts w:ascii="Arial" w:cs="Arial" w:eastAsia="Arial" w:hAnsi="Arial"/>
          <w:sz w:val="18"/>
          <w:szCs w:val="18"/>
          <w:color w:val="282828"/>
        </w:rPr>
        <w:t xml:space="preserve"> </w:t>
      </w:r>
      <w:r>
        <w:rPr>
          <w:rFonts w:ascii="Arial" w:cs="Arial" w:eastAsia="Arial" w:hAnsi="Arial"/>
          <w:sz w:val="18"/>
          <w:szCs w:val="18"/>
          <w:color w:val="161616"/>
        </w:rPr>
        <w:t xml:space="preserve">Seven </w:t>
      </w:r>
      <w:r>
        <w:rPr>
          <w:rFonts w:ascii="Arial" w:cs="Arial" w:eastAsia="Arial" w:hAnsi="Arial"/>
          <w:sz w:val="18"/>
          <w:szCs w:val="18"/>
          <w:color w:val="313131"/>
        </w:rPr>
        <w:t>Hundred</w:t>
      </w:r>
      <w:r>
        <w:rPr>
          <w:rFonts w:ascii="Arial" w:cs="Arial" w:eastAsia="Arial" w:hAnsi="Arial"/>
          <w:sz w:val="18"/>
          <w:szCs w:val="18"/>
          <w:color w:val="161616"/>
        </w:rPr>
        <w:t xml:space="preserve"> </w:t>
      </w:r>
      <w:r>
        <w:rPr>
          <w:rFonts w:ascii="Arial" w:cs="Arial" w:eastAsia="Arial" w:hAnsi="Arial"/>
          <w:sz w:val="18"/>
          <w:szCs w:val="18"/>
          <w:color w:val="494949"/>
        </w:rPr>
        <w:t>T</w:t>
      </w:r>
      <w:r>
        <w:rPr>
          <w:rFonts w:ascii="Arial" w:cs="Arial" w:eastAsia="Arial" w:hAnsi="Arial"/>
          <w:sz w:val="18"/>
          <w:szCs w:val="18"/>
          <w:color w:val="313131"/>
        </w:rPr>
        <w:t>hirty-</w:t>
      </w:r>
      <w:r>
        <w:rPr>
          <w:rFonts w:ascii="Arial" w:cs="Arial" w:eastAsia="Arial" w:hAnsi="Arial"/>
          <w:sz w:val="18"/>
          <w:szCs w:val="18"/>
          <w:color w:val="161616"/>
        </w:rPr>
        <w:t>S</w:t>
      </w:r>
      <w:r>
        <w:rPr>
          <w:rFonts w:ascii="Arial" w:cs="Arial" w:eastAsia="Arial" w:hAnsi="Arial"/>
          <w:sz w:val="18"/>
          <w:szCs w:val="18"/>
          <w:color w:val="313131"/>
        </w:rPr>
        <w:t>even</w:t>
      </w:r>
      <w:r>
        <w:rPr>
          <w:rFonts w:ascii="Arial" w:cs="Arial" w:eastAsia="Arial" w:hAnsi="Arial"/>
          <w:sz w:val="18"/>
          <w:szCs w:val="18"/>
          <w:color w:val="161616"/>
        </w:rPr>
        <w:t xml:space="preserve"> </w:t>
      </w:r>
      <w:r>
        <w:rPr>
          <w:rFonts w:ascii="Arial" w:cs="Arial" w:eastAsia="Arial" w:hAnsi="Arial"/>
          <w:sz w:val="18"/>
          <w:szCs w:val="18"/>
          <w:color w:val="494949"/>
        </w:rPr>
        <w:t>T</w:t>
      </w:r>
      <w:r>
        <w:rPr>
          <w:rFonts w:ascii="Arial" w:cs="Arial" w:eastAsia="Arial" w:hAnsi="Arial"/>
          <w:sz w:val="18"/>
          <w:szCs w:val="18"/>
          <w:color w:val="313131"/>
        </w:rPr>
        <w:t>housan</w:t>
      </w:r>
      <w:r>
        <w:rPr>
          <w:rFonts w:ascii="Arial" w:cs="Arial" w:eastAsia="Arial" w:hAnsi="Arial"/>
          <w:sz w:val="18"/>
          <w:szCs w:val="18"/>
          <w:color w:val="161616"/>
        </w:rPr>
        <w:t xml:space="preserve">d </w:t>
      </w:r>
      <w:r>
        <w:rPr>
          <w:rFonts w:ascii="Arial" w:cs="Arial" w:eastAsia="Arial" w:hAnsi="Arial"/>
          <w:sz w:val="18"/>
          <w:szCs w:val="18"/>
          <w:color w:val="313131"/>
        </w:rPr>
        <w:t>Seven Hundred</w:t>
      </w:r>
      <w:r>
        <w:rPr>
          <w:rFonts w:ascii="Arial" w:cs="Arial" w:eastAsia="Arial" w:hAnsi="Arial"/>
          <w:sz w:val="18"/>
          <w:szCs w:val="18"/>
          <w:color w:val="161616"/>
        </w:rPr>
        <w:t xml:space="preserve"> Sixteen </w:t>
      </w:r>
      <w:r>
        <w:rPr>
          <w:rFonts w:ascii="Arial" w:cs="Arial" w:eastAsia="Arial" w:hAnsi="Arial"/>
          <w:sz w:val="18"/>
          <w:szCs w:val="18"/>
          <w:color w:val="313131"/>
        </w:rPr>
        <w:t>and 53</w:t>
      </w:r>
      <w:r>
        <w:rPr>
          <w:rFonts w:ascii="Arial" w:cs="Arial" w:eastAsia="Arial" w:hAnsi="Arial"/>
          <w:sz w:val="18"/>
          <w:szCs w:val="18"/>
          <w:color w:val="7B7B7B"/>
        </w:rPr>
        <w:t>/</w:t>
      </w:r>
      <w:r>
        <w:rPr>
          <w:rFonts w:ascii="Arial" w:cs="Arial" w:eastAsia="Arial" w:hAnsi="Arial"/>
          <w:sz w:val="18"/>
          <w:szCs w:val="18"/>
          <w:color w:val="161616"/>
        </w:rPr>
        <w:t>10</w:t>
      </w:r>
      <w:r>
        <w:rPr>
          <w:rFonts w:ascii="Arial" w:cs="Arial" w:eastAsia="Arial" w:hAnsi="Arial"/>
          <w:sz w:val="18"/>
          <w:szCs w:val="18"/>
          <w:color w:val="313131"/>
        </w:rPr>
        <w:t>0 Dollars ($9,737,716.53) on or after the Phase</w:t>
      </w:r>
      <w:r>
        <w:rPr>
          <w:rFonts w:ascii="Arial" w:cs="Arial" w:eastAsia="Arial" w:hAnsi="Arial"/>
          <w:sz w:val="18"/>
          <w:szCs w:val="18"/>
          <w:color w:val="161616"/>
        </w:rPr>
        <w:t xml:space="preserve"> 1 </w:t>
      </w:r>
      <w:r>
        <w:rPr>
          <w:rFonts w:ascii="Arial" w:cs="Arial" w:eastAsia="Arial" w:hAnsi="Arial"/>
          <w:sz w:val="18"/>
          <w:szCs w:val="18"/>
          <w:color w:val="313131"/>
        </w:rPr>
        <w:t>Rent</w:t>
      </w:r>
      <w:r>
        <w:rPr>
          <w:rFonts w:ascii="Arial" w:cs="Arial" w:eastAsia="Arial" w:hAnsi="Arial"/>
          <w:sz w:val="18"/>
          <w:szCs w:val="18"/>
          <w:color w:val="161616"/>
        </w:rPr>
        <w:t xml:space="preserve"> </w:t>
      </w:r>
      <w:r>
        <w:rPr>
          <w:rFonts w:ascii="Arial" w:cs="Arial" w:eastAsia="Arial" w:hAnsi="Arial"/>
          <w:sz w:val="18"/>
          <w:szCs w:val="18"/>
          <w:color w:val="313131"/>
        </w:rPr>
        <w:t xml:space="preserve">Commencement Date, (b) </w:t>
      </w:r>
      <w:r>
        <w:rPr>
          <w:rFonts w:ascii="Arial" w:cs="Arial" w:eastAsia="Arial" w:hAnsi="Arial"/>
          <w:sz w:val="18"/>
          <w:szCs w:val="18"/>
          <w:color w:val="161616"/>
        </w:rPr>
        <w:t>Six</w:t>
      </w:r>
      <w:r>
        <w:rPr>
          <w:rFonts w:ascii="Arial" w:cs="Arial" w:eastAsia="Arial" w:hAnsi="Arial"/>
          <w:sz w:val="18"/>
          <w:szCs w:val="18"/>
          <w:color w:val="313131"/>
        </w:rPr>
        <w:t xml:space="preserve"> Million </w:t>
      </w:r>
      <w:r>
        <w:rPr>
          <w:rFonts w:ascii="Arial" w:cs="Arial" w:eastAsia="Arial" w:hAnsi="Arial"/>
          <w:sz w:val="18"/>
          <w:szCs w:val="18"/>
          <w:color w:val="161616"/>
        </w:rPr>
        <w:t>Seven</w:t>
      </w:r>
      <w:r>
        <w:rPr>
          <w:rFonts w:ascii="Arial" w:cs="Arial" w:eastAsia="Arial" w:hAnsi="Arial"/>
          <w:sz w:val="18"/>
          <w:szCs w:val="18"/>
          <w:color w:val="313131"/>
        </w:rPr>
        <w:t xml:space="preserve"> Hundred Seventy-Nine </w:t>
      </w:r>
      <w:r>
        <w:rPr>
          <w:rFonts w:ascii="Arial" w:cs="Arial" w:eastAsia="Arial" w:hAnsi="Arial"/>
          <w:sz w:val="18"/>
          <w:szCs w:val="18"/>
          <w:color w:val="494949"/>
        </w:rPr>
        <w:t>Thousand</w:t>
      </w:r>
      <w:r>
        <w:rPr>
          <w:rFonts w:ascii="Arial" w:cs="Arial" w:eastAsia="Arial" w:hAnsi="Arial"/>
          <w:sz w:val="18"/>
          <w:szCs w:val="18"/>
          <w:color w:val="313131"/>
        </w:rPr>
        <w:t xml:space="preserve"> Five Hundred Nine and </w:t>
      </w:r>
      <w:r>
        <w:rPr>
          <w:rFonts w:ascii="Arial" w:cs="Arial" w:eastAsia="Arial" w:hAnsi="Arial"/>
          <w:sz w:val="18"/>
          <w:szCs w:val="18"/>
          <w:color w:val="161616"/>
        </w:rPr>
        <w:t>0</w:t>
      </w:r>
      <w:r>
        <w:rPr>
          <w:rFonts w:ascii="Arial" w:cs="Arial" w:eastAsia="Arial" w:hAnsi="Arial"/>
          <w:sz w:val="18"/>
          <w:szCs w:val="18"/>
          <w:color w:val="313131"/>
        </w:rPr>
        <w:t>2</w:t>
      </w:r>
      <w:r>
        <w:rPr>
          <w:rFonts w:ascii="Arial" w:cs="Arial" w:eastAsia="Arial" w:hAnsi="Arial"/>
          <w:sz w:val="18"/>
          <w:szCs w:val="18"/>
          <w:color w:val="7B7B7B"/>
        </w:rPr>
        <w:t>/</w:t>
      </w:r>
      <w:r>
        <w:rPr>
          <w:rFonts w:ascii="Arial" w:cs="Arial" w:eastAsia="Arial" w:hAnsi="Arial"/>
          <w:sz w:val="18"/>
          <w:szCs w:val="18"/>
          <w:color w:val="313131"/>
        </w:rPr>
        <w:t xml:space="preserve">100 Dollars ($6,779,509.02) on or after the commencement of Rent Year 2, (c) </w:t>
      </w:r>
      <w:r>
        <w:rPr>
          <w:rFonts w:ascii="Arial" w:cs="Arial" w:eastAsia="Arial" w:hAnsi="Arial"/>
          <w:sz w:val="18"/>
          <w:szCs w:val="18"/>
          <w:color w:val="494949"/>
        </w:rPr>
        <w:t>Four</w:t>
      </w:r>
      <w:r>
        <w:rPr>
          <w:rFonts w:ascii="Arial" w:cs="Arial" w:eastAsia="Arial" w:hAnsi="Arial"/>
          <w:sz w:val="18"/>
          <w:szCs w:val="18"/>
          <w:color w:val="313131"/>
        </w:rPr>
        <w:t xml:space="preserve"> Million Five Hundred Ninety-One Thousand </w:t>
      </w:r>
      <w:r>
        <w:rPr>
          <w:rFonts w:ascii="Arial" w:cs="Arial" w:eastAsia="Arial" w:hAnsi="Arial"/>
          <w:sz w:val="18"/>
          <w:szCs w:val="18"/>
          <w:color w:val="494949"/>
        </w:rPr>
        <w:t>Five</w:t>
      </w:r>
      <w:r>
        <w:rPr>
          <w:rFonts w:ascii="Arial" w:cs="Arial" w:eastAsia="Arial" w:hAnsi="Arial"/>
          <w:sz w:val="18"/>
          <w:szCs w:val="18"/>
          <w:color w:val="313131"/>
        </w:rPr>
        <w:t xml:space="preserve"> Hundred Ninety-Seven and </w:t>
      </w:r>
      <w:r>
        <w:rPr>
          <w:rFonts w:ascii="Arial" w:cs="Arial" w:eastAsia="Arial" w:hAnsi="Arial"/>
          <w:sz w:val="18"/>
          <w:szCs w:val="18"/>
          <w:color w:val="494949"/>
        </w:rPr>
        <w:t>1</w:t>
      </w:r>
      <w:r>
        <w:rPr>
          <w:rFonts w:ascii="Arial" w:cs="Arial" w:eastAsia="Arial" w:hAnsi="Arial"/>
          <w:sz w:val="18"/>
          <w:szCs w:val="18"/>
          <w:color w:val="313131"/>
        </w:rPr>
        <w:t>8</w:t>
      </w:r>
      <w:r>
        <w:rPr>
          <w:rFonts w:ascii="Arial" w:cs="Arial" w:eastAsia="Arial" w:hAnsi="Arial"/>
          <w:sz w:val="18"/>
          <w:szCs w:val="18"/>
          <w:color w:val="7B7B7B"/>
        </w:rPr>
        <w:t>/</w:t>
      </w:r>
      <w:r>
        <w:rPr>
          <w:rFonts w:ascii="Arial" w:cs="Arial" w:eastAsia="Arial" w:hAnsi="Arial"/>
          <w:sz w:val="18"/>
          <w:szCs w:val="18"/>
          <w:color w:val="313131"/>
        </w:rPr>
        <w:t>10</w:t>
      </w:r>
      <w:r>
        <w:rPr>
          <w:rFonts w:ascii="Arial" w:cs="Arial" w:eastAsia="Arial" w:hAnsi="Arial"/>
          <w:sz w:val="18"/>
          <w:szCs w:val="18"/>
          <w:color w:val="161616"/>
        </w:rPr>
        <w:t>0</w:t>
      </w:r>
      <w:r>
        <w:rPr>
          <w:rFonts w:ascii="Arial" w:cs="Arial" w:eastAsia="Arial" w:hAnsi="Arial"/>
          <w:sz w:val="18"/>
          <w:szCs w:val="18"/>
          <w:color w:val="494949"/>
        </w:rPr>
        <w:t xml:space="preserve"> </w:t>
      </w:r>
      <w:r>
        <w:rPr>
          <w:rFonts w:ascii="Arial" w:cs="Arial" w:eastAsia="Arial" w:hAnsi="Arial"/>
          <w:sz w:val="18"/>
          <w:szCs w:val="18"/>
          <w:color w:val="313131"/>
        </w:rPr>
        <w:t>Dollars ($4,591,597.18) on or after the commencement of Rent Year 3, (d) Four Million Three Hundred Seventy-Five</w:t>
      </w:r>
      <w:r>
        <w:rPr>
          <w:rFonts w:ascii="Arial" w:cs="Arial" w:eastAsia="Arial" w:hAnsi="Arial"/>
          <w:sz w:val="18"/>
          <w:szCs w:val="18"/>
          <w:color w:val="494949"/>
        </w:rPr>
        <w:t xml:space="preserve"> Thousand </w:t>
      </w:r>
      <w:r>
        <w:rPr>
          <w:rFonts w:ascii="Arial" w:cs="Arial" w:eastAsia="Arial" w:hAnsi="Arial"/>
          <w:sz w:val="18"/>
          <w:szCs w:val="18"/>
          <w:color w:val="313131"/>
        </w:rPr>
        <w:t>Eight Hundred Twenty-Three and 68</w:t>
      </w:r>
      <w:r>
        <w:rPr>
          <w:rFonts w:ascii="Arial" w:cs="Arial" w:eastAsia="Arial" w:hAnsi="Arial"/>
          <w:sz w:val="18"/>
          <w:szCs w:val="18"/>
          <w:color w:val="7B7B7B"/>
        </w:rPr>
        <w:t>/</w:t>
      </w:r>
      <w:r>
        <w:rPr>
          <w:rFonts w:ascii="Arial" w:cs="Arial" w:eastAsia="Arial" w:hAnsi="Arial"/>
          <w:sz w:val="18"/>
          <w:szCs w:val="18"/>
          <w:color w:val="313131"/>
        </w:rPr>
        <w:t>10</w:t>
      </w:r>
      <w:r>
        <w:rPr>
          <w:rFonts w:ascii="Arial" w:cs="Arial" w:eastAsia="Arial" w:hAnsi="Arial"/>
          <w:sz w:val="18"/>
          <w:szCs w:val="18"/>
          <w:color w:val="161616"/>
        </w:rPr>
        <w:t>0</w:t>
      </w:r>
      <w:r>
        <w:rPr>
          <w:rFonts w:ascii="Arial" w:cs="Arial" w:eastAsia="Arial" w:hAnsi="Arial"/>
          <w:sz w:val="18"/>
          <w:szCs w:val="18"/>
          <w:color w:val="494949"/>
        </w:rPr>
        <w:t xml:space="preserve"> </w:t>
      </w:r>
      <w:r>
        <w:rPr>
          <w:rFonts w:ascii="Arial" w:cs="Arial" w:eastAsia="Arial" w:hAnsi="Arial"/>
          <w:sz w:val="18"/>
          <w:szCs w:val="18"/>
          <w:color w:val="313131"/>
        </w:rPr>
        <w:t>Dollars ($4,375,823.68) on or after the commencement of ES Rent Year 2, and (e)</w:t>
      </w:r>
      <w:r>
        <w:rPr>
          <w:rFonts w:ascii="Arial" w:cs="Arial" w:eastAsia="Arial" w:hAnsi="Arial"/>
          <w:sz w:val="18"/>
          <w:szCs w:val="18"/>
          <w:color w:val="494949"/>
        </w:rPr>
        <w:t xml:space="preserve"> </w:t>
      </w:r>
      <w:r>
        <w:rPr>
          <w:rFonts w:ascii="Arial" w:cs="Arial" w:eastAsia="Arial" w:hAnsi="Arial"/>
          <w:sz w:val="18"/>
          <w:szCs w:val="18"/>
          <w:color w:val="313131"/>
        </w:rPr>
        <w:t xml:space="preserve">Four Million </w:t>
      </w:r>
      <w:r>
        <w:rPr>
          <w:rFonts w:ascii="Arial" w:cs="Arial" w:eastAsia="Arial" w:hAnsi="Arial"/>
          <w:sz w:val="18"/>
          <w:szCs w:val="18"/>
          <w:color w:val="494949"/>
        </w:rPr>
        <w:t>Two</w:t>
      </w:r>
      <w:r>
        <w:rPr>
          <w:rFonts w:ascii="Arial" w:cs="Arial" w:eastAsia="Arial" w:hAnsi="Arial"/>
          <w:sz w:val="18"/>
          <w:szCs w:val="18"/>
          <w:color w:val="313131"/>
        </w:rPr>
        <w:t xml:space="preserve"> Hundred Thirty-One Thousand Nine Hundred </w:t>
      </w:r>
      <w:r>
        <w:rPr>
          <w:rFonts w:ascii="Arial" w:cs="Arial" w:eastAsia="Arial" w:hAnsi="Arial"/>
          <w:sz w:val="18"/>
          <w:szCs w:val="18"/>
          <w:color w:val="161616"/>
        </w:rPr>
        <w:t>Seventy-Four</w:t>
      </w:r>
      <w:r>
        <w:rPr>
          <w:rFonts w:ascii="Arial" w:cs="Arial" w:eastAsia="Arial" w:hAnsi="Arial"/>
          <w:sz w:val="18"/>
          <w:szCs w:val="18"/>
          <w:color w:val="313131"/>
        </w:rPr>
        <w:t xml:space="preserve"> and 68</w:t>
      </w:r>
      <w:r>
        <w:rPr>
          <w:rFonts w:ascii="Arial" w:cs="Arial" w:eastAsia="Arial" w:hAnsi="Arial"/>
          <w:sz w:val="18"/>
          <w:szCs w:val="18"/>
          <w:color w:val="7B7B7B"/>
        </w:rPr>
        <w:t>/</w:t>
      </w:r>
      <w:r>
        <w:rPr>
          <w:rFonts w:ascii="Arial" w:cs="Arial" w:eastAsia="Arial" w:hAnsi="Arial"/>
          <w:sz w:val="18"/>
          <w:szCs w:val="18"/>
          <w:color w:val="313131"/>
        </w:rPr>
        <w:t>10</w:t>
      </w:r>
      <w:r>
        <w:rPr>
          <w:rFonts w:ascii="Arial" w:cs="Arial" w:eastAsia="Arial" w:hAnsi="Arial"/>
          <w:sz w:val="18"/>
          <w:szCs w:val="18"/>
          <w:color w:val="161616"/>
        </w:rPr>
        <w:t>0</w:t>
      </w:r>
      <w:r>
        <w:rPr>
          <w:rFonts w:ascii="Arial" w:cs="Arial" w:eastAsia="Arial" w:hAnsi="Arial"/>
          <w:sz w:val="18"/>
          <w:szCs w:val="18"/>
          <w:color w:val="313131"/>
        </w:rPr>
        <w:t xml:space="preserve"> Dollars (</w:t>
      </w:r>
      <w:r>
        <w:rPr>
          <w:rFonts w:ascii="Arial" w:cs="Arial" w:eastAsia="Arial" w:hAnsi="Arial"/>
          <w:sz w:val="18"/>
          <w:szCs w:val="18"/>
          <w:color w:val="161616"/>
        </w:rPr>
        <w:t>$</w:t>
      </w:r>
      <w:r>
        <w:rPr>
          <w:rFonts w:ascii="Arial" w:cs="Arial" w:eastAsia="Arial" w:hAnsi="Arial"/>
          <w:sz w:val="18"/>
          <w:szCs w:val="18"/>
          <w:color w:val="313131"/>
        </w:rPr>
        <w:t>4</w:t>
      </w:r>
      <w:r>
        <w:rPr>
          <w:rFonts w:ascii="Arial" w:cs="Arial" w:eastAsia="Arial" w:hAnsi="Arial"/>
          <w:sz w:val="18"/>
          <w:szCs w:val="18"/>
          <w:color w:val="494949"/>
        </w:rPr>
        <w:t>,</w:t>
      </w:r>
      <w:r>
        <w:rPr>
          <w:rFonts w:ascii="Arial" w:cs="Arial" w:eastAsia="Arial" w:hAnsi="Arial"/>
          <w:sz w:val="18"/>
          <w:szCs w:val="18"/>
          <w:color w:val="313131"/>
        </w:rPr>
        <w:t>2</w:t>
      </w:r>
      <w:r>
        <w:rPr>
          <w:rFonts w:ascii="Arial" w:cs="Arial" w:eastAsia="Arial" w:hAnsi="Arial"/>
          <w:sz w:val="18"/>
          <w:szCs w:val="18"/>
          <w:color w:val="161616"/>
        </w:rPr>
        <w:t>3</w:t>
      </w:r>
      <w:r>
        <w:rPr>
          <w:rFonts w:ascii="Arial" w:cs="Arial" w:eastAsia="Arial" w:hAnsi="Arial"/>
          <w:sz w:val="18"/>
          <w:szCs w:val="18"/>
          <w:color w:val="313131"/>
        </w:rPr>
        <w:t>1</w:t>
      </w:r>
      <w:r>
        <w:rPr>
          <w:rFonts w:ascii="Arial" w:cs="Arial" w:eastAsia="Arial" w:hAnsi="Arial"/>
          <w:sz w:val="18"/>
          <w:szCs w:val="18"/>
          <w:color w:val="494949"/>
        </w:rPr>
        <w:t>,</w:t>
      </w:r>
      <w:r>
        <w:rPr>
          <w:rFonts w:ascii="Arial" w:cs="Arial" w:eastAsia="Arial" w:hAnsi="Arial"/>
          <w:sz w:val="18"/>
          <w:szCs w:val="18"/>
          <w:color w:val="313131"/>
        </w:rPr>
        <w:t>974</w:t>
      </w:r>
      <w:r>
        <w:rPr>
          <w:rFonts w:ascii="Arial" w:cs="Arial" w:eastAsia="Arial" w:hAnsi="Arial"/>
          <w:sz w:val="18"/>
          <w:szCs w:val="18"/>
          <w:color w:val="000000"/>
        </w:rPr>
        <w:t>.</w:t>
      </w:r>
      <w:r>
        <w:rPr>
          <w:rFonts w:ascii="Arial" w:cs="Arial" w:eastAsia="Arial" w:hAnsi="Arial"/>
          <w:sz w:val="18"/>
          <w:szCs w:val="18"/>
          <w:color w:val="313131"/>
        </w:rPr>
        <w:t xml:space="preserve">68) on or after the commencement of ES Rent Year 3; it being understood and agreed that if Tenant cures any </w:t>
      </w:r>
      <w:r>
        <w:rPr>
          <w:rFonts w:ascii="Arial" w:cs="Arial" w:eastAsia="Arial" w:hAnsi="Arial"/>
          <w:sz w:val="18"/>
          <w:szCs w:val="18"/>
          <w:color w:val="161616"/>
        </w:rPr>
        <w:t>default</w:t>
      </w:r>
      <w:r>
        <w:rPr>
          <w:rFonts w:ascii="Arial" w:cs="Arial" w:eastAsia="Arial" w:hAnsi="Arial"/>
          <w:sz w:val="18"/>
          <w:szCs w:val="18"/>
          <w:color w:val="313131"/>
        </w:rPr>
        <w:t xml:space="preserve"> prior to the expiration of the notice and</w:t>
      </w:r>
      <w:r>
        <w:rPr>
          <w:rFonts w:ascii="Arial" w:cs="Arial" w:eastAsia="Arial" w:hAnsi="Arial"/>
          <w:sz w:val="18"/>
          <w:szCs w:val="18"/>
          <w:color w:val="7B7B7B"/>
        </w:rPr>
        <w:t>/</w:t>
      </w:r>
      <w:r>
        <w:rPr>
          <w:rFonts w:ascii="Arial" w:cs="Arial" w:eastAsia="Arial" w:hAnsi="Arial"/>
          <w:sz w:val="18"/>
          <w:szCs w:val="18"/>
          <w:color w:val="313131"/>
        </w:rPr>
        <w:t xml:space="preserve">or cure </w:t>
      </w:r>
      <w:r>
        <w:rPr>
          <w:rFonts w:ascii="Arial" w:cs="Arial" w:eastAsia="Arial" w:hAnsi="Arial"/>
          <w:sz w:val="18"/>
          <w:szCs w:val="18"/>
          <w:color w:val="161616"/>
        </w:rPr>
        <w:t>periods</w:t>
      </w:r>
      <w:r>
        <w:rPr>
          <w:rFonts w:ascii="Arial" w:cs="Arial" w:eastAsia="Arial" w:hAnsi="Arial"/>
          <w:sz w:val="18"/>
          <w:szCs w:val="18"/>
          <w:color w:val="313131"/>
        </w:rPr>
        <w:t xml:space="preserve"> set forth </w:t>
      </w:r>
      <w:r>
        <w:rPr>
          <w:rFonts w:ascii="Arial" w:cs="Arial" w:eastAsia="Arial" w:hAnsi="Arial"/>
          <w:sz w:val="18"/>
          <w:szCs w:val="18"/>
          <w:color w:val="161616"/>
        </w:rPr>
        <w:t>in</w:t>
      </w:r>
      <w:r>
        <w:rPr>
          <w:rFonts w:ascii="Arial" w:cs="Arial" w:eastAsia="Arial" w:hAnsi="Arial"/>
          <w:sz w:val="18"/>
          <w:szCs w:val="18"/>
          <w:color w:val="313131"/>
        </w:rPr>
        <w:t xml:space="preserve"> </w:t>
      </w:r>
      <w:r>
        <w:rPr>
          <w:rFonts w:ascii="Arial" w:cs="Arial" w:eastAsia="Arial" w:hAnsi="Arial"/>
          <w:sz w:val="18"/>
          <w:szCs w:val="18"/>
          <w:u w:val="single" w:color="auto"/>
          <w:color w:val="313131"/>
        </w:rPr>
        <w:t>Section 20.1</w:t>
      </w:r>
      <w:r>
        <w:rPr>
          <w:rFonts w:ascii="Arial" w:cs="Arial" w:eastAsia="Arial" w:hAnsi="Arial"/>
          <w:sz w:val="18"/>
          <w:szCs w:val="18"/>
          <w:color w:val="313131"/>
        </w:rPr>
        <w:t xml:space="preserve"> </w:t>
      </w:r>
      <w:r>
        <w:rPr>
          <w:rFonts w:ascii="Arial" w:cs="Arial" w:eastAsia="Arial" w:hAnsi="Arial"/>
          <w:sz w:val="18"/>
          <w:szCs w:val="18"/>
          <w:color w:val="161616"/>
        </w:rPr>
        <w:t>below,</w:t>
      </w:r>
      <w:r>
        <w:rPr>
          <w:rFonts w:ascii="Arial" w:cs="Arial" w:eastAsia="Arial" w:hAnsi="Arial"/>
          <w:sz w:val="18"/>
          <w:szCs w:val="18"/>
          <w:color w:val="313131"/>
        </w:rPr>
        <w:t xml:space="preserve"> or Tenant thereafter </w:t>
      </w:r>
      <w:r>
        <w:rPr>
          <w:rFonts w:ascii="Arial" w:cs="Arial" w:eastAsia="Arial" w:hAnsi="Arial"/>
          <w:sz w:val="18"/>
          <w:szCs w:val="18"/>
          <w:color w:val="161616"/>
        </w:rPr>
        <w:t>demonstrates</w:t>
      </w:r>
      <w:r>
        <w:rPr>
          <w:rFonts w:ascii="Arial" w:cs="Arial" w:eastAsia="Arial" w:hAnsi="Arial"/>
          <w:sz w:val="18"/>
          <w:szCs w:val="18"/>
          <w:color w:val="313131"/>
        </w:rPr>
        <w:t xml:space="preserve"> that there is no longer a material adverse change </w:t>
      </w:r>
      <w:r>
        <w:rPr>
          <w:rFonts w:ascii="Arial" w:cs="Arial" w:eastAsia="Arial" w:hAnsi="Arial"/>
          <w:sz w:val="18"/>
          <w:szCs w:val="18"/>
          <w:color w:val="161616"/>
        </w:rPr>
        <w:t xml:space="preserve">in </w:t>
      </w:r>
      <w:r>
        <w:rPr>
          <w:rFonts w:ascii="Arial" w:cs="Arial" w:eastAsia="Arial" w:hAnsi="Arial"/>
          <w:sz w:val="18"/>
          <w:szCs w:val="18"/>
          <w:color w:val="313131"/>
        </w:rPr>
        <w:t>Tenant's tangible net worth, Tenant shall then</w:t>
      </w:r>
      <w:r>
        <w:rPr>
          <w:rFonts w:ascii="Arial" w:cs="Arial" w:eastAsia="Arial" w:hAnsi="Arial"/>
          <w:sz w:val="18"/>
          <w:szCs w:val="18"/>
          <w:color w:val="161616"/>
        </w:rPr>
        <w:t xml:space="preserve"> be </w:t>
      </w:r>
      <w:r>
        <w:rPr>
          <w:rFonts w:ascii="Arial" w:cs="Arial" w:eastAsia="Arial" w:hAnsi="Arial"/>
          <w:sz w:val="18"/>
          <w:szCs w:val="18"/>
          <w:color w:val="313131"/>
        </w:rPr>
        <w:t>entitled to obtain a Letter of Credit in the reduced face amount</w:t>
      </w:r>
      <w:r>
        <w:rPr>
          <w:rFonts w:ascii="Arial" w:cs="Arial" w:eastAsia="Arial" w:hAnsi="Arial"/>
          <w:sz w:val="18"/>
          <w:szCs w:val="18"/>
          <w:color w:val="161616"/>
        </w:rPr>
        <w:t xml:space="preserve"> in </w:t>
      </w:r>
      <w:r>
        <w:rPr>
          <w:rFonts w:ascii="Arial" w:cs="Arial" w:eastAsia="Arial" w:hAnsi="Arial"/>
          <w:sz w:val="18"/>
          <w:szCs w:val="18"/>
          <w:color w:val="313131"/>
        </w:rPr>
        <w:t>accordance with</w:t>
      </w:r>
      <w:r>
        <w:rPr>
          <w:rFonts w:ascii="Arial" w:cs="Arial" w:eastAsia="Arial" w:hAnsi="Arial"/>
          <w:sz w:val="18"/>
          <w:szCs w:val="18"/>
          <w:color w:val="161616"/>
        </w:rPr>
        <w:t xml:space="preserve"> </w:t>
      </w:r>
      <w:r>
        <w:rPr>
          <w:rFonts w:ascii="Arial" w:cs="Arial" w:eastAsia="Arial" w:hAnsi="Arial"/>
          <w:sz w:val="18"/>
          <w:szCs w:val="18"/>
          <w:color w:val="313131"/>
        </w:rPr>
        <w:t xml:space="preserve">this </w:t>
      </w:r>
      <w:r>
        <w:rPr>
          <w:rFonts w:ascii="Arial" w:cs="Arial" w:eastAsia="Arial" w:hAnsi="Arial"/>
          <w:sz w:val="18"/>
          <w:szCs w:val="18"/>
          <w:u w:val="single" w:color="auto"/>
          <w:color w:val="313131"/>
        </w:rPr>
        <w:t>Section 7.1(a).</w:t>
      </w:r>
      <w:r>
        <w:rPr>
          <w:rFonts w:ascii="Arial" w:cs="Arial" w:eastAsia="Arial" w:hAnsi="Arial"/>
          <w:sz w:val="18"/>
          <w:szCs w:val="18"/>
          <w:color w:val="313131"/>
        </w:rPr>
        <w:t xml:space="preserve"> Landlord shall, at no cost to Landlord, cooperate with </w:t>
      </w:r>
      <w:r>
        <w:rPr>
          <w:rFonts w:ascii="Arial" w:cs="Arial" w:eastAsia="Arial" w:hAnsi="Arial"/>
          <w:sz w:val="18"/>
          <w:szCs w:val="18"/>
          <w:color w:val="494949"/>
        </w:rPr>
        <w:t>Tenant</w:t>
      </w:r>
      <w:r>
        <w:rPr>
          <w:rFonts w:ascii="Arial" w:cs="Arial" w:eastAsia="Arial" w:hAnsi="Arial"/>
          <w:sz w:val="18"/>
          <w:szCs w:val="18"/>
          <w:color w:val="313131"/>
        </w:rPr>
        <w:t xml:space="preserve"> and the issuer of the Letter of Credit in connection with the amendment of the Letter of Credit to effectuate such reduction. Tenant hereby certifies that Tenant's tangible net worth as of February 28, 2019 was at least </w:t>
      </w:r>
      <w:r>
        <w:rPr>
          <w:rFonts w:ascii="Arial" w:cs="Arial" w:eastAsia="Arial" w:hAnsi="Arial"/>
          <w:sz w:val="18"/>
          <w:szCs w:val="18"/>
          <w:color w:val="161616"/>
        </w:rPr>
        <w:t>One</w:t>
      </w:r>
      <w:r>
        <w:rPr>
          <w:rFonts w:ascii="Arial" w:cs="Arial" w:eastAsia="Arial" w:hAnsi="Arial"/>
          <w:sz w:val="18"/>
          <w:szCs w:val="18"/>
          <w:color w:val="313131"/>
        </w:rPr>
        <w:t xml:space="preserve"> Hundred Fifty Million Dollars ($150,000,000.00).</w:t>
      </w:r>
    </w:p>
    <w:p>
      <w:pPr>
        <w:spacing w:after="0" w:line="57" w:lineRule="exact"/>
        <w:rPr>
          <w:rFonts w:ascii="Arial" w:cs="Arial" w:eastAsia="Arial" w:hAnsi="Arial"/>
          <w:sz w:val="18"/>
          <w:szCs w:val="18"/>
          <w:color w:val="282828"/>
        </w:rPr>
      </w:pPr>
    </w:p>
    <w:p>
      <w:pPr>
        <w:ind w:right="20" w:firstLine="372"/>
        <w:spacing w:after="0" w:line="300" w:lineRule="auto"/>
        <w:tabs>
          <w:tab w:leader="none" w:pos="739" w:val="left"/>
        </w:tabs>
        <w:numPr>
          <w:ilvl w:val="0"/>
          <w:numId w:val="118"/>
        </w:numPr>
        <w:rPr>
          <w:rFonts w:ascii="Arial" w:cs="Arial" w:eastAsia="Arial" w:hAnsi="Arial"/>
          <w:sz w:val="18"/>
          <w:szCs w:val="18"/>
          <w:u w:val="single" w:color="auto"/>
          <w:color w:val="2F2F2F"/>
        </w:rPr>
      </w:pPr>
      <w:r>
        <w:rPr>
          <w:rFonts w:ascii="Arial" w:cs="Arial" w:eastAsia="Arial" w:hAnsi="Arial"/>
          <w:sz w:val="18"/>
          <w:szCs w:val="18"/>
          <w:u w:val="single" w:color="auto"/>
          <w:color w:val="2F2F2F"/>
        </w:rPr>
        <w:t>Parking</w:t>
      </w:r>
      <w:r>
        <w:rPr>
          <w:rFonts w:ascii="Arial" w:cs="Arial" w:eastAsia="Arial" w:hAnsi="Arial"/>
          <w:sz w:val="18"/>
          <w:szCs w:val="18"/>
          <w:color w:val="000000"/>
        </w:rPr>
        <w:t>.</w:t>
      </w:r>
      <w:r>
        <w:rPr>
          <w:rFonts w:ascii="Arial" w:cs="Arial" w:eastAsia="Arial" w:hAnsi="Arial"/>
          <w:sz w:val="18"/>
          <w:szCs w:val="18"/>
          <w:color w:val="2F2F2F"/>
        </w:rPr>
        <w:t xml:space="preserve"> </w:t>
      </w:r>
      <w:r>
        <w:rPr>
          <w:rFonts w:ascii="Arial" w:cs="Arial" w:eastAsia="Arial" w:hAnsi="Arial"/>
          <w:sz w:val="18"/>
          <w:szCs w:val="18"/>
          <w:color w:val="313131"/>
        </w:rPr>
        <w:t>Commencing on the ES Commencement</w:t>
      </w:r>
      <w:r>
        <w:rPr>
          <w:rFonts w:ascii="Arial" w:cs="Arial" w:eastAsia="Arial" w:hAnsi="Arial"/>
          <w:sz w:val="18"/>
          <w:szCs w:val="18"/>
          <w:color w:val="2F2F2F"/>
        </w:rPr>
        <w:t xml:space="preserve"> </w:t>
      </w:r>
      <w:r>
        <w:rPr>
          <w:rFonts w:ascii="Arial" w:cs="Arial" w:eastAsia="Arial" w:hAnsi="Arial"/>
          <w:sz w:val="18"/>
          <w:szCs w:val="18"/>
          <w:color w:val="161616"/>
        </w:rPr>
        <w:t>D</w:t>
      </w:r>
      <w:r>
        <w:rPr>
          <w:rFonts w:ascii="Arial" w:cs="Arial" w:eastAsia="Arial" w:hAnsi="Arial"/>
          <w:sz w:val="18"/>
          <w:szCs w:val="18"/>
          <w:color w:val="313131"/>
        </w:rPr>
        <w:t>ate</w:t>
      </w:r>
      <w:r>
        <w:rPr>
          <w:rFonts w:ascii="Arial" w:cs="Arial" w:eastAsia="Arial" w:hAnsi="Arial"/>
          <w:sz w:val="18"/>
          <w:szCs w:val="18"/>
          <w:color w:val="494949"/>
        </w:rPr>
        <w:t>, the</w:t>
      </w:r>
      <w:r>
        <w:rPr>
          <w:rFonts w:ascii="Arial" w:cs="Arial" w:eastAsia="Arial" w:hAnsi="Arial"/>
          <w:sz w:val="18"/>
          <w:szCs w:val="18"/>
          <w:color w:val="2F2F2F"/>
        </w:rPr>
        <w:t xml:space="preserve"> </w:t>
      </w:r>
      <w:r>
        <w:rPr>
          <w:rFonts w:ascii="Arial" w:cs="Arial" w:eastAsia="Arial" w:hAnsi="Arial"/>
          <w:sz w:val="18"/>
          <w:szCs w:val="18"/>
          <w:color w:val="313131"/>
        </w:rPr>
        <w:t>number of</w:t>
      </w:r>
      <w:r>
        <w:rPr>
          <w:rFonts w:ascii="Arial" w:cs="Arial" w:eastAsia="Arial" w:hAnsi="Arial"/>
          <w:sz w:val="18"/>
          <w:szCs w:val="18"/>
          <w:color w:val="2F2F2F"/>
        </w:rPr>
        <w:t xml:space="preserve"> </w:t>
      </w:r>
      <w:r>
        <w:rPr>
          <w:rFonts w:ascii="Arial" w:cs="Arial" w:eastAsia="Arial" w:hAnsi="Arial"/>
          <w:sz w:val="18"/>
          <w:szCs w:val="18"/>
          <w:color w:val="161616"/>
        </w:rPr>
        <w:t>Parking Passes</w:t>
      </w:r>
      <w:r>
        <w:rPr>
          <w:rFonts w:ascii="Arial" w:cs="Arial" w:eastAsia="Arial" w:hAnsi="Arial"/>
          <w:sz w:val="18"/>
          <w:szCs w:val="18"/>
          <w:color w:val="2F2F2F"/>
        </w:rPr>
        <w:t xml:space="preserve"> </w:t>
      </w:r>
      <w:r>
        <w:rPr>
          <w:rFonts w:ascii="Arial" w:cs="Arial" w:eastAsia="Arial" w:hAnsi="Arial"/>
          <w:sz w:val="18"/>
          <w:szCs w:val="18"/>
          <w:color w:val="313131"/>
        </w:rPr>
        <w:t>to which Tenant will be entitled shall</w:t>
      </w:r>
      <w:r>
        <w:rPr>
          <w:rFonts w:ascii="Arial" w:cs="Arial" w:eastAsia="Arial" w:hAnsi="Arial"/>
          <w:sz w:val="18"/>
          <w:szCs w:val="18"/>
          <w:color w:val="2F2F2F"/>
        </w:rPr>
        <w:t xml:space="preserve"> </w:t>
      </w:r>
      <w:r>
        <w:rPr>
          <w:rFonts w:ascii="Arial" w:cs="Arial" w:eastAsia="Arial" w:hAnsi="Arial"/>
          <w:sz w:val="18"/>
          <w:szCs w:val="18"/>
          <w:color w:val="161616"/>
        </w:rPr>
        <w:t xml:space="preserve">be </w:t>
      </w:r>
      <w:r>
        <w:rPr>
          <w:rFonts w:ascii="Arial" w:cs="Arial" w:eastAsia="Arial" w:hAnsi="Arial"/>
          <w:sz w:val="18"/>
          <w:szCs w:val="18"/>
          <w:color w:val="313131"/>
        </w:rPr>
        <w:t>calculated based on the rentable square footage of the entire</w:t>
      </w:r>
      <w:r>
        <w:rPr>
          <w:rFonts w:ascii="Arial" w:cs="Arial" w:eastAsia="Arial" w:hAnsi="Arial"/>
          <w:sz w:val="18"/>
          <w:szCs w:val="18"/>
          <w:color w:val="161616"/>
        </w:rPr>
        <w:t xml:space="preserve"> Premises </w:t>
      </w:r>
      <w:r>
        <w:rPr>
          <w:rFonts w:ascii="Arial" w:cs="Arial" w:eastAsia="Arial" w:hAnsi="Arial"/>
          <w:sz w:val="18"/>
          <w:szCs w:val="18"/>
          <w:color w:val="313131"/>
        </w:rPr>
        <w:t>(</w:t>
      </w:r>
      <w:r>
        <w:rPr>
          <w:rFonts w:ascii="Arial" w:cs="Arial" w:eastAsia="Arial" w:hAnsi="Arial"/>
          <w:sz w:val="18"/>
          <w:szCs w:val="18"/>
          <w:color w:val="161616"/>
        </w:rPr>
        <w:t>i.</w:t>
      </w:r>
      <w:r>
        <w:rPr>
          <w:rFonts w:ascii="Arial" w:cs="Arial" w:eastAsia="Arial" w:hAnsi="Arial"/>
          <w:sz w:val="18"/>
          <w:szCs w:val="18"/>
          <w:color w:val="313131"/>
        </w:rPr>
        <w:t>e</w:t>
      </w:r>
      <w:r>
        <w:rPr>
          <w:rFonts w:ascii="Arial" w:cs="Arial" w:eastAsia="Arial" w:hAnsi="Arial"/>
          <w:sz w:val="18"/>
          <w:szCs w:val="18"/>
          <w:color w:val="000000"/>
        </w:rPr>
        <w:t>.</w:t>
      </w:r>
      <w:r>
        <w:rPr>
          <w:rFonts w:ascii="Arial" w:cs="Arial" w:eastAsia="Arial" w:hAnsi="Arial"/>
          <w:sz w:val="18"/>
          <w:szCs w:val="18"/>
          <w:color w:val="313131"/>
        </w:rPr>
        <w:t>, the Original</w:t>
      </w:r>
      <w:r>
        <w:rPr>
          <w:rFonts w:ascii="Arial" w:cs="Arial" w:eastAsia="Arial" w:hAnsi="Arial"/>
          <w:sz w:val="18"/>
          <w:szCs w:val="18"/>
          <w:color w:val="161616"/>
        </w:rPr>
        <w:t xml:space="preserve"> Premises </w:t>
      </w:r>
      <w:r>
        <w:rPr>
          <w:rFonts w:ascii="Arial" w:cs="Arial" w:eastAsia="Arial" w:hAnsi="Arial"/>
          <w:sz w:val="18"/>
          <w:szCs w:val="18"/>
          <w:color w:val="313131"/>
        </w:rPr>
        <w:t>and the Expansion S</w:t>
      </w:r>
      <w:r>
        <w:rPr>
          <w:rFonts w:ascii="Arial" w:cs="Arial" w:eastAsia="Arial" w:hAnsi="Arial"/>
          <w:sz w:val="18"/>
          <w:szCs w:val="18"/>
          <w:color w:val="161616"/>
        </w:rPr>
        <w:t>p</w:t>
      </w:r>
      <w:r>
        <w:rPr>
          <w:rFonts w:ascii="Arial" w:cs="Arial" w:eastAsia="Arial" w:hAnsi="Arial"/>
          <w:sz w:val="18"/>
          <w:szCs w:val="18"/>
          <w:color w:val="313131"/>
        </w:rPr>
        <w:t>ace)</w:t>
      </w:r>
      <w:r>
        <w:rPr>
          <w:rFonts w:ascii="Arial" w:cs="Arial" w:eastAsia="Arial" w:hAnsi="Arial"/>
          <w:sz w:val="18"/>
          <w:szCs w:val="18"/>
          <w:color w:val="000000"/>
        </w:rPr>
        <w:t>.</w:t>
      </w:r>
    </w:p>
    <w:p>
      <w:pPr>
        <w:spacing w:after="0" w:line="36" w:lineRule="exact"/>
        <w:rPr>
          <w:rFonts w:ascii="Arial" w:cs="Arial" w:eastAsia="Arial" w:hAnsi="Arial"/>
          <w:sz w:val="18"/>
          <w:szCs w:val="18"/>
          <w:u w:val="single" w:color="auto"/>
          <w:color w:val="2F2F2F"/>
        </w:rPr>
      </w:pPr>
    </w:p>
    <w:p>
      <w:pPr>
        <w:jc w:val="both"/>
        <w:ind w:firstLine="373"/>
        <w:spacing w:after="0"/>
        <w:tabs>
          <w:tab w:leader="none" w:pos="727" w:val="left"/>
        </w:tabs>
        <w:numPr>
          <w:ilvl w:val="0"/>
          <w:numId w:val="118"/>
        </w:numPr>
        <w:rPr>
          <w:rFonts w:ascii="Arial" w:cs="Arial" w:eastAsia="Arial" w:hAnsi="Arial"/>
          <w:sz w:val="18"/>
          <w:szCs w:val="18"/>
          <w:u w:val="single" w:color="auto"/>
          <w:color w:val="2F2F2F"/>
        </w:rPr>
      </w:pPr>
      <w:r>
        <w:rPr>
          <w:rFonts w:ascii="Arial" w:cs="Arial" w:eastAsia="Arial" w:hAnsi="Arial"/>
          <w:sz w:val="18"/>
          <w:szCs w:val="18"/>
          <w:u w:val="single" w:color="auto"/>
          <w:color w:val="2F2F2F"/>
        </w:rPr>
        <w:t>Plan of Chemical Storage</w:t>
      </w:r>
      <w:r>
        <w:rPr>
          <w:rFonts w:ascii="Arial" w:cs="Arial" w:eastAsia="Arial" w:hAnsi="Arial"/>
          <w:sz w:val="18"/>
          <w:szCs w:val="18"/>
          <w:color w:val="313131"/>
        </w:rPr>
        <w:t>. Effective as of the</w:t>
      </w:r>
      <w:r>
        <w:rPr>
          <w:rFonts w:ascii="Arial" w:cs="Arial" w:eastAsia="Arial" w:hAnsi="Arial"/>
          <w:sz w:val="18"/>
          <w:szCs w:val="18"/>
          <w:color w:val="2F2F2F"/>
        </w:rPr>
        <w:t xml:space="preserve"> </w:t>
      </w:r>
      <w:r>
        <w:rPr>
          <w:rFonts w:ascii="Arial" w:cs="Arial" w:eastAsia="Arial" w:hAnsi="Arial"/>
          <w:sz w:val="18"/>
          <w:szCs w:val="18"/>
          <w:color w:val="161616"/>
        </w:rPr>
        <w:t>date</w:t>
      </w:r>
      <w:r>
        <w:rPr>
          <w:rFonts w:ascii="Arial" w:cs="Arial" w:eastAsia="Arial" w:hAnsi="Arial"/>
          <w:sz w:val="18"/>
          <w:szCs w:val="18"/>
          <w:color w:val="2F2F2F"/>
        </w:rPr>
        <w:t xml:space="preserve"> </w:t>
      </w:r>
      <w:r>
        <w:rPr>
          <w:rFonts w:ascii="Arial" w:cs="Arial" w:eastAsia="Arial" w:hAnsi="Arial"/>
          <w:sz w:val="18"/>
          <w:szCs w:val="18"/>
          <w:color w:val="313131"/>
        </w:rPr>
        <w:t>of this</w:t>
      </w:r>
      <w:r>
        <w:rPr>
          <w:rFonts w:ascii="Arial" w:cs="Arial" w:eastAsia="Arial" w:hAnsi="Arial"/>
          <w:sz w:val="18"/>
          <w:szCs w:val="18"/>
          <w:color w:val="2F2F2F"/>
        </w:rPr>
        <w:t xml:space="preserve"> </w:t>
      </w:r>
      <w:r>
        <w:rPr>
          <w:rFonts w:ascii="Arial" w:cs="Arial" w:eastAsia="Arial" w:hAnsi="Arial"/>
          <w:sz w:val="18"/>
          <w:szCs w:val="18"/>
          <w:color w:val="494949"/>
        </w:rPr>
        <w:t>Third</w:t>
      </w:r>
      <w:r>
        <w:rPr>
          <w:rFonts w:ascii="Arial" w:cs="Arial" w:eastAsia="Arial" w:hAnsi="Arial"/>
          <w:sz w:val="18"/>
          <w:szCs w:val="18"/>
          <w:color w:val="2F2F2F"/>
        </w:rPr>
        <w:t xml:space="preserve"> </w:t>
      </w:r>
      <w:r>
        <w:rPr>
          <w:rFonts w:ascii="Arial" w:cs="Arial" w:eastAsia="Arial" w:hAnsi="Arial"/>
          <w:sz w:val="18"/>
          <w:szCs w:val="18"/>
          <w:color w:val="313131"/>
        </w:rPr>
        <w:t>Amendment, the plan of the ground floor space associated</w:t>
      </w:r>
      <w:r>
        <w:rPr>
          <w:rFonts w:ascii="Arial" w:cs="Arial" w:eastAsia="Arial" w:hAnsi="Arial"/>
          <w:sz w:val="18"/>
          <w:szCs w:val="18"/>
          <w:color w:val="2F2F2F"/>
        </w:rPr>
        <w:t xml:space="preserve"> </w:t>
      </w:r>
      <w:r>
        <w:rPr>
          <w:rFonts w:ascii="Arial" w:cs="Arial" w:eastAsia="Arial" w:hAnsi="Arial"/>
          <w:sz w:val="18"/>
          <w:szCs w:val="18"/>
          <w:color w:val="313131"/>
        </w:rPr>
        <w:t xml:space="preserve">with </w:t>
      </w:r>
      <w:r>
        <w:rPr>
          <w:rFonts w:ascii="Arial" w:cs="Arial" w:eastAsia="Arial" w:hAnsi="Arial"/>
          <w:sz w:val="18"/>
          <w:szCs w:val="18"/>
          <w:color w:val="494949"/>
        </w:rPr>
        <w:t>the</w:t>
      </w:r>
      <w:r>
        <w:rPr>
          <w:rFonts w:ascii="Arial" w:cs="Arial" w:eastAsia="Arial" w:hAnsi="Arial"/>
          <w:sz w:val="18"/>
          <w:szCs w:val="18"/>
          <w:color w:val="313131"/>
        </w:rPr>
        <w:t xml:space="preserve"> </w:t>
      </w:r>
      <w:r>
        <w:rPr>
          <w:rFonts w:ascii="Arial" w:cs="Arial" w:eastAsia="Arial" w:hAnsi="Arial"/>
          <w:sz w:val="18"/>
          <w:szCs w:val="18"/>
          <w:color w:val="161616"/>
        </w:rPr>
        <w:t>Original</w:t>
      </w:r>
      <w:r>
        <w:rPr>
          <w:rFonts w:ascii="Arial" w:cs="Arial" w:eastAsia="Arial" w:hAnsi="Arial"/>
          <w:sz w:val="18"/>
          <w:szCs w:val="18"/>
          <w:color w:val="313131"/>
        </w:rPr>
        <w:t xml:space="preserve"> Premises (which plan is labelled </w:t>
      </w:r>
      <w:r>
        <w:rPr>
          <w:rFonts w:ascii="Arial" w:cs="Arial" w:eastAsia="Arial" w:hAnsi="Arial"/>
          <w:sz w:val="18"/>
          <w:szCs w:val="18"/>
          <w:color w:val="494949"/>
        </w:rPr>
        <w:t>"</w:t>
      </w:r>
      <w:r>
        <w:rPr>
          <w:rFonts w:ascii="Arial" w:cs="Arial" w:eastAsia="Arial" w:hAnsi="Arial"/>
          <w:sz w:val="18"/>
          <w:szCs w:val="18"/>
          <w:color w:val="313131"/>
        </w:rPr>
        <w:t>Ken</w:t>
      </w:r>
      <w:r>
        <w:rPr>
          <w:rFonts w:ascii="Arial" w:cs="Arial" w:eastAsia="Arial" w:hAnsi="Arial"/>
          <w:sz w:val="18"/>
          <w:szCs w:val="18"/>
          <w:color w:val="161616"/>
        </w:rPr>
        <w:t>d</w:t>
      </w:r>
      <w:r>
        <w:rPr>
          <w:rFonts w:ascii="Arial" w:cs="Arial" w:eastAsia="Arial" w:hAnsi="Arial"/>
          <w:sz w:val="18"/>
          <w:szCs w:val="18"/>
          <w:color w:val="313131"/>
        </w:rPr>
        <w:t xml:space="preserve">all </w:t>
      </w:r>
      <w:r>
        <w:rPr>
          <w:rFonts w:ascii="Arial" w:cs="Arial" w:eastAsia="Arial" w:hAnsi="Arial"/>
          <w:sz w:val="18"/>
          <w:szCs w:val="18"/>
          <w:color w:val="161616"/>
        </w:rPr>
        <w:t>Site</w:t>
      </w:r>
      <w:r>
        <w:rPr>
          <w:rFonts w:ascii="Arial" w:cs="Arial" w:eastAsia="Arial" w:hAnsi="Arial"/>
          <w:sz w:val="18"/>
          <w:szCs w:val="18"/>
          <w:color w:val="313131"/>
        </w:rPr>
        <w:t xml:space="preserve"> 3 Chemical </w:t>
      </w:r>
      <w:r>
        <w:rPr>
          <w:rFonts w:ascii="Arial" w:cs="Arial" w:eastAsia="Arial" w:hAnsi="Arial"/>
          <w:sz w:val="18"/>
          <w:szCs w:val="18"/>
          <w:color w:val="161616"/>
        </w:rPr>
        <w:t>Storage</w:t>
      </w:r>
      <w:r>
        <w:rPr>
          <w:rFonts w:ascii="Arial" w:cs="Arial" w:eastAsia="Arial" w:hAnsi="Arial"/>
          <w:sz w:val="18"/>
          <w:szCs w:val="18"/>
          <w:color w:val="313131"/>
        </w:rPr>
        <w:t xml:space="preserve"> </w:t>
      </w:r>
      <w:r>
        <w:rPr>
          <w:rFonts w:ascii="Arial" w:cs="Arial" w:eastAsia="Arial" w:hAnsi="Arial"/>
          <w:sz w:val="18"/>
          <w:szCs w:val="18"/>
          <w:color w:val="000000"/>
        </w:rPr>
        <w:t>-</w:t>
      </w:r>
      <w:r>
        <w:rPr>
          <w:rFonts w:ascii="Arial" w:cs="Arial" w:eastAsia="Arial" w:hAnsi="Arial"/>
          <w:sz w:val="18"/>
          <w:szCs w:val="18"/>
          <w:color w:val="313131"/>
        </w:rPr>
        <w:t xml:space="preserve"> Secured Space" and is attached as the 5</w:t>
      </w:r>
      <w:r>
        <w:rPr>
          <w:rFonts w:ascii="Arial" w:cs="Arial" w:eastAsia="Arial" w:hAnsi="Arial"/>
          <w:sz w:val="24"/>
          <w:szCs w:val="24"/>
          <w:color w:val="313131"/>
          <w:vertAlign w:val="superscript"/>
        </w:rPr>
        <w:t>th</w:t>
      </w:r>
      <w:r>
        <w:rPr>
          <w:rFonts w:ascii="Arial" w:cs="Arial" w:eastAsia="Arial" w:hAnsi="Arial"/>
          <w:sz w:val="18"/>
          <w:szCs w:val="18"/>
          <w:color w:val="313131"/>
        </w:rPr>
        <w:t xml:space="preserve"> page of </w:t>
      </w:r>
      <w:r>
        <w:rPr>
          <w:rFonts w:ascii="Arial" w:cs="Arial" w:eastAsia="Arial" w:hAnsi="Arial"/>
          <w:sz w:val="18"/>
          <w:szCs w:val="18"/>
          <w:u w:val="single" w:color="auto"/>
          <w:color w:val="313131"/>
        </w:rPr>
        <w:t>Exhibit 2A</w:t>
      </w:r>
      <w:r>
        <w:rPr>
          <w:rFonts w:ascii="Arial" w:cs="Arial" w:eastAsia="Arial" w:hAnsi="Arial"/>
          <w:sz w:val="18"/>
          <w:szCs w:val="18"/>
          <w:color w:val="313131"/>
        </w:rPr>
        <w:t xml:space="preserve"> to the Lease) </w:t>
      </w:r>
      <w:r>
        <w:rPr>
          <w:rFonts w:ascii="Arial" w:cs="Arial" w:eastAsia="Arial" w:hAnsi="Arial"/>
          <w:sz w:val="18"/>
          <w:szCs w:val="18"/>
          <w:color w:val="161616"/>
        </w:rPr>
        <w:t>is</w:t>
      </w:r>
      <w:r>
        <w:rPr>
          <w:rFonts w:ascii="Arial" w:cs="Arial" w:eastAsia="Arial" w:hAnsi="Arial"/>
          <w:sz w:val="18"/>
          <w:szCs w:val="18"/>
          <w:color w:val="313131"/>
        </w:rPr>
        <w:t xml:space="preserve"> hereby </w:t>
      </w:r>
      <w:r>
        <w:rPr>
          <w:rFonts w:ascii="Arial" w:cs="Arial" w:eastAsia="Arial" w:hAnsi="Arial"/>
          <w:sz w:val="18"/>
          <w:szCs w:val="18"/>
          <w:color w:val="161616"/>
        </w:rPr>
        <w:t>deleted</w:t>
      </w:r>
      <w:r>
        <w:rPr>
          <w:rFonts w:ascii="Arial" w:cs="Arial" w:eastAsia="Arial" w:hAnsi="Arial"/>
          <w:sz w:val="18"/>
          <w:szCs w:val="18"/>
          <w:color w:val="313131"/>
        </w:rPr>
        <w:t xml:space="preserve"> and replaced with the plan attached hereto as </w:t>
      </w:r>
      <w:r>
        <w:rPr>
          <w:rFonts w:ascii="Arial" w:cs="Arial" w:eastAsia="Arial" w:hAnsi="Arial"/>
          <w:sz w:val="18"/>
          <w:szCs w:val="18"/>
          <w:u w:val="single" w:color="auto"/>
          <w:color w:val="313131"/>
        </w:rPr>
        <w:t>Exhibit A-1. Exhibit A-1</w:t>
      </w:r>
      <w:r>
        <w:rPr>
          <w:rFonts w:ascii="Arial" w:cs="Arial" w:eastAsia="Arial" w:hAnsi="Arial"/>
          <w:sz w:val="18"/>
          <w:szCs w:val="18"/>
          <w:color w:val="313131"/>
        </w:rPr>
        <w:t xml:space="preserve"> attached hereto </w:t>
      </w:r>
      <w:r>
        <w:rPr>
          <w:rFonts w:ascii="Arial" w:cs="Arial" w:eastAsia="Arial" w:hAnsi="Arial"/>
          <w:sz w:val="18"/>
          <w:szCs w:val="18"/>
          <w:color w:val="161616"/>
        </w:rPr>
        <w:t xml:space="preserve">depicts </w:t>
      </w:r>
      <w:r>
        <w:rPr>
          <w:rFonts w:ascii="Arial" w:cs="Arial" w:eastAsia="Arial" w:hAnsi="Arial"/>
          <w:sz w:val="18"/>
          <w:szCs w:val="18"/>
          <w:color w:val="313131"/>
        </w:rPr>
        <w:t>the ground</w:t>
      </w:r>
      <w:r>
        <w:rPr>
          <w:rFonts w:ascii="Arial" w:cs="Arial" w:eastAsia="Arial" w:hAnsi="Arial"/>
          <w:sz w:val="18"/>
          <w:szCs w:val="18"/>
          <w:color w:val="161616"/>
        </w:rPr>
        <w:t xml:space="preserve"> floor </w:t>
      </w:r>
      <w:r>
        <w:rPr>
          <w:rFonts w:ascii="Arial" w:cs="Arial" w:eastAsia="Arial" w:hAnsi="Arial"/>
          <w:sz w:val="18"/>
          <w:szCs w:val="18"/>
          <w:color w:val="313131"/>
        </w:rPr>
        <w:t>space associated with both the</w:t>
      </w:r>
      <w:r>
        <w:rPr>
          <w:rFonts w:ascii="Arial" w:cs="Arial" w:eastAsia="Arial" w:hAnsi="Arial"/>
          <w:sz w:val="18"/>
          <w:szCs w:val="18"/>
          <w:color w:val="161616"/>
        </w:rPr>
        <w:t xml:space="preserve"> Original </w:t>
      </w:r>
      <w:r>
        <w:rPr>
          <w:rFonts w:ascii="Arial" w:cs="Arial" w:eastAsia="Arial" w:hAnsi="Arial"/>
          <w:sz w:val="18"/>
          <w:szCs w:val="18"/>
          <w:color w:val="313131"/>
        </w:rPr>
        <w:t>Premises and the Expansion</w:t>
      </w:r>
      <w:r>
        <w:rPr>
          <w:rFonts w:ascii="Arial" w:cs="Arial" w:eastAsia="Arial" w:hAnsi="Arial"/>
          <w:sz w:val="18"/>
          <w:szCs w:val="18"/>
          <w:color w:val="161616"/>
        </w:rPr>
        <w:t xml:space="preserve"> Space.</w:t>
      </w:r>
    </w:p>
    <w:p>
      <w:pPr>
        <w:spacing w:after="0" w:line="61" w:lineRule="exact"/>
        <w:rPr>
          <w:rFonts w:ascii="Arial" w:cs="Arial" w:eastAsia="Arial" w:hAnsi="Arial"/>
          <w:sz w:val="18"/>
          <w:szCs w:val="18"/>
          <w:u w:val="single" w:color="auto"/>
          <w:color w:val="2F2F2F"/>
        </w:rPr>
      </w:pPr>
    </w:p>
    <w:p>
      <w:pPr>
        <w:jc w:val="both"/>
        <w:ind w:firstLine="378"/>
        <w:spacing w:after="0" w:line="254" w:lineRule="auto"/>
        <w:tabs>
          <w:tab w:leader="none" w:pos="735" w:val="left"/>
        </w:tabs>
        <w:numPr>
          <w:ilvl w:val="0"/>
          <w:numId w:val="118"/>
        </w:numPr>
        <w:rPr>
          <w:rFonts w:ascii="Arial" w:cs="Arial" w:eastAsia="Arial" w:hAnsi="Arial"/>
          <w:sz w:val="19"/>
          <w:szCs w:val="19"/>
          <w:u w:val="single" w:color="auto"/>
          <w:color w:val="2F2F2F"/>
        </w:rPr>
      </w:pPr>
      <w:r>
        <w:rPr>
          <w:rFonts w:ascii="Arial" w:cs="Arial" w:eastAsia="Arial" w:hAnsi="Arial"/>
          <w:sz w:val="19"/>
          <w:szCs w:val="19"/>
          <w:u w:val="single" w:color="auto"/>
          <w:color w:val="2F2F2F"/>
        </w:rPr>
        <w:t>Hazardous Materials Management Plan.</w:t>
      </w:r>
      <w:r>
        <w:rPr>
          <w:rFonts w:ascii="Arial" w:cs="Arial" w:eastAsia="Arial" w:hAnsi="Arial"/>
          <w:sz w:val="19"/>
          <w:szCs w:val="19"/>
          <w:color w:val="2F2F2F"/>
        </w:rPr>
        <w:t xml:space="preserve"> </w:t>
      </w:r>
      <w:r>
        <w:rPr>
          <w:rFonts w:ascii="Arial" w:cs="Arial" w:eastAsia="Arial" w:hAnsi="Arial"/>
          <w:sz w:val="19"/>
          <w:szCs w:val="19"/>
          <w:color w:val="313131"/>
        </w:rPr>
        <w:t>In furtherance of Tenant's obligations under Article</w:t>
      </w:r>
      <w:r>
        <w:rPr>
          <w:rFonts w:ascii="Arial" w:cs="Arial" w:eastAsia="Arial" w:hAnsi="Arial"/>
          <w:sz w:val="19"/>
          <w:szCs w:val="19"/>
          <w:color w:val="2F2F2F"/>
        </w:rPr>
        <w:t xml:space="preserve"> </w:t>
      </w:r>
      <w:r>
        <w:rPr>
          <w:rFonts w:ascii="Arial" w:cs="Arial" w:eastAsia="Arial" w:hAnsi="Arial"/>
          <w:sz w:val="19"/>
          <w:szCs w:val="19"/>
          <w:color w:val="161616"/>
        </w:rPr>
        <w:t>17</w:t>
      </w:r>
      <w:r>
        <w:rPr>
          <w:rFonts w:ascii="Arial" w:cs="Arial" w:eastAsia="Arial" w:hAnsi="Arial"/>
          <w:sz w:val="19"/>
          <w:szCs w:val="19"/>
          <w:color w:val="2F2F2F"/>
        </w:rPr>
        <w:t xml:space="preserve"> </w:t>
      </w:r>
      <w:r>
        <w:rPr>
          <w:rFonts w:ascii="Arial" w:cs="Arial" w:eastAsia="Arial" w:hAnsi="Arial"/>
          <w:sz w:val="19"/>
          <w:szCs w:val="19"/>
          <w:color w:val="313131"/>
        </w:rPr>
        <w:t>and</w:t>
      </w:r>
      <w:r>
        <w:rPr>
          <w:rFonts w:ascii="Arial" w:cs="Arial" w:eastAsia="Arial" w:hAnsi="Arial"/>
          <w:sz w:val="19"/>
          <w:szCs w:val="19"/>
          <w:color w:val="2F2F2F"/>
        </w:rPr>
        <w:t xml:space="preserve"> </w:t>
      </w:r>
      <w:r>
        <w:rPr>
          <w:rFonts w:ascii="Arial" w:cs="Arial" w:eastAsia="Arial" w:hAnsi="Arial"/>
          <w:sz w:val="19"/>
          <w:szCs w:val="19"/>
          <w:color w:val="161616"/>
        </w:rPr>
        <w:t>Section</w:t>
      </w:r>
      <w:r>
        <w:rPr>
          <w:rFonts w:ascii="Arial" w:cs="Arial" w:eastAsia="Arial" w:hAnsi="Arial"/>
          <w:sz w:val="19"/>
          <w:szCs w:val="19"/>
          <w:color w:val="2F2F2F"/>
        </w:rPr>
        <w:t xml:space="preserve"> </w:t>
      </w:r>
      <w:r>
        <w:rPr>
          <w:rFonts w:ascii="Arial" w:cs="Arial" w:eastAsia="Arial" w:hAnsi="Arial"/>
          <w:sz w:val="19"/>
          <w:szCs w:val="19"/>
          <w:color w:val="313131"/>
        </w:rPr>
        <w:t>18.1 of the</w:t>
      </w:r>
      <w:r>
        <w:rPr>
          <w:rFonts w:ascii="Arial" w:cs="Arial" w:eastAsia="Arial" w:hAnsi="Arial"/>
          <w:sz w:val="19"/>
          <w:szCs w:val="19"/>
          <w:color w:val="2F2F2F"/>
        </w:rPr>
        <w:t xml:space="preserve"> </w:t>
      </w:r>
      <w:r>
        <w:rPr>
          <w:rFonts w:ascii="Arial" w:cs="Arial" w:eastAsia="Arial" w:hAnsi="Arial"/>
          <w:sz w:val="19"/>
          <w:szCs w:val="19"/>
          <w:color w:val="313131"/>
        </w:rPr>
        <w:t xml:space="preserve">Lease, </w:t>
      </w:r>
      <w:r>
        <w:rPr>
          <w:rFonts w:ascii="Arial" w:cs="Arial" w:eastAsia="Arial" w:hAnsi="Arial"/>
          <w:sz w:val="19"/>
          <w:szCs w:val="19"/>
          <w:color w:val="494949"/>
        </w:rPr>
        <w:t>Tenant</w:t>
      </w:r>
      <w:r>
        <w:rPr>
          <w:rFonts w:ascii="Arial" w:cs="Arial" w:eastAsia="Arial" w:hAnsi="Arial"/>
          <w:sz w:val="19"/>
          <w:szCs w:val="19"/>
          <w:color w:val="313131"/>
        </w:rPr>
        <w:t xml:space="preserve"> will comply with the Building's Hazardous Materials Management Plan (as </w:t>
      </w:r>
      <w:r>
        <w:rPr>
          <w:rFonts w:ascii="Arial" w:cs="Arial" w:eastAsia="Arial" w:hAnsi="Arial"/>
          <w:sz w:val="19"/>
          <w:szCs w:val="19"/>
          <w:color w:val="161616"/>
        </w:rPr>
        <w:t>the</w:t>
      </w:r>
      <w:r>
        <w:rPr>
          <w:rFonts w:ascii="Arial" w:cs="Arial" w:eastAsia="Arial" w:hAnsi="Arial"/>
          <w:sz w:val="19"/>
          <w:szCs w:val="19"/>
          <w:color w:val="313131"/>
        </w:rPr>
        <w:t xml:space="preserve"> same may be amended from time </w:t>
      </w:r>
      <w:r>
        <w:rPr>
          <w:rFonts w:ascii="Arial" w:cs="Arial" w:eastAsia="Arial" w:hAnsi="Arial"/>
          <w:sz w:val="19"/>
          <w:szCs w:val="19"/>
          <w:color w:val="161616"/>
        </w:rPr>
        <w:t>to</w:t>
      </w:r>
      <w:r>
        <w:rPr>
          <w:rFonts w:ascii="Arial" w:cs="Arial" w:eastAsia="Arial" w:hAnsi="Arial"/>
          <w:sz w:val="19"/>
          <w:szCs w:val="19"/>
          <w:color w:val="313131"/>
        </w:rPr>
        <w:t xml:space="preserve"> time, the </w:t>
      </w:r>
      <w:r>
        <w:rPr>
          <w:rFonts w:ascii="Arial" w:cs="Arial" w:eastAsia="Arial" w:hAnsi="Arial"/>
          <w:sz w:val="19"/>
          <w:szCs w:val="19"/>
          <w:u w:val="single" w:color="auto"/>
          <w:color w:val="313131"/>
        </w:rPr>
        <w:t>"HMMP")</w:t>
      </w:r>
      <w:r>
        <w:rPr>
          <w:rFonts w:ascii="Arial" w:cs="Arial" w:eastAsia="Arial" w:hAnsi="Arial"/>
          <w:sz w:val="19"/>
          <w:szCs w:val="19"/>
          <w:color w:val="313131"/>
        </w:rPr>
        <w:t xml:space="preserve"> with respect </w:t>
      </w:r>
      <w:r>
        <w:rPr>
          <w:rFonts w:ascii="Arial" w:cs="Arial" w:eastAsia="Arial" w:hAnsi="Arial"/>
          <w:sz w:val="19"/>
          <w:szCs w:val="19"/>
          <w:color w:val="161616"/>
        </w:rPr>
        <w:t>to</w:t>
      </w:r>
      <w:r>
        <w:rPr>
          <w:rFonts w:ascii="Arial" w:cs="Arial" w:eastAsia="Arial" w:hAnsi="Arial"/>
          <w:sz w:val="19"/>
          <w:szCs w:val="19"/>
          <w:color w:val="313131"/>
        </w:rPr>
        <w:t xml:space="preserve"> the safe handling, transportation, storage and removal of Hazardous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37465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540" w:top="366" w:right="719" w:bottom="1440" w:gutter="0" w:footer="0" w:header="0"/>
        </w:sectPr>
      </w:pPr>
    </w:p>
    <w:bookmarkStart w:id="199" w:name="page200"/>
    <w:bookmarkEnd w:id="199"/>
    <w:p>
      <w:pPr>
        <w:jc w:val="both"/>
        <w:ind w:firstLine="373"/>
        <w:spacing w:after="0" w:line="234" w:lineRule="auto"/>
        <w:tabs>
          <w:tab w:leader="none" w:pos="727" w:val="left"/>
        </w:tabs>
        <w:numPr>
          <w:ilvl w:val="0"/>
          <w:numId w:val="119"/>
        </w:numPr>
        <w:rPr>
          <w:rFonts w:ascii="Arial" w:cs="Arial" w:eastAsia="Arial" w:hAnsi="Arial"/>
          <w:sz w:val="20"/>
          <w:szCs w:val="20"/>
          <w:u w:val="single" w:color="auto"/>
          <w:color w:val="2F2F2F"/>
        </w:rPr>
      </w:pPr>
      <w:r>
        <w:rPr>
          <w:rFonts w:ascii="Arial" w:cs="Arial" w:eastAsia="Arial" w:hAnsi="Arial"/>
          <w:sz w:val="20"/>
          <w:szCs w:val="20"/>
          <w:u w:val="single" w:color="auto"/>
          <w:color w:val="2F2F2F"/>
        </w:rPr>
        <w:t>Broker.</w:t>
      </w:r>
      <w:r>
        <w:rPr>
          <w:rFonts w:ascii="Arial" w:cs="Arial" w:eastAsia="Arial" w:hAnsi="Arial"/>
          <w:sz w:val="20"/>
          <w:szCs w:val="20"/>
          <w:color w:val="2F2F2F"/>
        </w:rPr>
        <w:t xml:space="preserve"> </w:t>
      </w:r>
      <w:r>
        <w:rPr>
          <w:rFonts w:ascii="Arial" w:cs="Arial" w:eastAsia="Arial" w:hAnsi="Arial"/>
          <w:sz w:val="20"/>
          <w:szCs w:val="20"/>
          <w:color w:val="313131"/>
        </w:rPr>
        <w:t>Landlord and Tenant each warrants and represents that it has</w:t>
      </w:r>
      <w:r>
        <w:rPr>
          <w:rFonts w:ascii="Arial" w:cs="Arial" w:eastAsia="Arial" w:hAnsi="Arial"/>
          <w:sz w:val="20"/>
          <w:szCs w:val="20"/>
          <w:color w:val="2F2F2F"/>
        </w:rPr>
        <w:t xml:space="preserve"> </w:t>
      </w:r>
      <w:r>
        <w:rPr>
          <w:rFonts w:ascii="Arial" w:cs="Arial" w:eastAsia="Arial" w:hAnsi="Arial"/>
          <w:sz w:val="20"/>
          <w:szCs w:val="20"/>
          <w:color w:val="161616"/>
        </w:rPr>
        <w:t>dealt</w:t>
      </w:r>
      <w:r>
        <w:rPr>
          <w:rFonts w:ascii="Arial" w:cs="Arial" w:eastAsia="Arial" w:hAnsi="Arial"/>
          <w:sz w:val="20"/>
          <w:szCs w:val="20"/>
          <w:color w:val="2F2F2F"/>
        </w:rPr>
        <w:t xml:space="preserve"> </w:t>
      </w:r>
      <w:r>
        <w:rPr>
          <w:rFonts w:ascii="Arial" w:cs="Arial" w:eastAsia="Arial" w:hAnsi="Arial"/>
          <w:sz w:val="20"/>
          <w:szCs w:val="20"/>
          <w:color w:val="313131"/>
        </w:rPr>
        <w:t>with no broker in connection with</w:t>
      </w:r>
      <w:r>
        <w:rPr>
          <w:rFonts w:ascii="Arial" w:cs="Arial" w:eastAsia="Arial" w:hAnsi="Arial"/>
          <w:sz w:val="20"/>
          <w:szCs w:val="20"/>
          <w:color w:val="2F2F2F"/>
        </w:rPr>
        <w:t xml:space="preserve"> </w:t>
      </w:r>
      <w:r>
        <w:rPr>
          <w:rFonts w:ascii="Arial" w:cs="Arial" w:eastAsia="Arial" w:hAnsi="Arial"/>
          <w:sz w:val="20"/>
          <w:szCs w:val="20"/>
          <w:color w:val="161616"/>
        </w:rPr>
        <w:t>this</w:t>
      </w:r>
      <w:r>
        <w:rPr>
          <w:rFonts w:ascii="Arial" w:cs="Arial" w:eastAsia="Arial" w:hAnsi="Arial"/>
          <w:sz w:val="20"/>
          <w:szCs w:val="20"/>
          <w:color w:val="2F2F2F"/>
        </w:rPr>
        <w:t xml:space="preserve"> </w:t>
      </w:r>
      <w:r>
        <w:rPr>
          <w:rFonts w:ascii="Arial" w:cs="Arial" w:eastAsia="Arial" w:hAnsi="Arial"/>
          <w:sz w:val="20"/>
          <w:szCs w:val="20"/>
          <w:color w:val="494949"/>
        </w:rPr>
        <w:t>T</w:t>
      </w:r>
      <w:r>
        <w:rPr>
          <w:rFonts w:ascii="Arial" w:cs="Arial" w:eastAsia="Arial" w:hAnsi="Arial"/>
          <w:sz w:val="20"/>
          <w:szCs w:val="20"/>
          <w:color w:val="313131"/>
        </w:rPr>
        <w:t>hir</w:t>
      </w:r>
      <w:r>
        <w:rPr>
          <w:rFonts w:ascii="Arial" w:cs="Arial" w:eastAsia="Arial" w:hAnsi="Arial"/>
          <w:sz w:val="20"/>
          <w:szCs w:val="20"/>
          <w:color w:val="161616"/>
        </w:rPr>
        <w:t>d</w:t>
      </w:r>
      <w:r>
        <w:rPr>
          <w:rFonts w:ascii="Arial" w:cs="Arial" w:eastAsia="Arial" w:hAnsi="Arial"/>
          <w:sz w:val="20"/>
          <w:szCs w:val="20"/>
          <w:color w:val="2F2F2F"/>
        </w:rPr>
        <w:t xml:space="preserve"> </w:t>
      </w:r>
      <w:r>
        <w:rPr>
          <w:rFonts w:ascii="Arial" w:cs="Arial" w:eastAsia="Arial" w:hAnsi="Arial"/>
          <w:sz w:val="20"/>
          <w:szCs w:val="20"/>
          <w:color w:val="313131"/>
        </w:rPr>
        <w:t xml:space="preserve">Amendment other than CBRE </w:t>
      </w:r>
      <w:r>
        <w:rPr>
          <w:rFonts w:ascii="Arial" w:cs="Arial" w:eastAsia="Arial" w:hAnsi="Arial"/>
          <w:sz w:val="20"/>
          <w:szCs w:val="20"/>
          <w:u w:val="single" w:color="auto"/>
          <w:color w:val="313131"/>
        </w:rPr>
        <w:t>("Broker").</w:t>
      </w:r>
      <w:r>
        <w:rPr>
          <w:rFonts w:ascii="Arial" w:cs="Arial" w:eastAsia="Arial" w:hAnsi="Arial"/>
          <w:sz w:val="20"/>
          <w:szCs w:val="20"/>
          <w:color w:val="313131"/>
        </w:rPr>
        <w:t xml:space="preserve"> Landlord and </w:t>
      </w:r>
      <w:r>
        <w:rPr>
          <w:rFonts w:ascii="Arial" w:cs="Arial" w:eastAsia="Arial" w:hAnsi="Arial"/>
          <w:sz w:val="20"/>
          <w:szCs w:val="20"/>
          <w:color w:val="494949"/>
        </w:rPr>
        <w:t>Tenant</w:t>
      </w:r>
      <w:r>
        <w:rPr>
          <w:rFonts w:ascii="Arial" w:cs="Arial" w:eastAsia="Arial" w:hAnsi="Arial"/>
          <w:sz w:val="20"/>
          <w:szCs w:val="20"/>
          <w:color w:val="313131"/>
        </w:rPr>
        <w:t xml:space="preserve"> each agrees to </w:t>
      </w:r>
      <w:r>
        <w:rPr>
          <w:rFonts w:ascii="Arial" w:cs="Arial" w:eastAsia="Arial" w:hAnsi="Arial"/>
          <w:sz w:val="20"/>
          <w:szCs w:val="20"/>
          <w:color w:val="161616"/>
        </w:rPr>
        <w:t>d</w:t>
      </w:r>
      <w:r>
        <w:rPr>
          <w:rFonts w:ascii="Arial" w:cs="Arial" w:eastAsia="Arial" w:hAnsi="Arial"/>
          <w:sz w:val="20"/>
          <w:szCs w:val="20"/>
          <w:color w:val="313131"/>
        </w:rPr>
        <w:t>efen</w:t>
      </w:r>
      <w:r>
        <w:rPr>
          <w:rFonts w:ascii="Arial" w:cs="Arial" w:eastAsia="Arial" w:hAnsi="Arial"/>
          <w:sz w:val="20"/>
          <w:szCs w:val="20"/>
          <w:color w:val="161616"/>
        </w:rPr>
        <w:t>d</w:t>
      </w:r>
      <w:r>
        <w:rPr>
          <w:rFonts w:ascii="Arial" w:cs="Arial" w:eastAsia="Arial" w:hAnsi="Arial"/>
          <w:sz w:val="20"/>
          <w:szCs w:val="20"/>
          <w:color w:val="494949"/>
        </w:rPr>
        <w:t>,</w:t>
      </w:r>
      <w:r>
        <w:rPr>
          <w:rFonts w:ascii="Arial" w:cs="Arial" w:eastAsia="Arial" w:hAnsi="Arial"/>
          <w:sz w:val="20"/>
          <w:szCs w:val="20"/>
          <w:color w:val="313131"/>
        </w:rPr>
        <w:t xml:space="preserve"> </w:t>
      </w:r>
      <w:r>
        <w:rPr>
          <w:rFonts w:ascii="Arial" w:cs="Arial" w:eastAsia="Arial" w:hAnsi="Arial"/>
          <w:sz w:val="20"/>
          <w:szCs w:val="20"/>
          <w:color w:val="161616"/>
        </w:rPr>
        <w:t>indemnify</w:t>
      </w:r>
      <w:r>
        <w:rPr>
          <w:rFonts w:ascii="Arial" w:cs="Arial" w:eastAsia="Arial" w:hAnsi="Arial"/>
          <w:sz w:val="20"/>
          <w:szCs w:val="20"/>
          <w:color w:val="313131"/>
        </w:rPr>
        <w:t xml:space="preserve"> and save the other harmless from and against any Claims arising as a result of its breach of the foregoing representation and warranty. Landlord shall be solely responsible for </w:t>
      </w:r>
      <w:r>
        <w:rPr>
          <w:rFonts w:ascii="Arial" w:cs="Arial" w:eastAsia="Arial" w:hAnsi="Arial"/>
          <w:sz w:val="20"/>
          <w:szCs w:val="20"/>
          <w:color w:val="161616"/>
        </w:rPr>
        <w:t>the</w:t>
      </w:r>
      <w:r>
        <w:rPr>
          <w:rFonts w:ascii="Arial" w:cs="Arial" w:eastAsia="Arial" w:hAnsi="Arial"/>
          <w:sz w:val="20"/>
          <w:szCs w:val="20"/>
          <w:color w:val="313131"/>
        </w:rPr>
        <w:t xml:space="preserve"> payment of any brokerage commissions to Broker.</w:t>
      </w:r>
    </w:p>
    <w:p>
      <w:pPr>
        <w:spacing w:after="0" w:line="75" w:lineRule="exact"/>
        <w:rPr>
          <w:rFonts w:ascii="Arial" w:cs="Arial" w:eastAsia="Arial" w:hAnsi="Arial"/>
          <w:sz w:val="20"/>
          <w:szCs w:val="20"/>
          <w:u w:val="single" w:color="auto"/>
          <w:color w:val="2F2F2F"/>
        </w:rPr>
      </w:pPr>
    </w:p>
    <w:p>
      <w:pPr>
        <w:jc w:val="both"/>
        <w:ind w:firstLine="373"/>
        <w:spacing w:after="0" w:line="267" w:lineRule="auto"/>
        <w:tabs>
          <w:tab w:leader="none" w:pos="727" w:val="left"/>
        </w:tabs>
        <w:numPr>
          <w:ilvl w:val="0"/>
          <w:numId w:val="119"/>
        </w:numPr>
        <w:rPr>
          <w:rFonts w:ascii="Arial" w:cs="Arial" w:eastAsia="Arial" w:hAnsi="Arial"/>
          <w:sz w:val="18"/>
          <w:szCs w:val="18"/>
          <w:u w:val="single" w:color="auto"/>
          <w:color w:val="2F2F2F"/>
        </w:rPr>
      </w:pPr>
      <w:r>
        <w:rPr>
          <w:rFonts w:ascii="Arial" w:cs="Arial" w:eastAsia="Arial" w:hAnsi="Arial"/>
          <w:sz w:val="18"/>
          <w:szCs w:val="18"/>
          <w:u w:val="single" w:color="auto"/>
          <w:color w:val="2F2F2F"/>
        </w:rPr>
        <w:t>Ratification.</w:t>
      </w:r>
      <w:r>
        <w:rPr>
          <w:rFonts w:ascii="Arial" w:cs="Arial" w:eastAsia="Arial" w:hAnsi="Arial"/>
          <w:sz w:val="18"/>
          <w:szCs w:val="18"/>
          <w:color w:val="2F2F2F"/>
        </w:rPr>
        <w:t xml:space="preserve"> </w:t>
      </w:r>
      <w:r>
        <w:rPr>
          <w:rFonts w:ascii="Arial" w:cs="Arial" w:eastAsia="Arial" w:hAnsi="Arial"/>
          <w:sz w:val="18"/>
          <w:szCs w:val="18"/>
          <w:color w:val="313131"/>
        </w:rPr>
        <w:t>Except as amended hereby, the terms and conditions of the Lease shall remain unaffected. From and after the</w:t>
      </w:r>
      <w:r>
        <w:rPr>
          <w:rFonts w:ascii="Arial" w:cs="Arial" w:eastAsia="Arial" w:hAnsi="Arial"/>
          <w:sz w:val="18"/>
          <w:szCs w:val="18"/>
          <w:color w:val="2F2F2F"/>
        </w:rPr>
        <w:t xml:space="preserve"> </w:t>
      </w:r>
      <w:r>
        <w:rPr>
          <w:rFonts w:ascii="Arial" w:cs="Arial" w:eastAsia="Arial" w:hAnsi="Arial"/>
          <w:sz w:val="18"/>
          <w:szCs w:val="18"/>
          <w:color w:val="313131"/>
        </w:rPr>
        <w:t>date hereof, all references to the Lease shall mean the Lease as amended here</w:t>
      </w:r>
      <w:r>
        <w:rPr>
          <w:rFonts w:ascii="Arial" w:cs="Arial" w:eastAsia="Arial" w:hAnsi="Arial"/>
          <w:sz w:val="18"/>
          <w:szCs w:val="18"/>
          <w:color w:val="161616"/>
        </w:rPr>
        <w:t>b</w:t>
      </w:r>
      <w:r>
        <w:rPr>
          <w:rFonts w:ascii="Arial" w:cs="Arial" w:eastAsia="Arial" w:hAnsi="Arial"/>
          <w:sz w:val="18"/>
          <w:szCs w:val="18"/>
          <w:color w:val="313131"/>
        </w:rPr>
        <w:t>y</w:t>
      </w:r>
      <w:r>
        <w:rPr>
          <w:rFonts w:ascii="Arial" w:cs="Arial" w:eastAsia="Arial" w:hAnsi="Arial"/>
          <w:sz w:val="18"/>
          <w:szCs w:val="18"/>
          <w:color w:val="000000"/>
        </w:rPr>
        <w:t>.</w:t>
      </w:r>
      <w:r>
        <w:rPr>
          <w:rFonts w:ascii="Arial" w:cs="Arial" w:eastAsia="Arial" w:hAnsi="Arial"/>
          <w:sz w:val="18"/>
          <w:szCs w:val="18"/>
          <w:color w:val="313131"/>
        </w:rPr>
        <w:t xml:space="preserve"> Tenant confirms and ratifies that, as of the </w:t>
      </w:r>
      <w:r>
        <w:rPr>
          <w:rFonts w:ascii="Arial" w:cs="Arial" w:eastAsia="Arial" w:hAnsi="Arial"/>
          <w:sz w:val="18"/>
          <w:szCs w:val="18"/>
          <w:color w:val="161616"/>
        </w:rPr>
        <w:t>date</w:t>
      </w:r>
      <w:r>
        <w:rPr>
          <w:rFonts w:ascii="Arial" w:cs="Arial" w:eastAsia="Arial" w:hAnsi="Arial"/>
          <w:sz w:val="18"/>
          <w:szCs w:val="18"/>
          <w:color w:val="313131"/>
        </w:rPr>
        <w:t xml:space="preserve"> hereof and to its actual knowledge, (a) the Lease </w:t>
      </w:r>
      <w:r>
        <w:rPr>
          <w:rFonts w:ascii="Arial" w:cs="Arial" w:eastAsia="Arial" w:hAnsi="Arial"/>
          <w:sz w:val="18"/>
          <w:szCs w:val="18"/>
          <w:color w:val="161616"/>
        </w:rPr>
        <w:t>is</w:t>
      </w:r>
      <w:r>
        <w:rPr>
          <w:rFonts w:ascii="Arial" w:cs="Arial" w:eastAsia="Arial" w:hAnsi="Arial"/>
          <w:sz w:val="18"/>
          <w:szCs w:val="18"/>
          <w:color w:val="313131"/>
        </w:rPr>
        <w:t xml:space="preserve"> and remains in good standing and in full force and effect, and </w:t>
      </w:r>
      <w:r>
        <w:rPr>
          <w:rFonts w:ascii="Arial" w:cs="Arial" w:eastAsia="Arial" w:hAnsi="Arial"/>
          <w:sz w:val="18"/>
          <w:szCs w:val="18"/>
          <w:color w:val="161616"/>
        </w:rPr>
        <w:t>(b) it</w:t>
      </w:r>
      <w:r>
        <w:rPr>
          <w:rFonts w:ascii="Arial" w:cs="Arial" w:eastAsia="Arial" w:hAnsi="Arial"/>
          <w:sz w:val="18"/>
          <w:szCs w:val="18"/>
          <w:color w:val="313131"/>
        </w:rPr>
        <w:t xml:space="preserve"> has no claims, counterclaims, set-offs or </w:t>
      </w:r>
      <w:r>
        <w:rPr>
          <w:rFonts w:ascii="Arial" w:cs="Arial" w:eastAsia="Arial" w:hAnsi="Arial"/>
          <w:sz w:val="18"/>
          <w:szCs w:val="18"/>
          <w:color w:val="161616"/>
        </w:rPr>
        <w:t>defenses</w:t>
      </w:r>
      <w:r>
        <w:rPr>
          <w:rFonts w:ascii="Arial" w:cs="Arial" w:eastAsia="Arial" w:hAnsi="Arial"/>
          <w:sz w:val="18"/>
          <w:szCs w:val="18"/>
          <w:color w:val="313131"/>
        </w:rPr>
        <w:t xml:space="preserve"> against Landlord arising out of the Lease or the </w:t>
      </w:r>
      <w:r>
        <w:rPr>
          <w:rFonts w:ascii="Arial" w:cs="Arial" w:eastAsia="Arial" w:hAnsi="Arial"/>
          <w:sz w:val="18"/>
          <w:szCs w:val="18"/>
          <w:color w:val="161616"/>
        </w:rPr>
        <w:t>Premises</w:t>
      </w:r>
      <w:r>
        <w:rPr>
          <w:rFonts w:ascii="Arial" w:cs="Arial" w:eastAsia="Arial" w:hAnsi="Arial"/>
          <w:sz w:val="18"/>
          <w:szCs w:val="18"/>
          <w:color w:val="313131"/>
        </w:rPr>
        <w:t xml:space="preserve"> or in anyway relating thereto</w:t>
      </w:r>
      <w:r>
        <w:rPr>
          <w:rFonts w:ascii="Arial" w:cs="Arial" w:eastAsia="Arial" w:hAnsi="Arial"/>
          <w:sz w:val="18"/>
          <w:szCs w:val="18"/>
          <w:color w:val="000000"/>
        </w:rPr>
        <w:t>.</w:t>
      </w:r>
    </w:p>
    <w:p>
      <w:pPr>
        <w:spacing w:after="0" w:line="64" w:lineRule="exact"/>
        <w:rPr>
          <w:rFonts w:ascii="Arial" w:cs="Arial" w:eastAsia="Arial" w:hAnsi="Arial"/>
          <w:sz w:val="18"/>
          <w:szCs w:val="18"/>
          <w:u w:val="single" w:color="auto"/>
          <w:color w:val="2F2F2F"/>
        </w:rPr>
      </w:pPr>
    </w:p>
    <w:p>
      <w:pPr>
        <w:jc w:val="both"/>
        <w:ind w:firstLine="373"/>
        <w:spacing w:after="0" w:line="254" w:lineRule="auto"/>
        <w:tabs>
          <w:tab w:leader="none" w:pos="727" w:val="left"/>
        </w:tabs>
        <w:numPr>
          <w:ilvl w:val="0"/>
          <w:numId w:val="119"/>
        </w:numPr>
        <w:rPr>
          <w:rFonts w:ascii="Arial" w:cs="Arial" w:eastAsia="Arial" w:hAnsi="Arial"/>
          <w:sz w:val="18"/>
          <w:szCs w:val="18"/>
          <w:u w:val="single" w:color="auto"/>
          <w:color w:val="2F2F2F"/>
        </w:rPr>
      </w:pPr>
      <w:r>
        <w:rPr>
          <w:rFonts w:ascii="Arial" w:cs="Arial" w:eastAsia="Arial" w:hAnsi="Arial"/>
          <w:sz w:val="18"/>
          <w:szCs w:val="18"/>
          <w:u w:val="single" w:color="auto"/>
          <w:color w:val="2F2F2F"/>
        </w:rPr>
        <w:t>Miscellaneous.</w:t>
      </w:r>
      <w:r>
        <w:rPr>
          <w:rFonts w:ascii="Arial" w:cs="Arial" w:eastAsia="Arial" w:hAnsi="Arial"/>
          <w:sz w:val="18"/>
          <w:szCs w:val="18"/>
          <w:color w:val="2F2F2F"/>
        </w:rPr>
        <w:t xml:space="preserve"> </w:t>
      </w:r>
      <w:r>
        <w:rPr>
          <w:rFonts w:ascii="Arial" w:cs="Arial" w:eastAsia="Arial" w:hAnsi="Arial"/>
          <w:sz w:val="18"/>
          <w:szCs w:val="18"/>
          <w:color w:val="313131"/>
        </w:rPr>
        <w:t>This Third Amendment shall</w:t>
      </w:r>
      <w:r>
        <w:rPr>
          <w:rFonts w:ascii="Arial" w:cs="Arial" w:eastAsia="Arial" w:hAnsi="Arial"/>
          <w:sz w:val="18"/>
          <w:szCs w:val="18"/>
          <w:color w:val="2F2F2F"/>
        </w:rPr>
        <w:t xml:space="preserve"> </w:t>
      </w:r>
      <w:r>
        <w:rPr>
          <w:rFonts w:ascii="Arial" w:cs="Arial" w:eastAsia="Arial" w:hAnsi="Arial"/>
          <w:sz w:val="18"/>
          <w:szCs w:val="18"/>
          <w:color w:val="161616"/>
        </w:rPr>
        <w:t>be</w:t>
      </w:r>
      <w:r>
        <w:rPr>
          <w:rFonts w:ascii="Arial" w:cs="Arial" w:eastAsia="Arial" w:hAnsi="Arial"/>
          <w:sz w:val="18"/>
          <w:szCs w:val="18"/>
          <w:color w:val="2F2F2F"/>
        </w:rPr>
        <w:t xml:space="preserve"> </w:t>
      </w:r>
      <w:r>
        <w:rPr>
          <w:rFonts w:ascii="Arial" w:cs="Arial" w:eastAsia="Arial" w:hAnsi="Arial"/>
          <w:sz w:val="18"/>
          <w:szCs w:val="18"/>
          <w:color w:val="313131"/>
        </w:rPr>
        <w:t>deemed to have</w:t>
      </w:r>
      <w:r>
        <w:rPr>
          <w:rFonts w:ascii="Arial" w:cs="Arial" w:eastAsia="Arial" w:hAnsi="Arial"/>
          <w:sz w:val="18"/>
          <w:szCs w:val="18"/>
          <w:color w:val="2F2F2F"/>
        </w:rPr>
        <w:t xml:space="preserve"> </w:t>
      </w:r>
      <w:r>
        <w:rPr>
          <w:rFonts w:ascii="Arial" w:cs="Arial" w:eastAsia="Arial" w:hAnsi="Arial"/>
          <w:sz w:val="18"/>
          <w:szCs w:val="18"/>
          <w:color w:val="161616"/>
        </w:rPr>
        <w:t>been</w:t>
      </w:r>
      <w:r>
        <w:rPr>
          <w:rFonts w:ascii="Arial" w:cs="Arial" w:eastAsia="Arial" w:hAnsi="Arial"/>
          <w:sz w:val="18"/>
          <w:szCs w:val="18"/>
          <w:color w:val="2F2F2F"/>
        </w:rPr>
        <w:t xml:space="preserve"> </w:t>
      </w:r>
      <w:r>
        <w:rPr>
          <w:rFonts w:ascii="Arial" w:cs="Arial" w:eastAsia="Arial" w:hAnsi="Arial"/>
          <w:sz w:val="18"/>
          <w:szCs w:val="18"/>
          <w:color w:val="313131"/>
        </w:rPr>
        <w:t>executed and delivered within the Commonwealth of</w:t>
      </w:r>
      <w:r>
        <w:rPr>
          <w:rFonts w:ascii="Arial" w:cs="Arial" w:eastAsia="Arial" w:hAnsi="Arial"/>
          <w:sz w:val="18"/>
          <w:szCs w:val="18"/>
          <w:color w:val="2F2F2F"/>
        </w:rPr>
        <w:t xml:space="preserve"> </w:t>
      </w:r>
      <w:r>
        <w:rPr>
          <w:rFonts w:ascii="Arial" w:cs="Arial" w:eastAsia="Arial" w:hAnsi="Arial"/>
          <w:sz w:val="18"/>
          <w:szCs w:val="18"/>
          <w:color w:val="161616"/>
        </w:rPr>
        <w:t xml:space="preserve">Massachusetts, </w:t>
      </w:r>
      <w:r>
        <w:rPr>
          <w:rFonts w:ascii="Arial" w:cs="Arial" w:eastAsia="Arial" w:hAnsi="Arial"/>
          <w:sz w:val="18"/>
          <w:szCs w:val="18"/>
          <w:color w:val="313131"/>
        </w:rPr>
        <w:t>and the rights and obligations of Landlord and Tenant hereunder shall be construed and enforced in accordance with,</w:t>
      </w:r>
      <w:r>
        <w:rPr>
          <w:rFonts w:ascii="Arial" w:cs="Arial" w:eastAsia="Arial" w:hAnsi="Arial"/>
          <w:sz w:val="18"/>
          <w:szCs w:val="18"/>
          <w:color w:val="161616"/>
        </w:rPr>
        <w:t xml:space="preserve"> </w:t>
      </w:r>
      <w:r>
        <w:rPr>
          <w:rFonts w:ascii="Arial" w:cs="Arial" w:eastAsia="Arial" w:hAnsi="Arial"/>
          <w:sz w:val="18"/>
          <w:szCs w:val="18"/>
          <w:color w:val="313131"/>
        </w:rPr>
        <w:t xml:space="preserve">and governed by, the </w:t>
      </w:r>
      <w:r>
        <w:rPr>
          <w:rFonts w:ascii="Arial" w:cs="Arial" w:eastAsia="Arial" w:hAnsi="Arial"/>
          <w:sz w:val="18"/>
          <w:szCs w:val="18"/>
          <w:color w:val="161616"/>
        </w:rPr>
        <w:t>laws</w:t>
      </w:r>
      <w:r>
        <w:rPr>
          <w:rFonts w:ascii="Arial" w:cs="Arial" w:eastAsia="Arial" w:hAnsi="Arial"/>
          <w:sz w:val="18"/>
          <w:szCs w:val="18"/>
          <w:color w:val="313131"/>
        </w:rPr>
        <w:t xml:space="preserve"> of the Commonwealth of Massachusetts without regard </w:t>
      </w:r>
      <w:r>
        <w:rPr>
          <w:rFonts w:ascii="Arial" w:cs="Arial" w:eastAsia="Arial" w:hAnsi="Arial"/>
          <w:sz w:val="18"/>
          <w:szCs w:val="18"/>
          <w:color w:val="494949"/>
        </w:rPr>
        <w:t>to</w:t>
      </w:r>
      <w:r>
        <w:rPr>
          <w:rFonts w:ascii="Arial" w:cs="Arial" w:eastAsia="Arial" w:hAnsi="Arial"/>
          <w:sz w:val="18"/>
          <w:szCs w:val="18"/>
          <w:color w:val="313131"/>
        </w:rPr>
        <w:t xml:space="preserve"> the </w:t>
      </w:r>
      <w:r>
        <w:rPr>
          <w:rFonts w:ascii="Arial" w:cs="Arial" w:eastAsia="Arial" w:hAnsi="Arial"/>
          <w:sz w:val="18"/>
          <w:szCs w:val="18"/>
          <w:color w:val="161616"/>
        </w:rPr>
        <w:t>laws</w:t>
      </w:r>
      <w:r>
        <w:rPr>
          <w:rFonts w:ascii="Arial" w:cs="Arial" w:eastAsia="Arial" w:hAnsi="Arial"/>
          <w:sz w:val="18"/>
          <w:szCs w:val="18"/>
          <w:color w:val="313131"/>
        </w:rPr>
        <w:t xml:space="preserve"> governing conflicts of laws. If any term of this Third </w:t>
      </w:r>
      <w:r>
        <w:rPr>
          <w:rFonts w:ascii="Arial" w:cs="Arial" w:eastAsia="Arial" w:hAnsi="Arial"/>
          <w:sz w:val="18"/>
          <w:szCs w:val="18"/>
          <w:color w:val="161616"/>
        </w:rPr>
        <w:t>Amendment</w:t>
      </w:r>
      <w:r>
        <w:rPr>
          <w:rFonts w:ascii="Arial" w:cs="Arial" w:eastAsia="Arial" w:hAnsi="Arial"/>
          <w:sz w:val="18"/>
          <w:szCs w:val="18"/>
          <w:color w:val="313131"/>
        </w:rPr>
        <w:t xml:space="preserve"> or the application thereof to any </w:t>
      </w:r>
      <w:r>
        <w:rPr>
          <w:rFonts w:ascii="Arial" w:cs="Arial" w:eastAsia="Arial" w:hAnsi="Arial"/>
          <w:sz w:val="18"/>
          <w:szCs w:val="18"/>
          <w:color w:val="161616"/>
        </w:rPr>
        <w:t>person</w:t>
      </w:r>
      <w:r>
        <w:rPr>
          <w:rFonts w:ascii="Arial" w:cs="Arial" w:eastAsia="Arial" w:hAnsi="Arial"/>
          <w:sz w:val="18"/>
          <w:szCs w:val="18"/>
          <w:color w:val="313131"/>
        </w:rPr>
        <w:t xml:space="preserve"> or circumstances shall be invalid and unenforceable, the remaining provisions of this Third Amendment, the application of such term to persons or </w:t>
      </w:r>
      <w:r>
        <w:rPr>
          <w:rFonts w:ascii="Arial" w:cs="Arial" w:eastAsia="Arial" w:hAnsi="Arial"/>
          <w:sz w:val="18"/>
          <w:szCs w:val="18"/>
          <w:color w:val="161616"/>
        </w:rPr>
        <w:t>circumstances</w:t>
      </w:r>
      <w:r>
        <w:rPr>
          <w:rFonts w:ascii="Arial" w:cs="Arial" w:eastAsia="Arial" w:hAnsi="Arial"/>
          <w:sz w:val="18"/>
          <w:szCs w:val="18"/>
          <w:color w:val="313131"/>
        </w:rPr>
        <w:t xml:space="preserve"> other </w:t>
      </w:r>
      <w:r>
        <w:rPr>
          <w:rFonts w:ascii="Arial" w:cs="Arial" w:eastAsia="Arial" w:hAnsi="Arial"/>
          <w:sz w:val="18"/>
          <w:szCs w:val="18"/>
          <w:color w:val="161616"/>
        </w:rPr>
        <w:t>than</w:t>
      </w:r>
      <w:r>
        <w:rPr>
          <w:rFonts w:ascii="Arial" w:cs="Arial" w:eastAsia="Arial" w:hAnsi="Arial"/>
          <w:sz w:val="18"/>
          <w:szCs w:val="18"/>
          <w:color w:val="313131"/>
        </w:rPr>
        <w:t xml:space="preserve"> those as to </w:t>
      </w:r>
      <w:r>
        <w:rPr>
          <w:rFonts w:ascii="Arial" w:cs="Arial" w:eastAsia="Arial" w:hAnsi="Arial"/>
          <w:sz w:val="18"/>
          <w:szCs w:val="18"/>
          <w:color w:val="161616"/>
        </w:rPr>
        <w:t>which</w:t>
      </w:r>
      <w:r>
        <w:rPr>
          <w:rFonts w:ascii="Arial" w:cs="Arial" w:eastAsia="Arial" w:hAnsi="Arial"/>
          <w:sz w:val="18"/>
          <w:szCs w:val="18"/>
          <w:color w:val="313131"/>
        </w:rPr>
        <w:t xml:space="preserve"> it is invalid or unenforceable, shall not be affected. This </w:t>
      </w:r>
      <w:r>
        <w:rPr>
          <w:rFonts w:ascii="Arial" w:cs="Arial" w:eastAsia="Arial" w:hAnsi="Arial"/>
          <w:sz w:val="18"/>
          <w:szCs w:val="18"/>
          <w:color w:val="494949"/>
        </w:rPr>
        <w:t>T</w:t>
      </w:r>
      <w:r>
        <w:rPr>
          <w:rFonts w:ascii="Arial" w:cs="Arial" w:eastAsia="Arial" w:hAnsi="Arial"/>
          <w:sz w:val="18"/>
          <w:szCs w:val="18"/>
          <w:color w:val="313131"/>
        </w:rPr>
        <w:t>hir</w:t>
      </w:r>
      <w:r>
        <w:rPr>
          <w:rFonts w:ascii="Arial" w:cs="Arial" w:eastAsia="Arial" w:hAnsi="Arial"/>
          <w:sz w:val="18"/>
          <w:szCs w:val="18"/>
          <w:color w:val="161616"/>
        </w:rPr>
        <w:t>d</w:t>
      </w:r>
      <w:r>
        <w:rPr>
          <w:rFonts w:ascii="Arial" w:cs="Arial" w:eastAsia="Arial" w:hAnsi="Arial"/>
          <w:sz w:val="18"/>
          <w:szCs w:val="18"/>
          <w:color w:val="313131"/>
        </w:rPr>
        <w:t xml:space="preserve"> Amendment is binding upon and shall inure to the </w:t>
      </w:r>
      <w:r>
        <w:rPr>
          <w:rFonts w:ascii="Arial" w:cs="Arial" w:eastAsia="Arial" w:hAnsi="Arial"/>
          <w:sz w:val="18"/>
          <w:szCs w:val="18"/>
          <w:color w:val="161616"/>
        </w:rPr>
        <w:t>benefit</w:t>
      </w:r>
      <w:r>
        <w:rPr>
          <w:rFonts w:ascii="Arial" w:cs="Arial" w:eastAsia="Arial" w:hAnsi="Arial"/>
          <w:sz w:val="18"/>
          <w:szCs w:val="18"/>
          <w:color w:val="313131"/>
        </w:rPr>
        <w:t xml:space="preserve"> of Landlord and </w:t>
      </w:r>
      <w:r>
        <w:rPr>
          <w:rFonts w:ascii="Arial" w:cs="Arial" w:eastAsia="Arial" w:hAnsi="Arial"/>
          <w:sz w:val="18"/>
          <w:szCs w:val="18"/>
          <w:color w:val="494949"/>
        </w:rPr>
        <w:t>T</w:t>
      </w:r>
      <w:r>
        <w:rPr>
          <w:rFonts w:ascii="Arial" w:cs="Arial" w:eastAsia="Arial" w:hAnsi="Arial"/>
          <w:sz w:val="18"/>
          <w:szCs w:val="18"/>
          <w:color w:val="313131"/>
        </w:rPr>
        <w:t>enan</w:t>
      </w:r>
      <w:r>
        <w:rPr>
          <w:rFonts w:ascii="Arial" w:cs="Arial" w:eastAsia="Arial" w:hAnsi="Arial"/>
          <w:sz w:val="18"/>
          <w:szCs w:val="18"/>
          <w:color w:val="161616"/>
        </w:rPr>
        <w:t>t</w:t>
      </w:r>
      <w:r>
        <w:rPr>
          <w:rFonts w:ascii="Arial" w:cs="Arial" w:eastAsia="Arial" w:hAnsi="Arial"/>
          <w:sz w:val="18"/>
          <w:szCs w:val="18"/>
          <w:color w:val="494949"/>
        </w:rPr>
        <w:t xml:space="preserve"> </w:t>
      </w:r>
      <w:r>
        <w:rPr>
          <w:rFonts w:ascii="Arial" w:cs="Arial" w:eastAsia="Arial" w:hAnsi="Arial"/>
          <w:sz w:val="18"/>
          <w:szCs w:val="18"/>
          <w:color w:val="313131"/>
        </w:rPr>
        <w:t>and their respective successors and assigns. Each party has cooperated</w:t>
      </w:r>
      <w:r>
        <w:rPr>
          <w:rFonts w:ascii="Arial" w:cs="Arial" w:eastAsia="Arial" w:hAnsi="Arial"/>
          <w:sz w:val="18"/>
          <w:szCs w:val="18"/>
          <w:color w:val="494949"/>
        </w:rPr>
        <w:t xml:space="preserve"> </w:t>
      </w:r>
      <w:r>
        <w:rPr>
          <w:rFonts w:ascii="Arial" w:cs="Arial" w:eastAsia="Arial" w:hAnsi="Arial"/>
          <w:sz w:val="18"/>
          <w:szCs w:val="18"/>
          <w:color w:val="161616"/>
        </w:rPr>
        <w:t>in</w:t>
      </w:r>
      <w:r>
        <w:rPr>
          <w:rFonts w:ascii="Arial" w:cs="Arial" w:eastAsia="Arial" w:hAnsi="Arial"/>
          <w:sz w:val="18"/>
          <w:szCs w:val="18"/>
          <w:color w:val="494949"/>
        </w:rPr>
        <w:t xml:space="preserve"> </w:t>
      </w:r>
      <w:r>
        <w:rPr>
          <w:rFonts w:ascii="Arial" w:cs="Arial" w:eastAsia="Arial" w:hAnsi="Arial"/>
          <w:sz w:val="18"/>
          <w:szCs w:val="18"/>
          <w:color w:val="313131"/>
        </w:rPr>
        <w:t>the drafting and preparation of this Third</w:t>
      </w:r>
      <w:r>
        <w:rPr>
          <w:rFonts w:ascii="Arial" w:cs="Arial" w:eastAsia="Arial" w:hAnsi="Arial"/>
          <w:sz w:val="18"/>
          <w:szCs w:val="18"/>
          <w:color w:val="494949"/>
        </w:rPr>
        <w:t xml:space="preserve"> </w:t>
      </w:r>
      <w:r>
        <w:rPr>
          <w:rFonts w:ascii="Arial" w:cs="Arial" w:eastAsia="Arial" w:hAnsi="Arial"/>
          <w:sz w:val="18"/>
          <w:szCs w:val="18"/>
          <w:color w:val="161616"/>
        </w:rPr>
        <w:t xml:space="preserve">Amendment </w:t>
      </w:r>
      <w:r>
        <w:rPr>
          <w:rFonts w:ascii="Arial" w:cs="Arial" w:eastAsia="Arial" w:hAnsi="Arial"/>
          <w:sz w:val="18"/>
          <w:szCs w:val="18"/>
          <w:color w:val="313131"/>
        </w:rPr>
        <w:t>and, therefore,</w:t>
      </w:r>
      <w:r>
        <w:rPr>
          <w:rFonts w:ascii="Arial" w:cs="Arial" w:eastAsia="Arial" w:hAnsi="Arial"/>
          <w:sz w:val="18"/>
          <w:szCs w:val="18"/>
          <w:color w:val="161616"/>
        </w:rPr>
        <w:t xml:space="preserve"> in </w:t>
      </w:r>
      <w:r>
        <w:rPr>
          <w:rFonts w:ascii="Arial" w:cs="Arial" w:eastAsia="Arial" w:hAnsi="Arial"/>
          <w:sz w:val="18"/>
          <w:szCs w:val="18"/>
          <w:color w:val="313131"/>
        </w:rPr>
        <w:t>any construction to be made of this Third</w:t>
      </w:r>
      <w:r>
        <w:rPr>
          <w:rFonts w:ascii="Arial" w:cs="Arial" w:eastAsia="Arial" w:hAnsi="Arial"/>
          <w:sz w:val="18"/>
          <w:szCs w:val="18"/>
          <w:color w:val="161616"/>
        </w:rPr>
        <w:t xml:space="preserve"> Amendment, </w:t>
      </w:r>
      <w:r>
        <w:rPr>
          <w:rFonts w:ascii="Arial" w:cs="Arial" w:eastAsia="Arial" w:hAnsi="Arial"/>
          <w:sz w:val="18"/>
          <w:szCs w:val="18"/>
          <w:color w:val="313131"/>
        </w:rPr>
        <w:t>the same shall not be construed against either</w:t>
      </w:r>
      <w:r>
        <w:rPr>
          <w:rFonts w:ascii="Arial" w:cs="Arial" w:eastAsia="Arial" w:hAnsi="Arial"/>
          <w:sz w:val="18"/>
          <w:szCs w:val="18"/>
          <w:color w:val="161616"/>
        </w:rPr>
        <w:t xml:space="preserve"> </w:t>
      </w:r>
      <w:r>
        <w:rPr>
          <w:rFonts w:ascii="Arial" w:cs="Arial" w:eastAsia="Arial" w:hAnsi="Arial"/>
          <w:sz w:val="18"/>
          <w:szCs w:val="18"/>
          <w:color w:val="313131"/>
        </w:rPr>
        <w:t>party</w:t>
      </w:r>
      <w:r>
        <w:rPr>
          <w:rFonts w:ascii="Arial" w:cs="Arial" w:eastAsia="Arial" w:hAnsi="Arial"/>
          <w:sz w:val="18"/>
          <w:szCs w:val="18"/>
          <w:color w:val="000000"/>
        </w:rPr>
        <w:t>.</w:t>
      </w:r>
      <w:r>
        <w:rPr>
          <w:rFonts w:ascii="Arial" w:cs="Arial" w:eastAsia="Arial" w:hAnsi="Arial"/>
          <w:sz w:val="18"/>
          <w:szCs w:val="18"/>
          <w:color w:val="313131"/>
        </w:rPr>
        <w:t xml:space="preserve"> In the event of litigation relating to this Third </w:t>
      </w:r>
      <w:r>
        <w:rPr>
          <w:rFonts w:ascii="Arial" w:cs="Arial" w:eastAsia="Arial" w:hAnsi="Arial"/>
          <w:sz w:val="18"/>
          <w:szCs w:val="18"/>
          <w:color w:val="161616"/>
        </w:rPr>
        <w:t>A</w:t>
      </w:r>
      <w:r>
        <w:rPr>
          <w:rFonts w:ascii="Arial" w:cs="Arial" w:eastAsia="Arial" w:hAnsi="Arial"/>
          <w:sz w:val="18"/>
          <w:szCs w:val="18"/>
          <w:color w:val="313131"/>
        </w:rPr>
        <w:t>men</w:t>
      </w:r>
      <w:r>
        <w:rPr>
          <w:rFonts w:ascii="Arial" w:cs="Arial" w:eastAsia="Arial" w:hAnsi="Arial"/>
          <w:sz w:val="18"/>
          <w:szCs w:val="18"/>
          <w:color w:val="161616"/>
        </w:rPr>
        <w:t>d</w:t>
      </w:r>
      <w:r>
        <w:rPr>
          <w:rFonts w:ascii="Arial" w:cs="Arial" w:eastAsia="Arial" w:hAnsi="Arial"/>
          <w:sz w:val="18"/>
          <w:szCs w:val="18"/>
          <w:color w:val="313131"/>
        </w:rPr>
        <w:t>ment</w:t>
      </w:r>
      <w:r>
        <w:rPr>
          <w:rFonts w:ascii="Arial" w:cs="Arial" w:eastAsia="Arial" w:hAnsi="Arial"/>
          <w:sz w:val="18"/>
          <w:szCs w:val="18"/>
          <w:color w:val="494949"/>
        </w:rPr>
        <w:t>,</w:t>
      </w:r>
      <w:r>
        <w:rPr>
          <w:rFonts w:ascii="Arial" w:cs="Arial" w:eastAsia="Arial" w:hAnsi="Arial"/>
          <w:sz w:val="18"/>
          <w:szCs w:val="18"/>
          <w:color w:val="313131"/>
        </w:rPr>
        <w:t xml:space="preserve"> the prevailing party shall be entitled to reimbursement from the other party of </w:t>
      </w:r>
      <w:r>
        <w:rPr>
          <w:rFonts w:ascii="Arial" w:cs="Arial" w:eastAsia="Arial" w:hAnsi="Arial"/>
          <w:sz w:val="18"/>
          <w:szCs w:val="18"/>
          <w:color w:val="161616"/>
        </w:rPr>
        <w:t>its</w:t>
      </w:r>
      <w:r>
        <w:rPr>
          <w:rFonts w:ascii="Arial" w:cs="Arial" w:eastAsia="Arial" w:hAnsi="Arial"/>
          <w:sz w:val="18"/>
          <w:szCs w:val="18"/>
          <w:color w:val="313131"/>
        </w:rPr>
        <w:t xml:space="preserve"> reasonable attorneys' fees and costs. This Third </w:t>
      </w:r>
      <w:r>
        <w:rPr>
          <w:rFonts w:ascii="Arial" w:cs="Arial" w:eastAsia="Arial" w:hAnsi="Arial"/>
          <w:sz w:val="18"/>
          <w:szCs w:val="18"/>
          <w:color w:val="161616"/>
        </w:rPr>
        <w:t>Amendment</w:t>
      </w:r>
      <w:r>
        <w:rPr>
          <w:rFonts w:ascii="Arial" w:cs="Arial" w:eastAsia="Arial" w:hAnsi="Arial"/>
          <w:sz w:val="18"/>
          <w:szCs w:val="18"/>
          <w:color w:val="313131"/>
        </w:rPr>
        <w:t xml:space="preserve"> constitutes the entire agreement of the parties with respect to the subject matter hereof and supersedes all </w:t>
      </w:r>
      <w:r>
        <w:rPr>
          <w:rFonts w:ascii="Arial" w:cs="Arial" w:eastAsia="Arial" w:hAnsi="Arial"/>
          <w:sz w:val="18"/>
          <w:szCs w:val="18"/>
          <w:color w:val="2D2D2D"/>
        </w:rPr>
        <w:t>prior and contemporaneous oral and written agreements and discussions, and</w:t>
      </w:r>
      <w:r>
        <w:rPr>
          <w:rFonts w:ascii="Arial" w:cs="Arial" w:eastAsia="Arial" w:hAnsi="Arial"/>
          <w:sz w:val="18"/>
          <w:szCs w:val="18"/>
          <w:color w:val="313131"/>
        </w:rPr>
        <w:t xml:space="preserve"> </w:t>
      </w:r>
      <w:r>
        <w:rPr>
          <w:rFonts w:ascii="Arial" w:cs="Arial" w:eastAsia="Arial" w:hAnsi="Arial"/>
          <w:sz w:val="18"/>
          <w:szCs w:val="18"/>
          <w:color w:val="2D2D2D"/>
        </w:rPr>
        <w:t xml:space="preserve">may not </w:t>
      </w:r>
      <w:r>
        <w:rPr>
          <w:rFonts w:ascii="Arial" w:cs="Arial" w:eastAsia="Arial" w:hAnsi="Arial"/>
          <w:sz w:val="18"/>
          <w:szCs w:val="18"/>
          <w:color w:val="151515"/>
        </w:rPr>
        <w:t>be</w:t>
      </w:r>
      <w:r>
        <w:rPr>
          <w:rFonts w:ascii="Arial" w:cs="Arial" w:eastAsia="Arial" w:hAnsi="Arial"/>
          <w:sz w:val="18"/>
          <w:szCs w:val="18"/>
          <w:color w:val="2D2D2D"/>
        </w:rPr>
        <w:t xml:space="preserve"> amended, waived, </w:t>
      </w:r>
      <w:r>
        <w:rPr>
          <w:rFonts w:ascii="Arial" w:cs="Arial" w:eastAsia="Arial" w:hAnsi="Arial"/>
          <w:sz w:val="18"/>
          <w:szCs w:val="18"/>
          <w:color w:val="151515"/>
        </w:rPr>
        <w:t>discharged</w:t>
      </w:r>
      <w:r>
        <w:rPr>
          <w:rFonts w:ascii="Arial" w:cs="Arial" w:eastAsia="Arial" w:hAnsi="Arial"/>
          <w:sz w:val="18"/>
          <w:szCs w:val="18"/>
          <w:color w:val="2D2D2D"/>
        </w:rPr>
        <w:t xml:space="preserve"> or terminated </w:t>
      </w:r>
      <w:r>
        <w:rPr>
          <w:rFonts w:ascii="Arial" w:cs="Arial" w:eastAsia="Arial" w:hAnsi="Arial"/>
          <w:sz w:val="18"/>
          <w:szCs w:val="18"/>
          <w:color w:val="3B3B3B"/>
        </w:rPr>
        <w:t>except</w:t>
      </w:r>
      <w:r>
        <w:rPr>
          <w:rFonts w:ascii="Arial" w:cs="Arial" w:eastAsia="Arial" w:hAnsi="Arial"/>
          <w:sz w:val="18"/>
          <w:szCs w:val="18"/>
          <w:color w:val="2D2D2D"/>
        </w:rPr>
        <w:t xml:space="preserve"> by a written instrument signed </w:t>
      </w:r>
      <w:r>
        <w:rPr>
          <w:rFonts w:ascii="Arial" w:cs="Arial" w:eastAsia="Arial" w:hAnsi="Arial"/>
          <w:sz w:val="18"/>
          <w:szCs w:val="18"/>
          <w:color w:val="151515"/>
        </w:rPr>
        <w:t>by</w:t>
      </w:r>
      <w:r>
        <w:rPr>
          <w:rFonts w:ascii="Arial" w:cs="Arial" w:eastAsia="Arial" w:hAnsi="Arial"/>
          <w:sz w:val="18"/>
          <w:szCs w:val="18"/>
          <w:color w:val="2D2D2D"/>
        </w:rPr>
        <w:t xml:space="preserve"> all the </w:t>
      </w:r>
      <w:r>
        <w:rPr>
          <w:rFonts w:ascii="Arial" w:cs="Arial" w:eastAsia="Arial" w:hAnsi="Arial"/>
          <w:sz w:val="18"/>
          <w:szCs w:val="18"/>
          <w:color w:val="151515"/>
        </w:rPr>
        <w:t>parties</w:t>
      </w:r>
      <w:r>
        <w:rPr>
          <w:rFonts w:ascii="Arial" w:cs="Arial" w:eastAsia="Arial" w:hAnsi="Arial"/>
          <w:sz w:val="18"/>
          <w:szCs w:val="18"/>
          <w:color w:val="2D2D2D"/>
        </w:rPr>
        <w:t xml:space="preserve"> hereto</w:t>
      </w:r>
      <w:r>
        <w:rPr>
          <w:rFonts w:ascii="Arial" w:cs="Arial" w:eastAsia="Arial" w:hAnsi="Arial"/>
          <w:sz w:val="18"/>
          <w:szCs w:val="18"/>
          <w:color w:val="000000"/>
        </w:rPr>
        <w:t>.</w:t>
      </w:r>
      <w:r>
        <w:rPr>
          <w:rFonts w:ascii="Arial" w:cs="Arial" w:eastAsia="Arial" w:hAnsi="Arial"/>
          <w:sz w:val="18"/>
          <w:szCs w:val="18"/>
          <w:color w:val="2D2D2D"/>
        </w:rPr>
        <w:t xml:space="preserve"> A facsimile, PDF or other electronic </w:t>
      </w:r>
      <w:r>
        <w:rPr>
          <w:rFonts w:ascii="Arial" w:cs="Arial" w:eastAsia="Arial" w:hAnsi="Arial"/>
          <w:sz w:val="18"/>
          <w:szCs w:val="18"/>
          <w:color w:val="3B3B3B"/>
        </w:rPr>
        <w:t>signature</w:t>
      </w:r>
      <w:r>
        <w:rPr>
          <w:rFonts w:ascii="Arial" w:cs="Arial" w:eastAsia="Arial" w:hAnsi="Arial"/>
          <w:sz w:val="18"/>
          <w:szCs w:val="18"/>
          <w:color w:val="2D2D2D"/>
        </w:rPr>
        <w:t xml:space="preserve"> on this Third </w:t>
      </w:r>
      <w:r>
        <w:rPr>
          <w:rFonts w:ascii="Arial" w:cs="Arial" w:eastAsia="Arial" w:hAnsi="Arial"/>
          <w:sz w:val="18"/>
          <w:szCs w:val="18"/>
          <w:color w:val="151515"/>
        </w:rPr>
        <w:t>Amendment</w:t>
      </w:r>
      <w:r>
        <w:rPr>
          <w:rFonts w:ascii="Arial" w:cs="Arial" w:eastAsia="Arial" w:hAnsi="Arial"/>
          <w:sz w:val="18"/>
          <w:szCs w:val="18"/>
          <w:color w:val="2D2D2D"/>
        </w:rPr>
        <w:t xml:space="preserve"> shall be </w:t>
      </w:r>
      <w:r>
        <w:rPr>
          <w:rFonts w:ascii="Arial" w:cs="Arial" w:eastAsia="Arial" w:hAnsi="Arial"/>
          <w:sz w:val="18"/>
          <w:szCs w:val="18"/>
          <w:color w:val="3B3B3B"/>
        </w:rPr>
        <w:t>equivalent</w:t>
      </w:r>
      <w:r>
        <w:rPr>
          <w:rFonts w:ascii="Arial" w:cs="Arial" w:eastAsia="Arial" w:hAnsi="Arial"/>
          <w:sz w:val="18"/>
          <w:szCs w:val="18"/>
          <w:color w:val="2D2D2D"/>
        </w:rPr>
        <w:t xml:space="preserve"> to, and have </w:t>
      </w:r>
      <w:r>
        <w:rPr>
          <w:rFonts w:ascii="Arial" w:cs="Arial" w:eastAsia="Arial" w:hAnsi="Arial"/>
          <w:sz w:val="18"/>
          <w:szCs w:val="18"/>
          <w:color w:val="3B3B3B"/>
        </w:rPr>
        <w:t>the</w:t>
      </w:r>
      <w:r>
        <w:rPr>
          <w:rFonts w:ascii="Arial" w:cs="Arial" w:eastAsia="Arial" w:hAnsi="Arial"/>
          <w:sz w:val="18"/>
          <w:szCs w:val="18"/>
          <w:color w:val="2D2D2D"/>
        </w:rPr>
        <w:t xml:space="preserve"> same force and </w:t>
      </w:r>
      <w:r>
        <w:rPr>
          <w:rFonts w:ascii="Arial" w:cs="Arial" w:eastAsia="Arial" w:hAnsi="Arial"/>
          <w:sz w:val="18"/>
          <w:szCs w:val="18"/>
          <w:color w:val="3B3B3B"/>
        </w:rPr>
        <w:t>effect</w:t>
      </w:r>
      <w:r>
        <w:rPr>
          <w:rFonts w:ascii="Arial" w:cs="Arial" w:eastAsia="Arial" w:hAnsi="Arial"/>
          <w:sz w:val="18"/>
          <w:szCs w:val="18"/>
          <w:color w:val="2D2D2D"/>
        </w:rPr>
        <w:t xml:space="preserve"> as, an original signature. </w:t>
      </w:r>
      <w:r>
        <w:rPr>
          <w:rFonts w:ascii="Arial" w:cs="Arial" w:eastAsia="Arial" w:hAnsi="Arial"/>
          <w:sz w:val="18"/>
          <w:szCs w:val="18"/>
          <w:color w:val="3B3B3B"/>
        </w:rPr>
        <w:t>This</w:t>
      </w:r>
      <w:r>
        <w:rPr>
          <w:rFonts w:ascii="Arial" w:cs="Arial" w:eastAsia="Arial" w:hAnsi="Arial"/>
          <w:sz w:val="18"/>
          <w:szCs w:val="18"/>
          <w:color w:val="2D2D2D"/>
        </w:rPr>
        <w:t xml:space="preserve"> Third Amendment may </w:t>
      </w:r>
      <w:r>
        <w:rPr>
          <w:rFonts w:ascii="Arial" w:cs="Arial" w:eastAsia="Arial" w:hAnsi="Arial"/>
          <w:sz w:val="18"/>
          <w:szCs w:val="18"/>
          <w:color w:val="151515"/>
        </w:rPr>
        <w:t>be</w:t>
      </w:r>
      <w:r>
        <w:rPr>
          <w:rFonts w:ascii="Arial" w:cs="Arial" w:eastAsia="Arial" w:hAnsi="Arial"/>
          <w:sz w:val="18"/>
          <w:szCs w:val="18"/>
          <w:color w:val="2D2D2D"/>
        </w:rPr>
        <w:t xml:space="preserve"> </w:t>
      </w:r>
      <w:r>
        <w:rPr>
          <w:rFonts w:ascii="Arial" w:cs="Arial" w:eastAsia="Arial" w:hAnsi="Arial"/>
          <w:sz w:val="18"/>
          <w:szCs w:val="18"/>
          <w:color w:val="3B3B3B"/>
        </w:rPr>
        <w:t>executed</w:t>
      </w:r>
      <w:r>
        <w:rPr>
          <w:rFonts w:ascii="Arial" w:cs="Arial" w:eastAsia="Arial" w:hAnsi="Arial"/>
          <w:sz w:val="18"/>
          <w:szCs w:val="18"/>
          <w:color w:val="2D2D2D"/>
        </w:rPr>
        <w:t xml:space="preserve"> in counterparts which, </w:t>
      </w:r>
      <w:r>
        <w:rPr>
          <w:rFonts w:ascii="Arial" w:cs="Arial" w:eastAsia="Arial" w:hAnsi="Arial"/>
          <w:sz w:val="18"/>
          <w:szCs w:val="18"/>
          <w:color w:val="3B3B3B"/>
        </w:rPr>
        <w:t>taken</w:t>
      </w:r>
      <w:r>
        <w:rPr>
          <w:rFonts w:ascii="Arial" w:cs="Arial" w:eastAsia="Arial" w:hAnsi="Arial"/>
          <w:sz w:val="18"/>
          <w:szCs w:val="18"/>
          <w:color w:val="2D2D2D"/>
        </w:rPr>
        <w:t xml:space="preserve"> together, shall constitute a single </w:t>
      </w:r>
      <w:r>
        <w:rPr>
          <w:rFonts w:ascii="Arial" w:cs="Arial" w:eastAsia="Arial" w:hAnsi="Arial"/>
          <w:sz w:val="18"/>
          <w:szCs w:val="18"/>
          <w:color w:val="3B3B3B"/>
        </w:rPr>
        <w:t>instrument.</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2D2D2D"/>
        </w:rPr>
        <w:t xml:space="preserve">[SIGNATURES </w:t>
      </w:r>
      <w:r>
        <w:rPr>
          <w:rFonts w:ascii="Arial" w:cs="Arial" w:eastAsia="Arial" w:hAnsi="Arial"/>
          <w:sz w:val="20"/>
          <w:szCs w:val="20"/>
          <w:b w:val="1"/>
          <w:bCs w:val="1"/>
          <w:color w:val="151515"/>
        </w:rPr>
        <w:t>ON</w:t>
      </w:r>
      <w:r>
        <w:rPr>
          <w:rFonts w:ascii="Arial" w:cs="Arial" w:eastAsia="Arial" w:hAnsi="Arial"/>
          <w:sz w:val="20"/>
          <w:szCs w:val="20"/>
          <w:b w:val="1"/>
          <w:bCs w:val="1"/>
          <w:color w:val="2D2D2D"/>
        </w:rPr>
        <w:t xml:space="preserv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189865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540" w:top="393" w:right="719" w:bottom="1440" w:gutter="0" w:footer="0" w:header="0"/>
        </w:sectPr>
      </w:pPr>
    </w:p>
    <w:bookmarkStart w:id="200" w:name="page201"/>
    <w:bookmarkEnd w:id="200"/>
    <w:p>
      <w:pPr>
        <w:ind w:left="900" w:right="99" w:firstLine="9"/>
        <w:spacing w:after="0" w:line="246" w:lineRule="auto"/>
        <w:rPr>
          <w:sz w:val="20"/>
          <w:szCs w:val="20"/>
          <w:color w:val="auto"/>
        </w:rPr>
      </w:pPr>
      <w:r>
        <w:rPr>
          <w:rFonts w:ascii="Arial" w:cs="Arial" w:eastAsia="Arial" w:hAnsi="Arial"/>
          <w:sz w:val="20"/>
          <w:szCs w:val="20"/>
          <w:color w:val="2B2B2B"/>
        </w:rPr>
        <w:t xml:space="preserve">[SIGNATURE PAGE </w:t>
      </w:r>
      <w:r>
        <w:rPr>
          <w:rFonts w:ascii="Arial" w:cs="Arial" w:eastAsia="Arial" w:hAnsi="Arial"/>
          <w:sz w:val="20"/>
          <w:szCs w:val="20"/>
          <w:color w:val="3D3D3D"/>
        </w:rPr>
        <w:t>TO</w:t>
      </w:r>
      <w:r>
        <w:rPr>
          <w:rFonts w:ascii="Arial" w:cs="Arial" w:eastAsia="Arial" w:hAnsi="Arial"/>
          <w:sz w:val="20"/>
          <w:szCs w:val="20"/>
          <w:color w:val="2B2B2B"/>
        </w:rPr>
        <w:t xml:space="preserve"> </w:t>
      </w:r>
      <w:r>
        <w:rPr>
          <w:rFonts w:ascii="Arial" w:cs="Arial" w:eastAsia="Arial" w:hAnsi="Arial"/>
          <w:sz w:val="20"/>
          <w:szCs w:val="20"/>
          <w:color w:val="524F4F"/>
        </w:rPr>
        <w:t>THI</w:t>
      </w:r>
      <w:r>
        <w:rPr>
          <w:rFonts w:ascii="Arial" w:cs="Arial" w:eastAsia="Arial" w:hAnsi="Arial"/>
          <w:sz w:val="20"/>
          <w:szCs w:val="20"/>
          <w:color w:val="2B2B2B"/>
        </w:rPr>
        <w:t>RD AMENDMEN</w:t>
      </w:r>
      <w:r>
        <w:rPr>
          <w:rFonts w:ascii="Arial" w:cs="Arial" w:eastAsia="Arial" w:hAnsi="Arial"/>
          <w:sz w:val="20"/>
          <w:szCs w:val="20"/>
          <w:color w:val="524F4F"/>
        </w:rPr>
        <w:t>T T</w:t>
      </w:r>
      <w:r>
        <w:rPr>
          <w:rFonts w:ascii="Arial" w:cs="Arial" w:eastAsia="Arial" w:hAnsi="Arial"/>
          <w:sz w:val="20"/>
          <w:szCs w:val="20"/>
          <w:color w:val="181818"/>
        </w:rPr>
        <w:t>O</w:t>
      </w:r>
      <w:r>
        <w:rPr>
          <w:rFonts w:ascii="Arial" w:cs="Arial" w:eastAsia="Arial" w:hAnsi="Arial"/>
          <w:sz w:val="20"/>
          <w:szCs w:val="20"/>
          <w:color w:val="2B2B2B"/>
        </w:rPr>
        <w:t xml:space="preserve"> </w:t>
      </w:r>
      <w:r>
        <w:rPr>
          <w:rFonts w:ascii="Arial" w:cs="Arial" w:eastAsia="Arial" w:hAnsi="Arial"/>
          <w:sz w:val="20"/>
          <w:szCs w:val="20"/>
          <w:color w:val="3D3D3D"/>
        </w:rPr>
        <w:t>LEASE</w:t>
      </w:r>
      <w:r>
        <w:rPr>
          <w:rFonts w:ascii="Arial" w:cs="Arial" w:eastAsia="Arial" w:hAnsi="Arial"/>
          <w:sz w:val="20"/>
          <w:szCs w:val="20"/>
          <w:color w:val="2B2B2B"/>
        </w:rPr>
        <w:t xml:space="preserve"> BY AND BETWEEN MIT 238 MAIN S</w:t>
      </w:r>
      <w:r>
        <w:rPr>
          <w:rFonts w:ascii="Arial" w:cs="Arial" w:eastAsia="Arial" w:hAnsi="Arial"/>
          <w:sz w:val="20"/>
          <w:szCs w:val="20"/>
          <w:color w:val="524F4F"/>
        </w:rPr>
        <w:t>T</w:t>
      </w:r>
      <w:r>
        <w:rPr>
          <w:rFonts w:ascii="Arial" w:cs="Arial" w:eastAsia="Arial" w:hAnsi="Arial"/>
          <w:sz w:val="20"/>
          <w:szCs w:val="20"/>
          <w:color w:val="2B2B2B"/>
        </w:rPr>
        <w:t xml:space="preserve">REET </w:t>
      </w:r>
      <w:r>
        <w:rPr>
          <w:rFonts w:ascii="Arial" w:cs="Arial" w:eastAsia="Arial" w:hAnsi="Arial"/>
          <w:sz w:val="20"/>
          <w:szCs w:val="20"/>
          <w:color w:val="3D3D3D"/>
        </w:rPr>
        <w:t xml:space="preserve">LEASEHOLD LLC </w:t>
      </w:r>
      <w:r>
        <w:rPr>
          <w:rFonts w:ascii="Arial" w:cs="Arial" w:eastAsia="Arial" w:hAnsi="Arial"/>
          <w:sz w:val="20"/>
          <w:szCs w:val="20"/>
          <w:color w:val="2B2B2B"/>
        </w:rPr>
        <w:t>AND</w:t>
      </w:r>
      <w:r>
        <w:rPr>
          <w:rFonts w:ascii="Arial" w:cs="Arial" w:eastAsia="Arial" w:hAnsi="Arial"/>
          <w:sz w:val="20"/>
          <w:szCs w:val="20"/>
          <w:color w:val="3D3D3D"/>
        </w:rPr>
        <w:t xml:space="preserve"> BEAM </w:t>
      </w:r>
      <w:r>
        <w:rPr>
          <w:rFonts w:ascii="Arial" w:cs="Arial" w:eastAsia="Arial" w:hAnsi="Arial"/>
          <w:sz w:val="20"/>
          <w:szCs w:val="20"/>
          <w:color w:val="524F4F"/>
        </w:rPr>
        <w:t>THERAPEUT</w:t>
      </w:r>
      <w:r>
        <w:rPr>
          <w:rFonts w:ascii="Arial" w:cs="Arial" w:eastAsia="Arial" w:hAnsi="Arial"/>
          <w:sz w:val="20"/>
          <w:szCs w:val="20"/>
          <w:color w:val="2B2B2B"/>
        </w:rPr>
        <w:t>ICS</w:t>
      </w:r>
      <w:r>
        <w:rPr>
          <w:rFonts w:ascii="Arial" w:cs="Arial" w:eastAsia="Arial" w:hAnsi="Arial"/>
          <w:sz w:val="20"/>
          <w:szCs w:val="20"/>
          <w:color w:val="524F4F"/>
        </w:rPr>
        <w:t>,</w:t>
      </w:r>
      <w:r>
        <w:rPr>
          <w:rFonts w:ascii="Arial" w:cs="Arial" w:eastAsia="Arial" w:hAnsi="Arial"/>
          <w:sz w:val="20"/>
          <w:szCs w:val="20"/>
          <w:color w:val="3D3D3D"/>
        </w:rPr>
        <w:t xml:space="preserve"> </w:t>
      </w:r>
      <w:r>
        <w:rPr>
          <w:rFonts w:ascii="Arial" w:cs="Arial" w:eastAsia="Arial" w:hAnsi="Arial"/>
          <w:sz w:val="20"/>
          <w:szCs w:val="20"/>
          <w:color w:val="2B2B2B"/>
        </w:rPr>
        <w:t>INC.</w:t>
      </w:r>
      <w:r>
        <w:rPr>
          <w:rFonts w:ascii="Arial" w:cs="Arial" w:eastAsia="Arial" w:hAnsi="Arial"/>
          <w:sz w:val="20"/>
          <w:szCs w:val="20"/>
          <w:color w:val="07070A"/>
        </w:rPr>
        <w:t>]</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3D3D3D"/>
        </w:rPr>
        <w:t xml:space="preserve">EXECUTED </w:t>
      </w:r>
      <w:r>
        <w:rPr>
          <w:rFonts w:ascii="Arial" w:cs="Arial" w:eastAsia="Arial" w:hAnsi="Arial"/>
          <w:sz w:val="20"/>
          <w:szCs w:val="20"/>
          <w:color w:val="2B2B2B"/>
        </w:rPr>
        <w:t>as of the date</w:t>
      </w:r>
      <w:r>
        <w:rPr>
          <w:rFonts w:ascii="Arial" w:cs="Arial" w:eastAsia="Arial" w:hAnsi="Arial"/>
          <w:sz w:val="20"/>
          <w:szCs w:val="20"/>
          <w:color w:val="3D3D3D"/>
        </w:rPr>
        <w:t xml:space="preserve"> first </w:t>
      </w:r>
      <w:r>
        <w:rPr>
          <w:rFonts w:ascii="Arial" w:cs="Arial" w:eastAsia="Arial" w:hAnsi="Arial"/>
          <w:sz w:val="20"/>
          <w:szCs w:val="20"/>
          <w:color w:val="2B2B2B"/>
        </w:rPr>
        <w:t>set forth above.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2B2B2B"/>
        </w:rPr>
        <w:t>LANDLORD: MIT 238 MAIN S</w:t>
      </w:r>
      <w:r>
        <w:rPr>
          <w:rFonts w:ascii="Arial" w:cs="Arial" w:eastAsia="Arial" w:hAnsi="Arial"/>
          <w:sz w:val="20"/>
          <w:szCs w:val="20"/>
          <w:color w:val="524F4F"/>
        </w:rPr>
        <w:t>T</w:t>
      </w:r>
      <w:r>
        <w:rPr>
          <w:rFonts w:ascii="Arial" w:cs="Arial" w:eastAsia="Arial" w:hAnsi="Arial"/>
          <w:sz w:val="20"/>
          <w:szCs w:val="20"/>
          <w:color w:val="2B2B2B"/>
        </w:rPr>
        <w:t>REET LEASEHOLD LLC</w:t>
      </w:r>
    </w:p>
    <w:p>
      <w:pPr>
        <w:spacing w:after="0" w:line="94" w:lineRule="exact"/>
        <w:rPr>
          <w:sz w:val="20"/>
          <w:szCs w:val="20"/>
          <w:color w:val="auto"/>
        </w:rPr>
      </w:pPr>
    </w:p>
    <w:p>
      <w:pPr>
        <w:ind w:left="3000"/>
        <w:spacing w:after="0"/>
        <w:rPr>
          <w:sz w:val="20"/>
          <w:szCs w:val="20"/>
          <w:color w:val="auto"/>
        </w:rPr>
      </w:pPr>
      <w:r>
        <w:rPr>
          <w:rFonts w:ascii="Arial" w:cs="Arial" w:eastAsia="Arial" w:hAnsi="Arial"/>
          <w:sz w:val="20"/>
          <w:szCs w:val="20"/>
          <w:color w:val="2B2B2B"/>
        </w:rPr>
        <w:t xml:space="preserve">By: MIT Cambridge Real </w:t>
      </w:r>
      <w:r>
        <w:rPr>
          <w:rFonts w:ascii="Arial" w:cs="Arial" w:eastAsia="Arial" w:hAnsi="Arial"/>
          <w:sz w:val="20"/>
          <w:szCs w:val="20"/>
          <w:color w:val="3D3D3D"/>
        </w:rPr>
        <w:t>Estate LLC, its</w:t>
      </w:r>
      <w:r>
        <w:rPr>
          <w:rFonts w:ascii="Arial" w:cs="Arial" w:eastAsia="Arial" w:hAnsi="Arial"/>
          <w:sz w:val="20"/>
          <w:szCs w:val="20"/>
          <w:color w:val="2B2B2B"/>
        </w:rPr>
        <w:t xml:space="preserve"> manager</w:t>
      </w:r>
    </w:p>
    <w:p>
      <w:pPr>
        <w:spacing w:after="0" w:line="94" w:lineRule="exact"/>
        <w:rPr>
          <w:sz w:val="20"/>
          <w:szCs w:val="20"/>
          <w:color w:val="auto"/>
        </w:rPr>
      </w:pPr>
    </w:p>
    <w:p>
      <w:pPr>
        <w:ind w:left="3000"/>
        <w:spacing w:after="0"/>
        <w:rPr>
          <w:sz w:val="20"/>
          <w:szCs w:val="20"/>
          <w:color w:val="auto"/>
        </w:rPr>
      </w:pPr>
      <w:r>
        <w:rPr>
          <w:rFonts w:ascii="Arial" w:cs="Arial" w:eastAsia="Arial" w:hAnsi="Arial"/>
          <w:sz w:val="20"/>
          <w:szCs w:val="20"/>
          <w:color w:val="2B2B2B"/>
        </w:rPr>
        <w:t>By: /s/ Seth D. Alexander</w:t>
      </w:r>
    </w:p>
    <w:p>
      <w:pPr>
        <w:spacing w:after="0" w:line="2" w:lineRule="exact"/>
        <w:rPr>
          <w:sz w:val="20"/>
          <w:szCs w:val="20"/>
          <w:color w:val="auto"/>
        </w:rPr>
      </w:pPr>
    </w:p>
    <w:p>
      <w:pPr>
        <w:ind w:left="3420"/>
        <w:spacing w:after="0"/>
        <w:rPr>
          <w:sz w:val="20"/>
          <w:szCs w:val="20"/>
          <w:color w:val="auto"/>
        </w:rPr>
      </w:pPr>
      <w:r>
        <w:rPr>
          <w:rFonts w:ascii="Arial" w:cs="Arial" w:eastAsia="Arial" w:hAnsi="Arial"/>
          <w:sz w:val="20"/>
          <w:szCs w:val="20"/>
          <w:color w:val="2B2B2B"/>
        </w:rPr>
        <w:t xml:space="preserve">Seth </w:t>
      </w:r>
      <w:r>
        <w:rPr>
          <w:rFonts w:ascii="Arial" w:cs="Arial" w:eastAsia="Arial" w:hAnsi="Arial"/>
          <w:sz w:val="20"/>
          <w:szCs w:val="20"/>
          <w:color w:val="181818"/>
        </w:rPr>
        <w:t>D. Alexander, President,</w:t>
      </w:r>
      <w:r>
        <w:rPr>
          <w:rFonts w:ascii="Arial" w:cs="Arial" w:eastAsia="Arial" w:hAnsi="Arial"/>
          <w:sz w:val="20"/>
          <w:szCs w:val="20"/>
          <w:color w:val="2B2B2B"/>
        </w:rPr>
        <w:t xml:space="preserve"> and not </w:t>
      </w:r>
      <w:r>
        <w:rPr>
          <w:rFonts w:ascii="Arial" w:cs="Arial" w:eastAsia="Arial" w:hAnsi="Arial"/>
          <w:sz w:val="20"/>
          <w:szCs w:val="20"/>
          <w:color w:val="181818"/>
        </w:rPr>
        <w:t>individually</w:t>
      </w:r>
    </w:p>
    <w:p>
      <w:pPr>
        <w:spacing w:after="0" w:line="200" w:lineRule="exact"/>
        <w:rPr>
          <w:sz w:val="20"/>
          <w:szCs w:val="20"/>
          <w:color w:val="auto"/>
        </w:rPr>
      </w:pPr>
    </w:p>
    <w:p>
      <w:pPr>
        <w:spacing w:after="0" w:line="202" w:lineRule="exact"/>
        <w:rPr>
          <w:sz w:val="20"/>
          <w:szCs w:val="20"/>
          <w:color w:val="auto"/>
        </w:rPr>
      </w:pPr>
    </w:p>
    <w:p>
      <w:pPr>
        <w:spacing w:after="0"/>
        <w:tabs>
          <w:tab w:leader="none" w:pos="1160" w:val="left"/>
        </w:tabs>
        <w:rPr>
          <w:sz w:val="20"/>
          <w:szCs w:val="20"/>
          <w:color w:val="auto"/>
        </w:rPr>
      </w:pPr>
      <w:r>
        <w:rPr>
          <w:rFonts w:ascii="Arial" w:cs="Arial" w:eastAsia="Arial" w:hAnsi="Arial"/>
          <w:sz w:val="20"/>
          <w:szCs w:val="20"/>
          <w:color w:val="2B2B2B"/>
        </w:rPr>
        <w:t>TENANT:</w:t>
      </w:r>
      <w:r>
        <w:rPr>
          <w:sz w:val="20"/>
          <w:szCs w:val="20"/>
          <w:color w:val="auto"/>
        </w:rPr>
        <w:tab/>
      </w:r>
      <w:r>
        <w:rPr>
          <w:rFonts w:ascii="Arial" w:cs="Arial" w:eastAsia="Arial" w:hAnsi="Arial"/>
          <w:sz w:val="20"/>
          <w:szCs w:val="20"/>
          <w:color w:val="2B2B2B"/>
        </w:rPr>
        <w:t xml:space="preserve">BEAM </w:t>
      </w:r>
      <w:r>
        <w:rPr>
          <w:rFonts w:ascii="Arial" w:cs="Arial" w:eastAsia="Arial" w:hAnsi="Arial"/>
          <w:sz w:val="20"/>
          <w:szCs w:val="20"/>
          <w:color w:val="3D3D3D"/>
        </w:rPr>
        <w:t>THERAPEUTICS,</w:t>
      </w:r>
      <w:r>
        <w:rPr>
          <w:rFonts w:ascii="Arial" w:cs="Arial" w:eastAsia="Arial" w:hAnsi="Arial"/>
          <w:sz w:val="20"/>
          <w:szCs w:val="20"/>
          <w:color w:val="2B2B2B"/>
        </w:rPr>
        <w:t xml:space="preserve"> INC</w:t>
      </w:r>
      <w:r>
        <w:rPr>
          <w:rFonts w:ascii="Arial" w:cs="Arial" w:eastAsia="Arial" w:hAnsi="Arial"/>
          <w:sz w:val="20"/>
          <w:szCs w:val="20"/>
          <w:color w:val="07070A"/>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0"/>
        <w:spacing w:after="0"/>
        <w:rPr>
          <w:sz w:val="20"/>
          <w:szCs w:val="20"/>
          <w:color w:val="auto"/>
        </w:rPr>
      </w:pPr>
      <w:r>
        <w:rPr>
          <w:rFonts w:ascii="Arial" w:cs="Arial" w:eastAsia="Arial" w:hAnsi="Arial"/>
          <w:sz w:val="20"/>
          <w:szCs w:val="20"/>
          <w:color w:val="2B2B2B"/>
        </w:rPr>
        <w:t>By: /s/ John Evans</w:t>
      </w:r>
    </w:p>
    <w:p>
      <w:pPr>
        <w:spacing w:after="0" w:line="2" w:lineRule="exact"/>
        <w:rPr>
          <w:sz w:val="20"/>
          <w:szCs w:val="20"/>
          <w:color w:val="auto"/>
        </w:rPr>
      </w:pPr>
    </w:p>
    <w:p>
      <w:pPr>
        <w:ind w:left="3000"/>
        <w:spacing w:after="0"/>
        <w:rPr>
          <w:sz w:val="20"/>
          <w:szCs w:val="20"/>
          <w:color w:val="auto"/>
        </w:rPr>
      </w:pPr>
      <w:r>
        <w:rPr>
          <w:rFonts w:ascii="Arial" w:cs="Arial" w:eastAsia="Arial" w:hAnsi="Arial"/>
          <w:sz w:val="20"/>
          <w:szCs w:val="20"/>
          <w:color w:val="2B2B2B"/>
        </w:rPr>
        <w:t>Name</w:t>
      </w:r>
      <w:r>
        <w:rPr>
          <w:rFonts w:ascii="Arial" w:cs="Arial" w:eastAsia="Arial" w:hAnsi="Arial"/>
          <w:sz w:val="20"/>
          <w:szCs w:val="20"/>
          <w:color w:val="524F4F"/>
        </w:rPr>
        <w:t>:</w:t>
      </w:r>
      <w:r>
        <w:rPr>
          <w:rFonts w:ascii="Arial" w:cs="Arial" w:eastAsia="Arial" w:hAnsi="Arial"/>
          <w:sz w:val="20"/>
          <w:szCs w:val="20"/>
          <w:color w:val="2B2B2B"/>
        </w:rPr>
        <w:t xml:space="preserve"> </w:t>
      </w:r>
      <w:r>
        <w:rPr>
          <w:rFonts w:ascii="Arial" w:cs="Arial" w:eastAsia="Arial" w:hAnsi="Arial"/>
          <w:sz w:val="20"/>
          <w:szCs w:val="20"/>
          <w:color w:val="07070A"/>
        </w:rPr>
        <w:t>John</w:t>
      </w:r>
      <w:r>
        <w:rPr>
          <w:rFonts w:ascii="Arial" w:cs="Arial" w:eastAsia="Arial" w:hAnsi="Arial"/>
          <w:sz w:val="20"/>
          <w:szCs w:val="20"/>
          <w:color w:val="2B2B2B"/>
        </w:rPr>
        <w:t xml:space="preserve"> E</w:t>
      </w:r>
      <w:r>
        <w:rPr>
          <w:rFonts w:ascii="Arial" w:cs="Arial" w:eastAsia="Arial" w:hAnsi="Arial"/>
          <w:sz w:val="20"/>
          <w:szCs w:val="20"/>
          <w:color w:val="07070A"/>
        </w:rPr>
        <w:t>vans</w:t>
      </w:r>
    </w:p>
    <w:p>
      <w:pPr>
        <w:spacing w:after="0" w:line="78" w:lineRule="exact"/>
        <w:rPr>
          <w:sz w:val="20"/>
          <w:szCs w:val="20"/>
          <w:color w:val="auto"/>
        </w:rPr>
      </w:pPr>
    </w:p>
    <w:p>
      <w:pPr>
        <w:ind w:left="3000"/>
        <w:spacing w:after="0"/>
        <w:rPr>
          <w:sz w:val="20"/>
          <w:szCs w:val="20"/>
          <w:color w:val="auto"/>
        </w:rPr>
      </w:pPr>
      <w:r>
        <w:rPr>
          <w:rFonts w:ascii="Arial" w:cs="Arial" w:eastAsia="Arial" w:hAnsi="Arial"/>
          <w:sz w:val="20"/>
          <w:szCs w:val="20"/>
          <w:color w:val="3D3D3D"/>
        </w:rPr>
        <w:t xml:space="preserve">Title: </w:t>
      </w:r>
      <w:r>
        <w:rPr>
          <w:rFonts w:ascii="Arial" w:cs="Arial" w:eastAsia="Arial" w:hAnsi="Arial"/>
          <w:sz w:val="20"/>
          <w:szCs w:val="20"/>
          <w:color w:val="07070A"/>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57785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19"/>
          </w:cols>
          <w:pgMar w:left="540" w:top="420"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60" w:type="dxa"/>
            <w:vAlign w:val="bottom"/>
          </w:tcPr>
          <w:p>
            <w:pPr>
              <w:spacing w:after="0"/>
              <w:rPr>
                <w:sz w:val="24"/>
                <w:szCs w:val="24"/>
                <w:color w:val="auto"/>
              </w:rPr>
            </w:pPr>
          </w:p>
        </w:tc>
        <w:tc>
          <w:tcPr>
            <w:tcW w:w="6800" w:type="dxa"/>
            <w:vAlign w:val="bottom"/>
            <w:gridSpan w:val="3"/>
          </w:tcPr>
          <w:p>
            <w:pPr>
              <w:ind w:left="60"/>
              <w:spacing w:after="0"/>
              <w:rPr>
                <w:sz w:val="20"/>
                <w:szCs w:val="20"/>
                <w:color w:val="auto"/>
              </w:rPr>
            </w:pPr>
            <w:r>
              <w:rPr>
                <w:rFonts w:ascii="Arial" w:cs="Arial" w:eastAsia="Arial" w:hAnsi="Arial"/>
                <w:sz w:val="22"/>
                <w:szCs w:val="22"/>
                <w:b w:val="1"/>
                <w:bCs w:val="1"/>
                <w:color w:val="auto"/>
              </w:rPr>
              <w:t>Subsidiaries of Beam Therapeutics Inc.</w:t>
            </w:r>
          </w:p>
        </w:tc>
        <w:tc>
          <w:tcPr>
            <w:tcW w:w="680" w:type="dxa"/>
            <w:vAlign w:val="bottom"/>
          </w:tcPr>
          <w:p>
            <w:pPr>
              <w:spacing w:after="0"/>
              <w:rPr>
                <w:sz w:val="24"/>
                <w:szCs w:val="24"/>
                <w:color w:val="auto"/>
              </w:rPr>
            </w:pPr>
          </w:p>
        </w:tc>
      </w:tr>
      <w:tr>
        <w:trPr>
          <w:trHeight w:val="530"/>
        </w:trPr>
        <w:tc>
          <w:tcPr>
            <w:tcW w:w="3760" w:type="dxa"/>
            <w:vAlign w:val="bottom"/>
          </w:tcPr>
          <w:p>
            <w:pPr>
              <w:ind w:left="20"/>
              <w:spacing w:after="0"/>
              <w:rPr>
                <w:sz w:val="20"/>
                <w:szCs w:val="20"/>
                <w:color w:val="auto"/>
              </w:rPr>
            </w:pPr>
            <w:r>
              <w:rPr>
                <w:rFonts w:ascii="Arial" w:cs="Arial" w:eastAsia="Arial" w:hAnsi="Arial"/>
                <w:sz w:val="22"/>
                <w:szCs w:val="22"/>
                <w:b w:val="1"/>
                <w:bCs w:val="1"/>
                <w:color w:val="auto"/>
              </w:rPr>
              <w:t>Entity</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22"/>
                <w:szCs w:val="22"/>
                <w:b w:val="1"/>
                <w:bCs w:val="1"/>
                <w:color w:val="auto"/>
              </w:rPr>
              <w:t>State or other Jurisdiction of Incorporation or</w:t>
            </w:r>
          </w:p>
        </w:tc>
        <w:tc>
          <w:tcPr>
            <w:tcW w:w="680" w:type="dxa"/>
            <w:vAlign w:val="bottom"/>
          </w:tcPr>
          <w:p>
            <w:pPr>
              <w:spacing w:after="0"/>
              <w:rPr>
                <w:sz w:val="24"/>
                <w:szCs w:val="24"/>
                <w:color w:val="auto"/>
              </w:rPr>
            </w:pPr>
          </w:p>
        </w:tc>
      </w:tr>
      <w:tr>
        <w:trPr>
          <w:trHeight w:val="270"/>
        </w:trPr>
        <w:tc>
          <w:tcPr>
            <w:tcW w:w="37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22"/>
                <w:szCs w:val="22"/>
                <w:b w:val="1"/>
                <w:bCs w:val="1"/>
                <w:color w:val="auto"/>
              </w:rPr>
              <w:t>Organization</w:t>
            </w:r>
          </w:p>
        </w:tc>
        <w:tc>
          <w:tcPr>
            <w:tcW w:w="680" w:type="dxa"/>
            <w:vAlign w:val="bottom"/>
          </w:tcPr>
          <w:p>
            <w:pPr>
              <w:spacing w:after="0"/>
              <w:rPr>
                <w:sz w:val="23"/>
                <w:szCs w:val="23"/>
                <w:color w:val="auto"/>
              </w:rPr>
            </w:pPr>
          </w:p>
        </w:tc>
      </w:tr>
      <w:tr>
        <w:trPr>
          <w:trHeight w:val="215"/>
        </w:trPr>
        <w:tc>
          <w:tcPr>
            <w:tcW w:w="3760" w:type="dxa"/>
            <w:vAlign w:val="bottom"/>
          </w:tcPr>
          <w:p>
            <w:pPr>
              <w:ind w:left="20"/>
              <w:spacing w:after="0" w:line="216" w:lineRule="exact"/>
              <w:rPr>
                <w:sz w:val="20"/>
                <w:szCs w:val="20"/>
                <w:color w:val="auto"/>
              </w:rPr>
            </w:pPr>
            <w:r>
              <w:rPr>
                <w:rFonts w:ascii="Arial" w:cs="Arial" w:eastAsia="Arial" w:hAnsi="Arial"/>
                <w:sz w:val="22"/>
                <w:szCs w:val="22"/>
                <w:color w:val="auto"/>
                <w:w w:val="89"/>
              </w:rPr>
              <w:t>Beam Therapeutics Securities Corporation</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520" w:type="dxa"/>
            <w:vAlign w:val="bottom"/>
          </w:tcPr>
          <w:p>
            <w:pPr>
              <w:ind w:left="20"/>
              <w:spacing w:after="0" w:line="216" w:lineRule="exact"/>
              <w:rPr>
                <w:sz w:val="20"/>
                <w:szCs w:val="20"/>
                <w:color w:val="auto"/>
              </w:rPr>
            </w:pPr>
            <w:r>
              <w:rPr>
                <w:rFonts w:ascii="Arial" w:cs="Arial" w:eastAsia="Arial" w:hAnsi="Arial"/>
                <w:sz w:val="22"/>
                <w:szCs w:val="22"/>
                <w:color w:val="auto"/>
              </w:rPr>
              <w:t>Massachusetts</w:t>
            </w:r>
          </w:p>
        </w:tc>
        <w:tc>
          <w:tcPr>
            <w:tcW w:w="680" w:type="dxa"/>
            <w:vAlign w:val="bottom"/>
          </w:tcPr>
          <w:p>
            <w:pPr>
              <w:spacing w:after="0"/>
              <w:rPr>
                <w:sz w:val="18"/>
                <w:szCs w:val="18"/>
                <w:color w:val="auto"/>
              </w:rPr>
            </w:pPr>
          </w:p>
        </w:tc>
      </w:tr>
      <w:tr>
        <w:trPr>
          <w:trHeight w:val="274"/>
        </w:trPr>
        <w:tc>
          <w:tcPr>
            <w:tcW w:w="3760" w:type="dxa"/>
            <w:vAlign w:val="bottom"/>
          </w:tcPr>
          <w:p>
            <w:pPr>
              <w:ind w:left="20"/>
              <w:spacing w:after="0"/>
              <w:rPr>
                <w:sz w:val="20"/>
                <w:szCs w:val="20"/>
                <w:color w:val="auto"/>
              </w:rPr>
            </w:pPr>
            <w:r>
              <w:rPr>
                <w:rFonts w:ascii="Arial" w:cs="Arial" w:eastAsia="Arial" w:hAnsi="Arial"/>
                <w:sz w:val="22"/>
                <w:szCs w:val="22"/>
                <w:color w:val="auto"/>
              </w:rPr>
              <w:t>Guide Therapeutics, LLC</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520" w:type="dxa"/>
            <w:vAlign w:val="bottom"/>
          </w:tcPr>
          <w:p>
            <w:pPr>
              <w:ind w:left="20"/>
              <w:spacing w:after="0"/>
              <w:rPr>
                <w:sz w:val="20"/>
                <w:szCs w:val="20"/>
                <w:color w:val="auto"/>
              </w:rPr>
            </w:pPr>
            <w:r>
              <w:rPr>
                <w:rFonts w:ascii="Arial" w:cs="Arial" w:eastAsia="Arial" w:hAnsi="Arial"/>
                <w:sz w:val="22"/>
                <w:szCs w:val="22"/>
                <w:color w:val="auto"/>
              </w:rPr>
              <w:t>Delaware</w:t>
            </w:r>
          </w:p>
        </w:tc>
        <w:tc>
          <w:tcPr>
            <w:tcW w:w="680" w:type="dxa"/>
            <w:vAlign w:val="bottom"/>
          </w:tcPr>
          <w:p>
            <w:pPr>
              <w:spacing w:after="0"/>
              <w:rPr>
                <w:sz w:val="23"/>
                <w:szCs w:val="23"/>
                <w:color w:val="auto"/>
              </w:rPr>
            </w:pPr>
          </w:p>
        </w:tc>
      </w:tr>
      <w:tr>
        <w:trPr>
          <w:trHeight w:val="578"/>
        </w:trPr>
        <w:tc>
          <w:tcPr>
            <w:tcW w:w="3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consent to the incorporation by reference in Registration Statement Nos. 333-236582 and 333-254378 on Form S-8, and Registration Statement Nos. 333-256962 and 333-254946 on Form S-3 of our reports dated February 28, 2022, relating to the financial statements of Beam Therapeutics Inc. and subsidiaries, and the effectiveness of Beam Therapeutics Inc. and subsidiaries’ internal control over financial reporting, appearing in this Annual Report on Form 10-K for the year ended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John Evans, certify that:</w:t>
      </w:r>
    </w:p>
    <w:p>
      <w:pPr>
        <w:spacing w:after="0" w:line="90" w:lineRule="exact"/>
        <w:rPr>
          <w:sz w:val="20"/>
          <w:szCs w:val="20"/>
          <w:color w:val="auto"/>
        </w:rPr>
      </w:pPr>
    </w:p>
    <w:p>
      <w:pPr>
        <w:ind w:left="520" w:hanging="504"/>
        <w:spacing w:after="0"/>
        <w:tabs>
          <w:tab w:leader="none" w:pos="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Beam Therapeutics Inc.;</w:t>
      </w:r>
    </w:p>
    <w:p>
      <w:pPr>
        <w:spacing w:after="0" w:line="319" w:lineRule="exact"/>
        <w:rPr>
          <w:rFonts w:ascii="Arial" w:cs="Arial" w:eastAsia="Arial" w:hAnsi="Arial"/>
          <w:sz w:val="18"/>
          <w:szCs w:val="18"/>
          <w:color w:val="auto"/>
        </w:rPr>
      </w:pPr>
    </w:p>
    <w:p>
      <w:pPr>
        <w:jc w:val="both"/>
        <w:ind w:left="520" w:right="240" w:hanging="504"/>
        <w:spacing w:after="0" w:line="224" w:lineRule="auto"/>
        <w:tabs>
          <w:tab w:leader="none" w:pos="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7" w:lineRule="exact"/>
        <w:rPr>
          <w:rFonts w:ascii="Arial" w:cs="Arial" w:eastAsia="Arial" w:hAnsi="Arial"/>
          <w:sz w:val="18"/>
          <w:szCs w:val="18"/>
          <w:color w:val="auto"/>
        </w:rPr>
      </w:pPr>
    </w:p>
    <w:p>
      <w:pPr>
        <w:ind w:left="520" w:right="200" w:hanging="504"/>
        <w:spacing w:after="0" w:line="258" w:lineRule="auto"/>
        <w:tabs>
          <w:tab w:leader="none" w:pos="5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jc w:val="both"/>
        <w:ind w:left="520" w:right="240" w:hanging="504"/>
        <w:spacing w:after="0" w:line="224" w:lineRule="auto"/>
        <w:tabs>
          <w:tab w:leader="none" w:pos="5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7" w:lineRule="exact"/>
        <w:rPr>
          <w:rFonts w:ascii="Arial" w:cs="Arial" w:eastAsia="Arial" w:hAnsi="Arial"/>
          <w:sz w:val="18"/>
          <w:szCs w:val="18"/>
          <w:color w:val="auto"/>
        </w:rPr>
      </w:pPr>
    </w:p>
    <w:p>
      <w:pPr>
        <w:ind w:left="1160" w:right="260" w:hanging="509"/>
        <w:spacing w:after="0" w:line="224" w:lineRule="auto"/>
        <w:tabs>
          <w:tab w:leader="none" w:pos="11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7" w:lineRule="exact"/>
        <w:rPr>
          <w:rFonts w:ascii="Arial" w:cs="Arial" w:eastAsia="Arial" w:hAnsi="Arial"/>
          <w:sz w:val="18"/>
          <w:szCs w:val="18"/>
          <w:color w:val="auto"/>
        </w:rPr>
      </w:pPr>
    </w:p>
    <w:p>
      <w:pPr>
        <w:ind w:left="1160" w:right="180" w:hanging="509"/>
        <w:spacing w:after="0" w:line="224" w:lineRule="auto"/>
        <w:tabs>
          <w:tab w:leader="none" w:pos="11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7" w:lineRule="exact"/>
        <w:rPr>
          <w:rFonts w:ascii="Arial" w:cs="Arial" w:eastAsia="Arial" w:hAnsi="Arial"/>
          <w:sz w:val="18"/>
          <w:szCs w:val="18"/>
          <w:color w:val="auto"/>
        </w:rPr>
      </w:pPr>
    </w:p>
    <w:p>
      <w:pPr>
        <w:jc w:val="both"/>
        <w:ind w:left="1160" w:right="360" w:hanging="509"/>
        <w:spacing w:after="0" w:line="289" w:lineRule="auto"/>
        <w:tabs>
          <w:tab w:leader="none" w:pos="116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8" w:lineRule="exact"/>
        <w:rPr>
          <w:rFonts w:ascii="Arial" w:cs="Arial" w:eastAsia="Arial" w:hAnsi="Arial"/>
          <w:sz w:val="16"/>
          <w:szCs w:val="16"/>
          <w:color w:val="auto"/>
        </w:rPr>
      </w:pPr>
    </w:p>
    <w:p>
      <w:pPr>
        <w:ind w:left="1160" w:right="380" w:hanging="509"/>
        <w:spacing w:after="0" w:line="224" w:lineRule="auto"/>
        <w:tabs>
          <w:tab w:leader="none" w:pos="11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7" w:lineRule="exact"/>
        <w:rPr>
          <w:rFonts w:ascii="Arial" w:cs="Arial" w:eastAsia="Arial" w:hAnsi="Arial"/>
          <w:sz w:val="18"/>
          <w:szCs w:val="18"/>
          <w:color w:val="auto"/>
        </w:rPr>
      </w:pPr>
    </w:p>
    <w:p>
      <w:pPr>
        <w:ind w:left="520" w:right="220" w:hanging="504"/>
        <w:spacing w:after="0" w:line="289" w:lineRule="auto"/>
        <w:tabs>
          <w:tab w:leader="none" w:pos="5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4" w:name="page205"/>
    <w:bookmarkEnd w:id="204"/>
    <w:p>
      <w:pPr>
        <w:ind w:left="1140" w:right="300" w:hanging="509"/>
        <w:spacing w:after="0" w:line="289" w:lineRule="auto"/>
        <w:tabs>
          <w:tab w:leader="none" w:pos="11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8" w:lineRule="exact"/>
        <w:rPr>
          <w:rFonts w:ascii="Arial" w:cs="Arial" w:eastAsia="Arial" w:hAnsi="Arial"/>
          <w:sz w:val="16"/>
          <w:szCs w:val="16"/>
          <w:color w:val="auto"/>
        </w:rPr>
      </w:pPr>
    </w:p>
    <w:p>
      <w:pPr>
        <w:ind w:left="1140" w:hanging="509"/>
        <w:spacing w:after="0" w:line="235" w:lineRule="auto"/>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spacing w:after="0"/>
        <w:tabs>
          <w:tab w:leader="none" w:pos="5480" w:val="left"/>
          <w:tab w:leader="none" w:pos="600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-635</wp:posOffset>
            </wp:positionV>
            <wp:extent cx="330898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6020"/>
        <w:spacing w:after="0" w:line="203" w:lineRule="auto"/>
        <w:rPr>
          <w:sz w:val="20"/>
          <w:szCs w:val="20"/>
          <w:color w:val="auto"/>
        </w:rPr>
      </w:pPr>
      <w:r>
        <w:rPr>
          <w:rFonts w:ascii="Arial" w:cs="Arial" w:eastAsia="Arial" w:hAnsi="Arial"/>
          <w:sz w:val="18"/>
          <w:szCs w:val="18"/>
          <w:b w:val="1"/>
          <w:bCs w:val="1"/>
          <w:color w:val="auto"/>
        </w:rPr>
        <w:t>John Evans</w:t>
      </w:r>
    </w:p>
    <w:p>
      <w:pPr>
        <w:ind w:left="6020"/>
        <w:spacing w:after="0" w:line="203"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DOCPROPERTY DOCXDOCID DMS=InterwovenIManage Format=&lt;&lt;NUM&gt;&gt;_&lt;&lt;VER&gt;&gt; PRESERVELOCATION \* MERGEFORMAT 93895667_1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463" w:right="6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Terry-Ann Burrell, certify that:</w:t>
      </w:r>
    </w:p>
    <w:p>
      <w:pPr>
        <w:spacing w:after="0" w:line="90" w:lineRule="exact"/>
        <w:rPr>
          <w:sz w:val="20"/>
          <w:szCs w:val="20"/>
          <w:color w:val="auto"/>
        </w:rPr>
      </w:pPr>
    </w:p>
    <w:p>
      <w:pPr>
        <w:ind w:left="520" w:hanging="504"/>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Beam Therapeutics Inc.;</w:t>
      </w:r>
    </w:p>
    <w:p>
      <w:pPr>
        <w:spacing w:after="0" w:line="319" w:lineRule="exact"/>
        <w:rPr>
          <w:rFonts w:ascii="Arial" w:cs="Arial" w:eastAsia="Arial" w:hAnsi="Arial"/>
          <w:sz w:val="18"/>
          <w:szCs w:val="18"/>
          <w:color w:val="auto"/>
        </w:rPr>
      </w:pPr>
    </w:p>
    <w:p>
      <w:pPr>
        <w:jc w:val="both"/>
        <w:ind w:left="520" w:right="240" w:hanging="504"/>
        <w:spacing w:after="0" w:line="224" w:lineRule="auto"/>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7" w:lineRule="exact"/>
        <w:rPr>
          <w:rFonts w:ascii="Arial" w:cs="Arial" w:eastAsia="Arial" w:hAnsi="Arial"/>
          <w:sz w:val="18"/>
          <w:szCs w:val="18"/>
          <w:color w:val="auto"/>
        </w:rPr>
      </w:pPr>
    </w:p>
    <w:p>
      <w:pPr>
        <w:ind w:left="520" w:right="200" w:hanging="504"/>
        <w:spacing w:after="0" w:line="258" w:lineRule="auto"/>
        <w:tabs>
          <w:tab w:leader="none" w:pos="5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1" w:lineRule="exact"/>
        <w:rPr>
          <w:rFonts w:ascii="Arial" w:cs="Arial" w:eastAsia="Arial" w:hAnsi="Arial"/>
          <w:sz w:val="17"/>
          <w:szCs w:val="17"/>
          <w:color w:val="auto"/>
        </w:rPr>
      </w:pPr>
    </w:p>
    <w:p>
      <w:pPr>
        <w:jc w:val="both"/>
        <w:ind w:left="520" w:right="240" w:hanging="504"/>
        <w:spacing w:after="0" w:line="224" w:lineRule="auto"/>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97" w:lineRule="exact"/>
        <w:rPr>
          <w:rFonts w:ascii="Arial" w:cs="Arial" w:eastAsia="Arial" w:hAnsi="Arial"/>
          <w:sz w:val="18"/>
          <w:szCs w:val="18"/>
          <w:color w:val="auto"/>
        </w:rPr>
      </w:pPr>
    </w:p>
    <w:p>
      <w:pPr>
        <w:ind w:left="1160" w:right="280" w:hanging="509"/>
        <w:spacing w:after="0" w:line="224" w:lineRule="auto"/>
        <w:tabs>
          <w:tab w:leader="none" w:pos="11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7" w:lineRule="exact"/>
        <w:rPr>
          <w:rFonts w:ascii="Arial" w:cs="Arial" w:eastAsia="Arial" w:hAnsi="Arial"/>
          <w:sz w:val="18"/>
          <w:szCs w:val="18"/>
          <w:color w:val="auto"/>
        </w:rPr>
      </w:pPr>
    </w:p>
    <w:p>
      <w:pPr>
        <w:ind w:left="1160" w:right="200" w:hanging="509"/>
        <w:spacing w:after="0" w:line="224" w:lineRule="auto"/>
        <w:tabs>
          <w:tab w:leader="none" w:pos="11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97" w:lineRule="exact"/>
        <w:rPr>
          <w:rFonts w:ascii="Arial" w:cs="Arial" w:eastAsia="Arial" w:hAnsi="Arial"/>
          <w:sz w:val="18"/>
          <w:szCs w:val="18"/>
          <w:color w:val="auto"/>
        </w:rPr>
      </w:pPr>
    </w:p>
    <w:p>
      <w:pPr>
        <w:jc w:val="both"/>
        <w:ind w:left="1160" w:right="360" w:hanging="509"/>
        <w:spacing w:after="0" w:line="289" w:lineRule="auto"/>
        <w:tabs>
          <w:tab w:leader="none" w:pos="11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8" w:lineRule="exact"/>
        <w:rPr>
          <w:rFonts w:ascii="Arial" w:cs="Arial" w:eastAsia="Arial" w:hAnsi="Arial"/>
          <w:sz w:val="16"/>
          <w:szCs w:val="16"/>
          <w:color w:val="auto"/>
        </w:rPr>
      </w:pPr>
    </w:p>
    <w:p>
      <w:pPr>
        <w:ind w:left="1160" w:right="400" w:hanging="509"/>
        <w:spacing w:after="0" w:line="224" w:lineRule="auto"/>
        <w:tabs>
          <w:tab w:leader="none" w:pos="11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7" w:lineRule="exact"/>
        <w:rPr>
          <w:rFonts w:ascii="Arial" w:cs="Arial" w:eastAsia="Arial" w:hAnsi="Arial"/>
          <w:sz w:val="18"/>
          <w:szCs w:val="18"/>
          <w:color w:val="auto"/>
        </w:rPr>
      </w:pPr>
    </w:p>
    <w:p>
      <w:pPr>
        <w:ind w:left="520" w:right="220" w:hanging="504"/>
        <w:spacing w:after="0" w:line="289" w:lineRule="auto"/>
        <w:tabs>
          <w:tab w:leader="none" w:pos="5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8" w:lineRule="exact"/>
        <w:rPr>
          <w:rFonts w:ascii="Arial" w:cs="Arial" w:eastAsia="Arial" w:hAnsi="Arial"/>
          <w:sz w:val="16"/>
          <w:szCs w:val="16"/>
          <w:color w:val="auto"/>
        </w:rPr>
      </w:pPr>
    </w:p>
    <w:p>
      <w:pPr>
        <w:ind w:left="1160" w:right="600" w:hanging="509"/>
        <w:spacing w:after="0" w:line="289" w:lineRule="auto"/>
        <w:tabs>
          <w:tab w:leader="none" w:pos="11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6" w:name="page207"/>
    <w:bookmarkEnd w:id="206"/>
    <w:p>
      <w:pPr>
        <w:ind w:left="1140" w:hanging="509"/>
        <w:spacing w:after="0" w:line="235" w:lineRule="auto"/>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p>
      <w:pPr>
        <w:spacing w:after="0"/>
        <w:tabs>
          <w:tab w:leader="none" w:pos="5480" w:val="left"/>
          <w:tab w:leader="none" w:pos="596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-635</wp:posOffset>
            </wp:positionV>
            <wp:extent cx="332613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ind w:left="5980"/>
        <w:spacing w:after="0" w:line="203" w:lineRule="auto"/>
        <w:rPr>
          <w:sz w:val="20"/>
          <w:szCs w:val="20"/>
          <w:color w:val="auto"/>
        </w:rPr>
      </w:pPr>
      <w:r>
        <w:rPr>
          <w:rFonts w:ascii="Arial" w:cs="Arial" w:eastAsia="Arial" w:hAnsi="Arial"/>
          <w:sz w:val="18"/>
          <w:szCs w:val="18"/>
          <w:b w:val="1"/>
          <w:bCs w:val="1"/>
          <w:color w:val="auto"/>
        </w:rPr>
        <w:t>Terry-Ann Burrell</w:t>
      </w:r>
    </w:p>
    <w:p>
      <w:pPr>
        <w:ind w:left="598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728980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40" w:top="422" w:right="65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1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this Annual Report of Beam Therapeutics Inc. (the “Company”) on Form 10-K for the period ended December 31, 2021 as filed with the Securities and Exchange Commission on the date hereof (the “Report”), I certify, pursuant to 18 U.S.C. § 1350, as adopted pursuant to § 906 of the Sarbanes-Oxley Act of 2002, that:</w:t>
      </w:r>
    </w:p>
    <w:p>
      <w:pPr>
        <w:spacing w:after="0" w:line="74" w:lineRule="exact"/>
        <w:rPr>
          <w:sz w:val="20"/>
          <w:szCs w:val="20"/>
          <w:color w:val="auto"/>
        </w:rPr>
      </w:pPr>
    </w:p>
    <w:p>
      <w:pPr>
        <w:ind w:left="900" w:hanging="359"/>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680" w:hanging="479"/>
        <w:spacing w:after="0" w:line="261" w:lineRule="auto"/>
        <w:tabs>
          <w:tab w:leader="none" w:pos="8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20"/>
        <w:spacing w:after="0"/>
        <w:tabs>
          <w:tab w:leader="none" w:pos="5580" w:val="left"/>
          <w:tab w:leader="none" w:pos="600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6350</wp:posOffset>
            </wp:positionV>
            <wp:extent cx="33172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John Evans</w:t>
      </w:r>
    </w:p>
    <w:p>
      <w:pPr>
        <w:ind w:left="6020"/>
        <w:spacing w:after="0" w:line="234" w:lineRule="auto"/>
        <w:rPr>
          <w:sz w:val="20"/>
          <w:szCs w:val="20"/>
          <w:color w:val="auto"/>
        </w:rPr>
      </w:pPr>
      <w:r>
        <w:rPr>
          <w:rFonts w:ascii="Arial" w:cs="Arial" w:eastAsia="Arial" w:hAnsi="Arial"/>
          <w:sz w:val="18"/>
          <w:szCs w:val="18"/>
          <w:b w:val="1"/>
          <w:bCs w:val="1"/>
          <w:color w:val="auto"/>
        </w:rPr>
        <w:t>Chief Executive Officer</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18 U.S.C. SECTION 1350, AS ADOPTED PURSUANT TO</w:t>
      </w:r>
    </w:p>
    <w:p>
      <w:pPr>
        <w:ind w:left="32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this Annual Report of Beam Therapeutics Inc. (the “Company”) on Form 10-K for the period ended December 31, 2021 as filed with the Securities and Exchange Commission on the date hereof (the “Report”), I certify, pursuant to 18 U.S.C. § 1350, as adopted pursuant to § 906 of the Sarbanes-Oxley Act of 2002, that:</w:t>
      </w:r>
    </w:p>
    <w:p>
      <w:pPr>
        <w:spacing w:after="0" w:line="74" w:lineRule="exact"/>
        <w:rPr>
          <w:sz w:val="20"/>
          <w:szCs w:val="20"/>
          <w:color w:val="auto"/>
        </w:rPr>
      </w:pPr>
    </w:p>
    <w:p>
      <w:pPr>
        <w:ind w:left="1020" w:hanging="503"/>
        <w:spacing w:after="0"/>
        <w:tabs>
          <w:tab w:leader="none" w:pos="10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20"/>
        <w:spacing w:after="0"/>
        <w:tabs>
          <w:tab w:leader="none" w:pos="5580" w:val="left"/>
          <w:tab w:leader="none" w:pos="6000" w:val="left"/>
        </w:tabs>
        <w:rPr>
          <w:sz w:val="20"/>
          <w:szCs w:val="20"/>
          <w:color w:val="auto"/>
        </w:rPr>
      </w:pPr>
      <w:r>
        <w:rPr>
          <w:rFonts w:ascii="Arial" w:cs="Arial" w:eastAsia="Arial" w:hAnsi="Arial"/>
          <w:sz w:val="18"/>
          <w:szCs w:val="18"/>
          <w:color w:val="auto"/>
        </w:rPr>
        <w:t>Date: 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6350</wp:posOffset>
            </wp:positionV>
            <wp:extent cx="331724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2">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Terry-Ann Burrell</w:t>
      </w:r>
    </w:p>
    <w:p>
      <w:pPr>
        <w:ind w:left="602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9" w:name="page210"/>
    <w:bookmarkEnd w:id="2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1)"/>
      <w:numFmt w:val="lowerRoman"/>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
      <w:numFmt w:val="bullet"/>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
      <w:numFmt w:val="bullet"/>
      <w:start w:val="1"/>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
      <w:numFmt w:val="bullet"/>
      <w:start w:val="1"/>
    </w:lvl>
  </w:abstractNum>
  <w:abstractNum w:abstractNumId="38">
    <w:nsid w:val="14330624"/>
    <w:multiLevelType w:val="hybridMultilevel"/>
    <w:lvl w:ilvl="0">
      <w:lvlJc w:val="left"/>
      <w:lvlText w:val="•"/>
      <w:numFmt w:val="bullet"/>
      <w:start w:val="1"/>
    </w:lvl>
  </w:abstractNum>
  <w:abstractNum w:abstractNumId="39">
    <w:nsid w:val="7FFFCA11"/>
    <w:multiLevelType w:val="hybridMultilevel"/>
    <w:lvl w:ilvl="0">
      <w:lvlJc w:val="left"/>
      <w:lvlText w:val="•"/>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
      <w:numFmt w:val="bullet"/>
      <w:start w:val="1"/>
    </w:lvl>
  </w:abstractNum>
  <w:abstractNum w:abstractNumId="45">
    <w:nsid w:val="6F6DD9AC"/>
    <w:multiLevelType w:val="hybridMultilevel"/>
    <w:lvl w:ilvl="0">
      <w:lvlJc w:val="left"/>
      <w:lvlText w:val="•"/>
      <w:numFmt w:val="bullet"/>
      <w:start w:val="1"/>
    </w:lvl>
  </w:abstractNum>
  <w:abstractNum w:abstractNumId="46">
    <w:nsid w:val="94211F2"/>
    <w:multiLevelType w:val="hybridMultilevel"/>
    <w:lvl w:ilvl="0">
      <w:lvlJc w:val="left"/>
      <w:lvlText w:val="•"/>
      <w:numFmt w:val="bullet"/>
      <w:start w:val="1"/>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
      <w:numFmt w:val="bullet"/>
      <w:start w:val="1"/>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
      <w:numFmt w:val="bullet"/>
      <w:start w:val="1"/>
    </w:lvl>
  </w:abstractNum>
  <w:abstractNum w:abstractNumId="53">
    <w:nsid w:val="74DE0EE3"/>
    <w:multiLevelType w:val="hybridMultilevel"/>
    <w:lvl w:ilvl="0">
      <w:lvlJc w:val="left"/>
      <w:lvlText w:val="•"/>
      <w:numFmt w:val="bullet"/>
      <w:start w:val="1"/>
    </w:lvl>
  </w:abstractNum>
  <w:abstractNum w:abstractNumId="54">
    <w:nsid w:val="68EBC550"/>
    <w:multiLevelType w:val="hybridMultilevel"/>
    <w:lvl w:ilvl="0">
      <w:lvlJc w:val="left"/>
      <w:lvlText w:val="•"/>
      <w:numFmt w:val="bullet"/>
      <w:start w:val="1"/>
    </w:lvl>
  </w:abstractNum>
  <w:abstractNum w:abstractNumId="55">
    <w:nsid w:val="2DF6D648"/>
    <w:multiLevelType w:val="hybridMultilevel"/>
    <w:lvl w:ilvl="0">
      <w:lvlJc w:val="left"/>
      <w:lvlText w:val="•"/>
      <w:numFmt w:val="bullet"/>
      <w:start w:val="1"/>
    </w:lvl>
  </w:abstractNum>
  <w:abstractNum w:abstractNumId="56">
    <w:nsid w:val="46B7D447"/>
    <w:multiLevelType w:val="hybridMultilevel"/>
    <w:lvl w:ilvl="0">
      <w:lvlJc w:val="left"/>
      <w:lvlText w:val="•"/>
      <w:numFmt w:val="bullet"/>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
      <w:numFmt w:val="bullet"/>
      <w:start w:val="1"/>
    </w:lvl>
  </w:abstractNum>
  <w:abstractNum w:abstractNumId="60">
    <w:nsid w:val="CC1016F"/>
    <w:multiLevelType w:val="hybridMultilevel"/>
    <w:lvl w:ilvl="0">
      <w:lvlJc w:val="left"/>
      <w:lvlText w:val="•"/>
      <w:numFmt w:val="bullet"/>
      <w:start w:val="1"/>
    </w:lvl>
  </w:abstractNum>
  <w:abstractNum w:abstractNumId="61">
    <w:nsid w:val="43F18422"/>
    <w:multiLevelType w:val="hybridMultilevel"/>
    <w:lvl w:ilvl="0">
      <w:lvlJc w:val="left"/>
      <w:lvlText w:val="•"/>
      <w:numFmt w:val="bullet"/>
      <w:start w:val="1"/>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
      <w:numFmt w:val="bullet"/>
      <w:start w:val="1"/>
    </w:lvl>
  </w:abstractNum>
  <w:abstractNum w:abstractNumId="64">
    <w:nsid w:val="7F01579B"/>
    <w:multiLevelType w:val="hybridMultilevel"/>
    <w:lvl w:ilvl="0">
      <w:lvlJc w:val="left"/>
      <w:lvlText w:val="•"/>
      <w:numFmt w:val="bullet"/>
      <w:start w:val="1"/>
    </w:lvl>
  </w:abstractNum>
  <w:abstractNum w:abstractNumId="65">
    <w:nsid w:val="49DA307D"/>
    <w:multiLevelType w:val="hybridMultilevel"/>
    <w:lvl w:ilvl="0">
      <w:lvlJc w:val="left"/>
      <w:lvlText w:val="•"/>
      <w:numFmt w:val="bullet"/>
      <w:start w:val="1"/>
    </w:lvl>
  </w:abstractNum>
  <w:abstractNum w:abstractNumId="66">
    <w:nsid w:val="7055A5F5"/>
    <w:multiLevelType w:val="hybridMultilevel"/>
    <w:lvl w:ilvl="0">
      <w:lvlJc w:val="left"/>
      <w:lvlText w:val="•"/>
      <w:numFmt w:val="bullet"/>
      <w:start w:val="1"/>
    </w:lvl>
  </w:abstractNum>
  <w:abstractNum w:abstractNumId="67">
    <w:nsid w:val="5FB8370B"/>
    <w:multiLevelType w:val="hybridMultilevel"/>
    <w:lvl w:ilvl="0">
      <w:lvlJc w:val="left"/>
      <w:lvlText w:val="•"/>
      <w:numFmt w:val="bullet"/>
      <w:start w:val="1"/>
    </w:lvl>
  </w:abstractNum>
  <w:abstractNum w:abstractNumId="68">
    <w:nsid w:val="50801EE1"/>
    <w:multiLevelType w:val="hybridMultilevel"/>
    <w:lvl w:ilvl="0">
      <w:lvlJc w:val="left"/>
      <w:lvlText w:val="•"/>
      <w:numFmt w:val="bullet"/>
      <w:start w:val="1"/>
    </w:lvl>
  </w:abstractNum>
  <w:abstractNum w:abstractNumId="69">
    <w:nsid w:val="488AC1A"/>
    <w:multiLevelType w:val="hybridMultilevel"/>
    <w:lvl w:ilvl="0">
      <w:lvlJc w:val="left"/>
      <w:lvlText w:val="•"/>
      <w:numFmt w:val="bullet"/>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
      <w:numFmt w:val="bullet"/>
      <w:start w:val="1"/>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
      <w:numFmt w:val="bullet"/>
      <w:start w:val="1"/>
    </w:lvl>
  </w:abstractNum>
  <w:abstractNum w:abstractNumId="75">
    <w:nsid w:val="7D5E18F8"/>
    <w:multiLevelType w:val="hybridMultilevel"/>
    <w:lvl w:ilvl="0">
      <w:lvlJc w:val="left"/>
      <w:lvlText w:val="#"/>
      <w:numFmt w:val="bullet"/>
      <w:start w:val="1"/>
    </w:lvl>
  </w:abstractNum>
  <w:abstractNum w:abstractNumId="76">
    <w:nsid w:val="5F3534A4"/>
    <w:multiLevelType w:val="hybridMultilevel"/>
    <w:lvl w:ilvl="0">
      <w:lvlJc w:val="left"/>
      <w:lvlText w:val="•"/>
      <w:numFmt w:val="bullet"/>
      <w:start w:val="1"/>
    </w:lvl>
  </w:abstractNum>
  <w:abstractNum w:abstractNumId="77">
    <w:nsid w:val="73A1821B"/>
    <w:multiLevelType w:val="hybridMultilevel"/>
    <w:lvl w:ilvl="0">
      <w:lvlJc w:val="left"/>
      <w:lvlText w:val="•"/>
      <w:numFmt w:val="bullet"/>
      <w:start w:val="1"/>
    </w:lvl>
  </w:abstractNum>
  <w:abstractNum w:abstractNumId="78">
    <w:nsid w:val="7DE67713"/>
    <w:multiLevelType w:val="hybridMultilevel"/>
    <w:lvl w:ilvl="0">
      <w:lvlJc w:val="left"/>
      <w:lvlText w:val="%1."/>
      <w:numFmt w:val="decimal"/>
      <w:start w:val="1"/>
    </w:lvl>
  </w:abstractNum>
  <w:abstractNum w:abstractNumId="79">
    <w:nsid w:val="555C55B5"/>
    <w:multiLevelType w:val="hybridMultilevel"/>
    <w:lvl w:ilvl="0">
      <w:lvlJc w:val="left"/>
      <w:lvlText w:val="%1."/>
      <w:numFmt w:val="decimal"/>
      <w:start w:val="2"/>
    </w:lvl>
  </w:abstractNum>
  <w:abstractNum w:abstractNumId="80">
    <w:nsid w:val="3FA62ACA"/>
    <w:multiLevelType w:val="hybridMultilevel"/>
    <w:lvl w:ilvl="0">
      <w:lvlJc w:val="left"/>
      <w:lvlText w:val="%1."/>
      <w:numFmt w:val="decimal"/>
      <w:start w:val="7"/>
    </w:lvl>
  </w:abstractNum>
  <w:abstractNum w:abstractNumId="81">
    <w:nsid w:val="14FCE74E"/>
    <w:multiLevelType w:val="hybridMultilevel"/>
    <w:lvl w:ilvl="0">
      <w:lvlJc w:val="left"/>
      <w:lvlText w:val="•"/>
      <w:numFmt w:val="bullet"/>
      <w:start w:val="1"/>
    </w:lvl>
  </w:abstractNum>
  <w:abstractNum w:abstractNumId="82">
    <w:nsid w:val="6A3DD3E8"/>
    <w:multiLevelType w:val="hybridMultilevel"/>
    <w:lvl w:ilvl="0">
      <w:lvlJc w:val="left"/>
      <w:lvlText w:val="•"/>
      <w:numFmt w:val="bullet"/>
      <w:start w:val="1"/>
    </w:lvl>
  </w:abstractNum>
  <w:abstractNum w:abstractNumId="83">
    <w:nsid w:val="71C91298"/>
    <w:multiLevelType w:val="hybridMultilevel"/>
    <w:lvl w:ilvl="0">
      <w:lvlJc w:val="left"/>
      <w:lvlText w:val="•"/>
      <w:numFmt w:val="bullet"/>
      <w:start w:val="1"/>
    </w:lvl>
  </w:abstractNum>
  <w:abstractNum w:abstractNumId="84">
    <w:nsid w:val="9DAF632"/>
    <w:multiLevelType w:val="hybridMultilevel"/>
    <w:lvl w:ilvl="0">
      <w:lvlJc w:val="left"/>
      <w:lvlText w:val="%1."/>
      <w:numFmt w:val="decimal"/>
      <w:start w:val="9"/>
    </w:lvl>
  </w:abstractNum>
  <w:abstractNum w:abstractNumId="85">
    <w:nsid w:val="53299938"/>
    <w:multiLevelType w:val="hybridMultilevel"/>
    <w:lvl w:ilvl="0">
      <w:lvlJc w:val="left"/>
      <w:lvlText w:val="%1."/>
      <w:numFmt w:val="decimal"/>
      <w:start w:val="10"/>
    </w:lvl>
  </w:abstractNum>
  <w:abstractNum w:abstractNumId="86">
    <w:nsid w:val="1FBFE8E0"/>
    <w:multiLevelType w:val="hybridMultilevel"/>
    <w:lvl w:ilvl="0">
      <w:lvlJc w:val="left"/>
      <w:lvlText w:val="%1."/>
      <w:numFmt w:val="decimal"/>
      <w:start w:val="12"/>
    </w:lvl>
  </w:abstractNum>
  <w:abstractNum w:abstractNumId="87">
    <w:nsid w:val="5092CA79"/>
    <w:multiLevelType w:val="hybridMultilevel"/>
    <w:lvl w:ilvl="0">
      <w:lvlJc w:val="left"/>
      <w:lvlText w:val="(%1)"/>
      <w:numFmt w:val="decimal"/>
      <w:start w:val="1"/>
    </w:lvl>
  </w:abstractNum>
  <w:abstractNum w:abstractNumId="88">
    <w:nsid w:val="1D545C4D"/>
    <w:multiLevelType w:val="hybridMultilevel"/>
    <w:lvl w:ilvl="0">
      <w:lvlJc w:val="left"/>
      <w:lvlText w:val="%1."/>
      <w:numFmt w:val="decimal"/>
      <w:start w:val="15"/>
    </w:lvl>
  </w:abstractNum>
  <w:abstractNum w:abstractNumId="89">
    <w:nsid w:val="59ADEA3D"/>
    <w:multiLevelType w:val="hybridMultilevel"/>
    <w:lvl w:ilvl="0">
      <w:lvlJc w:val="left"/>
      <w:lvlText w:val="(%1)"/>
      <w:numFmt w:val="lowerLetter"/>
      <w:start w:val="1"/>
    </w:lvl>
  </w:abstractNum>
  <w:abstractNum w:abstractNumId="90">
    <w:nsid w:val="288F1A34"/>
    <w:multiLevelType w:val="hybridMultilevel"/>
    <w:lvl w:ilvl="0">
      <w:lvlJc w:val="left"/>
      <w:lvlText w:val="(%1)"/>
      <w:numFmt w:val="lowerLetter"/>
      <w:start w:val="1"/>
    </w:lvl>
  </w:abstractNum>
  <w:abstractNum w:abstractNumId="91">
    <w:nsid w:val="2A155DBC"/>
    <w:multiLevelType w:val="hybridMultilevel"/>
    <w:lvl w:ilvl="0">
      <w:lvlJc w:val="left"/>
      <w:lvlText w:val="(%1)"/>
      <w:numFmt w:val="lowerLetter"/>
      <w:start w:val="1"/>
    </w:lvl>
  </w:abstractNum>
  <w:abstractNum w:abstractNumId="92">
    <w:nsid w:val="1D9F6E5F"/>
    <w:multiLevelType w:val="hybridMultilevel"/>
    <w:lvl w:ilvl="0">
      <w:lvlJc w:val="left"/>
      <w:lvlText w:val="(%1)"/>
      <w:numFmt w:val="lowerLetter"/>
      <w:start w:val="1"/>
    </w:lvl>
  </w:abstractNum>
  <w:abstractNum w:abstractNumId="93">
    <w:nsid w:val="97E1B4E"/>
    <w:multiLevelType w:val="hybridMultilevel"/>
    <w:lvl w:ilvl="0">
      <w:lvlJc w:val="left"/>
      <w:lvlText w:val="(%1)"/>
      <w:numFmt w:val="lowerLetter"/>
      <w:start w:val="1"/>
    </w:lvl>
  </w:abstractNum>
  <w:abstractNum w:abstractNumId="94">
    <w:nsid w:val="51088277"/>
    <w:multiLevelType w:val="hybridMultilevel"/>
    <w:lvl w:ilvl="0">
      <w:lvlJc w:val="left"/>
      <w:lvlText w:val="(%1)"/>
      <w:numFmt w:val="lowerLetter"/>
      <w:start w:val="1"/>
    </w:lvl>
  </w:abstractNum>
  <w:abstractNum w:abstractNumId="95">
    <w:nsid w:val="1CA0C5FA"/>
    <w:multiLevelType w:val="hybridMultilevel"/>
    <w:lvl w:ilvl="0">
      <w:lvlJc w:val="left"/>
      <w:lvlText w:val="(%1)"/>
      <w:numFmt w:val="lowerLetter"/>
      <w:start w:val="2"/>
    </w:lvl>
  </w:abstractNum>
  <w:abstractNum w:abstractNumId="96">
    <w:nsid w:val="53584BCB"/>
    <w:multiLevelType w:val="hybridMultilevel"/>
    <w:lvl w:ilvl="0">
      <w:lvlJc w:val="left"/>
      <w:lvlText w:val="(%1)"/>
      <w:numFmt w:val="lowerLetter"/>
      <w:start w:val="1"/>
    </w:lvl>
  </w:abstractNum>
  <w:abstractNum w:abstractNumId="97">
    <w:nsid w:val="415E286C"/>
    <w:multiLevelType w:val="hybridMultilevel"/>
    <w:lvl w:ilvl="0">
      <w:lvlJc w:val="left"/>
      <w:lvlText w:val="(%1)"/>
      <w:numFmt w:val="lowerLetter"/>
      <w:start w:val="2"/>
    </w:lvl>
  </w:abstractNum>
  <w:abstractNum w:abstractNumId="98">
    <w:nsid w:val="7C58FD05"/>
    <w:multiLevelType w:val="hybridMultilevel"/>
    <w:lvl w:ilvl="0">
      <w:lvlJc w:val="left"/>
      <w:lvlText w:val="(%1)"/>
      <w:numFmt w:val="lowerLetter"/>
      <w:start w:val="1"/>
    </w:lvl>
  </w:abstractNum>
  <w:abstractNum w:abstractNumId="99">
    <w:nsid w:val="23D86AAC"/>
    <w:multiLevelType w:val="hybridMultilevel"/>
    <w:lvl w:ilvl="0">
      <w:lvlJc w:val="left"/>
      <w:lvlText w:val="%1"/>
      <w:numFmt w:val="lowerLetter"/>
      <w:start w:val="1"/>
    </w:lvl>
    <w:lvl w:ilvl="1">
      <w:lvlJc w:val="left"/>
      <w:lvlText w:val="(%2)"/>
      <w:numFmt w:val="lowerLetter"/>
      <w:start w:val="1"/>
    </w:lvl>
  </w:abstractNum>
  <w:abstractNum w:abstractNumId="100">
    <w:nsid w:val="45E6D486"/>
    <w:multiLevelType w:val="hybridMultilevel"/>
    <w:lvl w:ilvl="0">
      <w:lvlJc w:val="left"/>
      <w:lvlText w:val="(%1)"/>
      <w:numFmt w:val="lowerLetter"/>
      <w:start w:val="9"/>
    </w:lvl>
    <w:lvl w:ilvl="1">
      <w:lvlJc w:val="left"/>
      <w:lvlText w:val="%2"/>
      <w:numFmt w:val="lowerLetter"/>
      <w:start w:val="1"/>
    </w:lvl>
  </w:abstractNum>
  <w:abstractNum w:abstractNumId="101">
    <w:nsid w:val="5C10FE21"/>
    <w:multiLevelType w:val="hybridMultilevel"/>
    <w:lvl w:ilvl="0">
      <w:lvlJc w:val="left"/>
      <w:lvlText w:val="(%1)"/>
      <w:numFmt w:val="lowerLetter"/>
      <w:start w:val="1"/>
    </w:lvl>
  </w:abstractNum>
  <w:abstractNum w:abstractNumId="102">
    <w:nsid w:val="E7FFA2B"/>
    <w:multiLevelType w:val="hybridMultilevel"/>
    <w:lvl w:ilvl="0">
      <w:lvlJc w:val="left"/>
      <w:lvlText w:val="%1."/>
      <w:numFmt w:val="decimal"/>
      <w:start w:val="1"/>
    </w:lvl>
  </w:abstractNum>
  <w:abstractNum w:abstractNumId="103">
    <w:nsid w:val="3C5991AA"/>
    <w:multiLevelType w:val="hybridMultilevel"/>
    <w:lvl w:ilvl="0">
      <w:lvlJc w:val="left"/>
      <w:lvlText w:val="%1."/>
      <w:numFmt w:val="decimal"/>
      <w:start w:val="4"/>
    </w:lvl>
    <w:lvl w:ilvl="1">
      <w:lvlJc w:val="left"/>
      <w:lvlText w:val="(%2)"/>
      <w:numFmt w:val="lowerLetter"/>
      <w:start w:val="1"/>
    </w:lvl>
  </w:abstractNum>
  <w:abstractNum w:abstractNumId="104">
    <w:nsid w:val="4BD8591A"/>
    <w:multiLevelType w:val="hybridMultilevel"/>
    <w:lvl w:ilvl="0">
      <w:lvlJc w:val="left"/>
      <w:lvlText w:val="(%1)"/>
      <w:numFmt w:val="lowerLetter"/>
      <w:start w:val="1"/>
    </w:lvl>
    <w:lvl w:ilvl="1">
      <w:lvlJc w:val="left"/>
      <w:lvlText w:val="%2."/>
      <w:numFmt w:val="decimal"/>
      <w:start w:val="8"/>
    </w:lvl>
  </w:abstractNum>
  <w:abstractNum w:abstractNumId="105">
    <w:nsid w:val="78DF6A55"/>
    <w:multiLevelType w:val="hybridMultilevel"/>
    <w:lvl w:ilvl="0">
      <w:lvlJc w:val="left"/>
      <w:lvlText w:val="%1"/>
      <w:numFmt w:val="lowerLetter"/>
      <w:start w:val="1"/>
    </w:lvl>
    <w:lvl w:ilvl="1">
      <w:lvlJc w:val="left"/>
      <w:lvlText w:val="%2."/>
      <w:numFmt w:val="decimal"/>
      <w:start w:val="1"/>
    </w:lvl>
  </w:abstractNum>
  <w:abstractNum w:abstractNumId="106">
    <w:nsid w:val="39B7AAA2"/>
    <w:multiLevelType w:val="hybridMultilevel"/>
    <w:lvl w:ilvl="0">
      <w:lvlJc w:val="left"/>
      <w:lvlText w:val="(%1)"/>
      <w:numFmt w:val="lowerLetter"/>
      <w:start w:val="1"/>
    </w:lvl>
    <w:lvl w:ilvl="1">
      <w:lvlJc w:val="left"/>
      <w:lvlText w:val="%2"/>
      <w:numFmt w:val="decimal"/>
      <w:start w:val="1"/>
    </w:lvl>
  </w:abstractNum>
  <w:abstractNum w:abstractNumId="107">
    <w:nsid w:val="2B0D8DBE"/>
    <w:multiLevelType w:val="hybridMultilevel"/>
    <w:lvl w:ilvl="0">
      <w:lvlJc w:val="left"/>
      <w:lvlText w:val="%1."/>
      <w:numFmt w:val="decimal"/>
      <w:start w:val="4"/>
    </w:lvl>
  </w:abstractNum>
  <w:abstractNum w:abstractNumId="108">
    <w:nsid w:val="6C80EC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09">
    <w:nsid w:val="379E21B5"/>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10">
    <w:nsid w:val="69E373"/>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111">
    <w:nsid w:val="2C27173B"/>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12">
    <w:nsid w:val="4C9B0904"/>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2"/>
    </w:lvl>
  </w:abstractNum>
  <w:abstractNum w:abstractNumId="113">
    <w:nsid w:val="6AA7B75C"/>
    <w:multiLevelType w:val="hybridMultilevel"/>
    <w:lvl w:ilvl="0">
      <w:lvlJc w:val="left"/>
      <w:lvlText w:val="(%1)"/>
      <w:numFmt w:val="lowerLetter"/>
      <w:start w:val="4"/>
    </w:lvl>
  </w:abstractNum>
  <w:abstractNum w:abstractNumId="114">
    <w:nsid w:val="1DF029D3"/>
    <w:multiLevelType w:val="hybridMultilevel"/>
    <w:lvl w:ilvl="0">
      <w:lvlJc w:val="left"/>
      <w:lvlText w:val="(%1)"/>
      <w:numFmt w:val="lowerLetter"/>
      <w:start w:val="5"/>
    </w:lvl>
  </w:abstractNum>
  <w:abstractNum w:abstractNumId="115">
    <w:nsid w:val="5675FF36"/>
    <w:multiLevelType w:val="hybridMultilevel"/>
    <w:lvl w:ilvl="0">
      <w:lvlJc w:val="left"/>
      <w:lvlText w:val="%1"/>
      <w:numFmt w:val="decimal"/>
      <w:start w:val="1"/>
    </w:lvl>
    <w:lvl w:ilvl="1">
      <w:lvlJc w:val="left"/>
      <w:lvlText w:val="(%2)"/>
      <w:numFmt w:val="lowerLetter"/>
      <w:start w:val="8"/>
    </w:lvl>
  </w:abstractNum>
  <w:abstractNum w:abstractNumId="116">
    <w:nsid w:val="3DD15094"/>
    <w:multiLevelType w:val="hybridMultilevel"/>
    <w:lvl w:ilvl="0">
      <w:lvlJc w:val="left"/>
      <w:lvlText w:val="%1."/>
      <w:numFmt w:val="decimal"/>
      <w:start w:val="4"/>
    </w:lvl>
    <w:lvl w:ilvl="1">
      <w:lvlJc w:val="left"/>
      <w:lvlText w:val="%2"/>
      <w:numFmt w:val="lowerLetter"/>
      <w:start w:val="1"/>
    </w:lvl>
  </w:abstractNum>
  <w:abstractNum w:abstractNumId="117">
    <w:nsid w:val="3DB012B3"/>
    <w:multiLevelType w:val="hybridMultilevel"/>
    <w:lvl w:ilvl="0">
      <w:lvlJc w:val="left"/>
      <w:lvlText w:val="%1."/>
      <w:numFmt w:val="decimal"/>
      <w:start w:val="5"/>
    </w:lvl>
    <w:lvl w:ilvl="1">
      <w:lvlJc w:val="left"/>
      <w:lvlText w:val="(%2)"/>
      <w:numFmt w:val="lowerLetter"/>
      <w:start w:val="1"/>
    </w:lvl>
  </w:abstractNum>
  <w:abstractNum w:abstractNumId="118">
    <w:nsid w:val="2708C9AF"/>
    <w:multiLevelType w:val="hybridMultilevel"/>
    <w:lvl w:ilvl="0">
      <w:lvlJc w:val="left"/>
      <w:lvlText w:val="%1."/>
      <w:numFmt w:val="decimal"/>
      <w:start w:val="9"/>
    </w:lvl>
  </w:abstractNum>
  <w:abstractNum w:abstractNumId="119">
    <w:nsid w:val="5B25ACE2"/>
    <w:multiLevelType w:val="hybridMultilevel"/>
    <w:lvl w:ilvl="0">
      <w:lvlJc w:val="left"/>
      <w:lvlText w:val="%1."/>
      <w:numFmt w:val="decimal"/>
      <w:start w:val="1"/>
    </w:lvl>
    <w:lvl w:ilvl="1">
      <w:lvlJc w:val="left"/>
      <w:lvlText w:val="(%2)"/>
      <w:numFmt w:val="lowerLetter"/>
      <w:start w:val="1"/>
    </w:lvl>
  </w:abstractNum>
  <w:abstractNum w:abstractNumId="120">
    <w:nsid w:val="175DFCF0"/>
    <w:multiLevelType w:val="hybridMultilevel"/>
    <w:lvl w:ilvl="0">
      <w:lvlJc w:val="left"/>
      <w:lvlText w:val="(%1)"/>
      <w:numFmt w:val="lowerLetter"/>
      <w:start w:val="1"/>
    </w:lvl>
  </w:abstractNum>
  <w:abstractNum w:abstractNumId="121">
    <w:nsid w:val="4F97E3E4"/>
    <w:multiLevelType w:val="hybridMultilevel"/>
    <w:lvl w:ilvl="0">
      <w:lvlJc w:val="left"/>
      <w:lvlText w:val="%1."/>
      <w:numFmt w:val="decimal"/>
      <w:start w:val="1"/>
    </w:lvl>
    <w:lvl w:ilvl="1">
      <w:lvlJc w:val="left"/>
      <w:lvlText w:val="(%2)"/>
      <w:numFmt w:val="lowerLetter"/>
      <w:start w:val="1"/>
    </w:lvl>
  </w:abstractNum>
  <w:abstractNum w:abstractNumId="122">
    <w:nsid w:val="53B0A9E"/>
    <w:multiLevelType w:val="hybridMultilevel"/>
    <w:lvl w:ilvl="0">
      <w:lvlJc w:val="left"/>
      <w:lvlText w:val="(%1)"/>
      <w:numFmt w:val="lowerLetter"/>
      <w:start w:val="2"/>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29" Type="http://schemas.openxmlformats.org/officeDocument/2006/relationships/image" Target="media/image385.png"/><Relationship Id="rId430" Type="http://schemas.openxmlformats.org/officeDocument/2006/relationships/image" Target="media/image386.png"/><Relationship Id="rId431" Type="http://schemas.openxmlformats.org/officeDocument/2006/relationships/image" Target="media/image387.png"/><Relationship Id="rId432" Type="http://schemas.openxmlformats.org/officeDocument/2006/relationships/image" Target="media/image388.png"/><Relationship Id="rId433" Type="http://schemas.openxmlformats.org/officeDocument/2006/relationships/image" Target="media/image389.png"/><Relationship Id="rId434" Type="http://schemas.openxmlformats.org/officeDocument/2006/relationships/image" Target="media/image390.png"/><Relationship Id="rId435" Type="http://schemas.openxmlformats.org/officeDocument/2006/relationships/image" Target="media/image391.png"/><Relationship Id="rId436" Type="http://schemas.openxmlformats.org/officeDocument/2006/relationships/image" Target="media/image392.png"/><Relationship Id="rId437" Type="http://schemas.openxmlformats.org/officeDocument/2006/relationships/image" Target="media/image393.png"/><Relationship Id="rId438" Type="http://schemas.openxmlformats.org/officeDocument/2006/relationships/image" Target="media/image394.png"/><Relationship Id="rId439" Type="http://schemas.openxmlformats.org/officeDocument/2006/relationships/image" Target="media/image395.png"/><Relationship Id="rId440" Type="http://schemas.openxmlformats.org/officeDocument/2006/relationships/image" Target="media/image396.png"/><Relationship Id="rId441" Type="http://schemas.openxmlformats.org/officeDocument/2006/relationships/image" Target="media/image397.png"/><Relationship Id="rId442" Type="http://schemas.openxmlformats.org/officeDocument/2006/relationships/image" Target="media/image398.png"/><Relationship Id="rId443" Type="http://schemas.openxmlformats.org/officeDocument/2006/relationships/image" Target="media/image399.png"/><Relationship Id="rId444" Type="http://schemas.openxmlformats.org/officeDocument/2006/relationships/image" Target="media/image400.png"/><Relationship Id="rId445" Type="http://schemas.openxmlformats.org/officeDocument/2006/relationships/image" Target="media/image401.png"/><Relationship Id="rId446" Type="http://schemas.openxmlformats.org/officeDocument/2006/relationships/image" Target="media/image402.png"/><Relationship Id="rId447" Type="http://schemas.openxmlformats.org/officeDocument/2006/relationships/image" Target="media/image403.png"/><Relationship Id="rId448" Type="http://schemas.openxmlformats.org/officeDocument/2006/relationships/image" Target="media/image404.png"/><Relationship Id="rId449" Type="http://schemas.openxmlformats.org/officeDocument/2006/relationships/image" Target="media/image405.jpeg"/><Relationship Id="rId450" Type="http://schemas.openxmlformats.org/officeDocument/2006/relationships/image" Target="media/image406.jpeg"/><Relationship Id="rId451" Type="http://schemas.openxmlformats.org/officeDocument/2006/relationships/image" Target="media/image407.jpeg"/><Relationship Id="rId452" Type="http://schemas.openxmlformats.org/officeDocument/2006/relationships/image" Target="media/image408.png"/><Relationship Id="rId453" Type="http://schemas.openxmlformats.org/officeDocument/2006/relationships/image" Target="media/image409.png"/><Relationship Id="rId454" Type="http://schemas.openxmlformats.org/officeDocument/2006/relationships/image" Target="media/image410.png"/><Relationship Id="rId455" Type="http://schemas.openxmlformats.org/officeDocument/2006/relationships/image" Target="media/image411.png"/><Relationship Id="rId456" Type="http://schemas.openxmlformats.org/officeDocument/2006/relationships/image" Target="media/image412.png"/><Relationship Id="rId457" Type="http://schemas.openxmlformats.org/officeDocument/2006/relationships/image" Target="media/image413.png"/><Relationship Id="rId458" Type="http://schemas.openxmlformats.org/officeDocument/2006/relationships/image" Target="media/image414.png"/><Relationship Id="rId459" Type="http://schemas.openxmlformats.org/officeDocument/2006/relationships/image" Target="media/image415.png"/><Relationship Id="rId460" Type="http://schemas.openxmlformats.org/officeDocument/2006/relationships/image" Target="media/image416.png"/><Relationship Id="rId461" Type="http://schemas.openxmlformats.org/officeDocument/2006/relationships/image" Target="media/image417.png"/><Relationship Id="rId462" Type="http://schemas.openxmlformats.org/officeDocument/2006/relationships/image" Target="media/image418.png"/><Relationship Id="rId463" Type="http://schemas.openxmlformats.org/officeDocument/2006/relationships/image" Target="media/image419.png"/><Relationship Id="rId464" Type="http://schemas.openxmlformats.org/officeDocument/2006/relationships/image" Target="media/image420.png"/><Relationship Id="rId465" Type="http://schemas.openxmlformats.org/officeDocument/2006/relationships/image" Target="media/image421.png"/><Relationship Id="rId466" Type="http://schemas.openxmlformats.org/officeDocument/2006/relationships/image" Target="media/image422.png"/><Relationship Id="rId467" Type="http://schemas.openxmlformats.org/officeDocument/2006/relationships/image" Target="media/image423.png"/><Relationship Id="rId468" Type="http://schemas.openxmlformats.org/officeDocument/2006/relationships/image" Target="media/image424.png"/><Relationship Id="rId469" Type="http://schemas.openxmlformats.org/officeDocument/2006/relationships/image" Target="media/image425.png"/><Relationship Id="rId470" Type="http://schemas.openxmlformats.org/officeDocument/2006/relationships/image" Target="media/image426.png"/><Relationship Id="rId471" Type="http://schemas.openxmlformats.org/officeDocument/2006/relationships/image" Target="media/image427.png"/><Relationship Id="rId472" Type="http://schemas.openxmlformats.org/officeDocument/2006/relationships/image" Target="media/image428.png"/><Relationship Id="rId473" Type="http://schemas.openxmlformats.org/officeDocument/2006/relationships/image" Target="media/image429.png"/><Relationship Id="rId474" Type="http://schemas.openxmlformats.org/officeDocument/2006/relationships/image" Target="media/image430.png"/><Relationship Id="rId475" Type="http://schemas.openxmlformats.org/officeDocument/2006/relationships/image" Target="media/image431.png"/><Relationship Id="rId476" Type="http://schemas.openxmlformats.org/officeDocument/2006/relationships/image" Target="media/image432.png"/><Relationship Id="rId477" Type="http://schemas.openxmlformats.org/officeDocument/2006/relationships/image" Target="media/image433.png"/><Relationship Id="rId478" Type="http://schemas.openxmlformats.org/officeDocument/2006/relationships/image" Target="media/image434.png"/><Relationship Id="rId479" Type="http://schemas.openxmlformats.org/officeDocument/2006/relationships/image" Target="media/image435.png"/><Relationship Id="rId480" Type="http://schemas.openxmlformats.org/officeDocument/2006/relationships/image" Target="media/image436.png"/><Relationship Id="rId481" Type="http://schemas.openxmlformats.org/officeDocument/2006/relationships/image" Target="media/image437.png"/><Relationship Id="rId482" Type="http://schemas.openxmlformats.org/officeDocument/2006/relationships/image" Target="media/image438.png"/><Relationship Id="rId483" Type="http://schemas.openxmlformats.org/officeDocument/2006/relationships/image" Target="media/image439.png"/><Relationship Id="rId166" Type="http://schemas.openxmlformats.org/officeDocument/2006/relationships/hyperlink" Target="https://www.sec.gov/Archives/edgar/data/0001745999/000156459021013190/beam-ex21_408.htm" TargetMode="External"/><Relationship Id="rId167" Type="http://schemas.openxmlformats.org/officeDocument/2006/relationships/hyperlink" Target="https://www.sec.gov/Archives/edgar/data/1745999/000119312520031290/d842502dex31.htm" TargetMode="External"/><Relationship Id="rId168" Type="http://schemas.openxmlformats.org/officeDocument/2006/relationships/hyperlink" Target="https://www.sec.gov/Archives/edgar/data/1745999/000119312520031290/d842502dex32.htm" TargetMode="External"/><Relationship Id="rId169" Type="http://schemas.openxmlformats.org/officeDocument/2006/relationships/hyperlink" Target="https://www.sec.gov/Archives/edgar/data/1745999/000119312519257401/d734398dex41.htm" TargetMode="External"/><Relationship Id="rId170" Type="http://schemas.openxmlformats.org/officeDocument/2006/relationships/hyperlink" Target="https://www.sec.gov/Archives/edgar/data/1745999/000119312519257401/d734398dex42.htm" TargetMode="External"/><Relationship Id="rId171" Type="http://schemas.openxmlformats.org/officeDocument/2006/relationships/hyperlink" Target="https://www.sec.gov/Archives/edgar/data/0001745999/000119312521010753/d65346dex101.htm" TargetMode="External"/><Relationship Id="rId172" Type="http://schemas.openxmlformats.org/officeDocument/2006/relationships/hyperlink" Target="https://www.sec.gov/Archives/edgar/data/0001745999/000119312521103074/d160079dex411.htm" TargetMode="External"/><Relationship Id="rId173" Type="http://schemas.openxmlformats.org/officeDocument/2006/relationships/hyperlink" Target="https://www.sec.gov/Archives/edgar/data/1745999/000119312519257401/d734398dex101.htm" TargetMode="External"/><Relationship Id="rId174" Type="http://schemas.openxmlformats.org/officeDocument/2006/relationships/hyperlink" Target="https://www.sec.gov/Archives/edgar/data/1745999/000119312519257401/d734398dex102.htm" TargetMode="External"/><Relationship Id="rId175" Type="http://schemas.openxmlformats.org/officeDocument/2006/relationships/hyperlink" Target="https://www.sec.gov/Archives/edgar/data/0001745999/000119312521103255/d161815dex11.htm" TargetMode="External"/><Relationship Id="rId176" Type="http://schemas.openxmlformats.org/officeDocument/2006/relationships/hyperlink" Target="https://www.sec.gov/Archives/edgar/data/1745999/000119312519257401/d734398dex104.htm" TargetMode="External"/><Relationship Id="rId177" Type="http://schemas.openxmlformats.org/officeDocument/2006/relationships/hyperlink" Target="https://www.sec.gov/Archives/edgar/data/0001745999/000156459021013190/beam-ex105_865.htm" TargetMode="External"/><Relationship Id="rId178" Type="http://schemas.openxmlformats.org/officeDocument/2006/relationships/hyperlink" Target="https://www.sec.gov/Archives/edgar/data/0001745999/000156459021013190/beam-ex106_866.htm" TargetMode="External"/><Relationship Id="rId179" Type="http://schemas.openxmlformats.org/officeDocument/2006/relationships/hyperlink" Target="https://www.sec.gov/Archives/edgar/data/1745999/000119312519257401/d734398dex105.htm" TargetMode="External"/><Relationship Id="rId180" Type="http://schemas.openxmlformats.org/officeDocument/2006/relationships/hyperlink" Target="https://www.sec.gov/Archives/edgar/data/0001745999/000156459021013190/beam-ex108_867.htm" TargetMode="External"/><Relationship Id="rId183" Type="http://schemas.openxmlformats.org/officeDocument/2006/relationships/hyperlink" Target="https://www.sec.gov/Archives/edgar/data/1745999/000119312519257401/d734398dex106.htm" TargetMode="External"/><Relationship Id="rId184" Type="http://schemas.openxmlformats.org/officeDocument/2006/relationships/hyperlink" Target="https://www.sec.gov/Archives/edgar/data/0001745999/000156459021013190/beam-ex1010_868.htm" TargetMode="External"/><Relationship Id="rId185" Type="http://schemas.openxmlformats.org/officeDocument/2006/relationships/hyperlink" Target="https://www.sec.gov/Archives/edgar/data/0001745999/000156459021013190/beam-ex1011_159.htm" TargetMode="External"/><Relationship Id="rId186" Type="http://schemas.openxmlformats.org/officeDocument/2006/relationships/hyperlink" Target="https://www.sec.gov/Archives/edgar/data/1745999/000119312519257401/d734398dex107.htm" TargetMode="External"/><Relationship Id="rId187" Type="http://schemas.openxmlformats.org/officeDocument/2006/relationships/hyperlink" Target="https://www.sec.gov/Archives/edgar/data/1745999/000119312520014727/d221975dex108.htm" TargetMode="External"/><Relationship Id="rId188" Type="http://schemas.openxmlformats.org/officeDocument/2006/relationships/hyperlink" Target="https://www.sec.gov/Archives/edgar/data/1745999/000119312519257401/d734398dex109.htm" TargetMode="External"/><Relationship Id="rId189" Type="http://schemas.openxmlformats.org/officeDocument/2006/relationships/hyperlink" Target="https://www.sec.gov/Archives/edgar/data/1745999/000119312519257401/d734398dex1010.htm" TargetMode="External"/><Relationship Id="rId190" Type="http://schemas.openxmlformats.org/officeDocument/2006/relationships/hyperlink" Target="https://www.sec.gov/Archives/edgar/data/1745999/000119312519257401/d734398dex1011.htm" TargetMode="External"/><Relationship Id="rId191" Type="http://schemas.openxmlformats.org/officeDocument/2006/relationships/hyperlink" Target="https://www.sec.gov/Archives/edgar/data/1745999/000119312519257401/d734398dex1012.htm" TargetMode="External"/><Relationship Id="rId192" Type="http://schemas.openxmlformats.org/officeDocument/2006/relationships/hyperlink" Target="https://www.sec.gov/Archives/edgar/data/0001745999/000095017021001110/beam-20210630ex10_1.htm" TargetMode="External"/><Relationship Id="rId193" Type="http://schemas.openxmlformats.org/officeDocument/2006/relationships/hyperlink" Target="https://www.sec.gov/Archives/edgar/data/1745999/000119312520014727/d221975dex1014.htm" TargetMode="External"/><Relationship Id="rId194" Type="http://schemas.openxmlformats.org/officeDocument/2006/relationships/hyperlink" Target="https://www.sec.gov/Archives/edgar/data/1745999/000119312520014727/d221975dex1015.htm" TargetMode="External"/><Relationship Id="rId195" Type="http://schemas.openxmlformats.org/officeDocument/2006/relationships/hyperlink" Target="https://www.sec.gov/Archives/edgar/data/1745999/000119312520014727/d221975dex1016.htm" TargetMode="External"/><Relationship Id="rId196" Type="http://schemas.openxmlformats.org/officeDocument/2006/relationships/hyperlink" Target="https://www.sec.gov/Archives/edgar/data/1745999/000119312520014727/d221975dex1017.htm" TargetMode="External"/><Relationship Id="rId197" Type="http://schemas.openxmlformats.org/officeDocument/2006/relationships/hyperlink" Target="https://www.sec.gov/Archives/edgar/data/1745999/000119312520014727/d221975dex1018.htm" TargetMode="External"/><Relationship Id="rId198" Type="http://schemas.openxmlformats.org/officeDocument/2006/relationships/hyperlink" Target="https://www.sec.gov/Archives/edgar/data/1745999/000119312520014727/d221975dex1019.htm" TargetMode="External"/><Relationship Id="rId199" Type="http://schemas.openxmlformats.org/officeDocument/2006/relationships/hyperlink" Target="https://www.sec.gov/Archives/edgar/data/0001745999/000156459021013190/beam-ex1025_407.htm" TargetMode="External"/><Relationship Id="rId200" Type="http://schemas.openxmlformats.org/officeDocument/2006/relationships/hyperlink" Target="https://www.sec.gov/Archives/edgar/data/0001745999/000156459021013190/beam-ex1026_406.htm" TargetMode="External"/><Relationship Id="rId201" Type="http://schemas.openxmlformats.org/officeDocument/2006/relationships/hyperlink" Target="https://www.sec.gov/Archives/edgar/data/1745999/000119312520014727/d221975dex1021.htm" TargetMode="External"/><Relationship Id="rId202" Type="http://schemas.openxmlformats.org/officeDocument/2006/relationships/hyperlink" Target="https://www.sec.gov/Archives/edgar/data/0001745999/000095017021001110/beam-20210630ex10_2.htm" TargetMode="External"/><Relationship Id="rId203" Type="http://schemas.openxmlformats.org/officeDocument/2006/relationships/hyperlink" Target="https://www.sec.gov/Archives/edgar/data/1745999/000156459020039490/beam-ex101_197.htm" TargetMode="External"/><Relationship Id="rId206" Type="http://schemas.openxmlformats.org/officeDocument/2006/relationships/hyperlink" Target="https://www.sec.gov/Archives/edgar/data/1745999/000119312521209865/d187752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2022-02-28T06:37:08Z</dcterms:created>
  <dcterms:modified xsi:type="dcterms:W3CDTF">2022-02-28T06:37:08Z</dcterms:modified>
</cp:coreProperties>
</file>