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900" w:right="1940" w:hanging="3879"/>
        <w:spacing w:after="0" w:line="303" w:lineRule="auto"/>
        <w:tabs>
          <w:tab w:leader="none" w:pos="4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8"/>
          <w:szCs w:val="18"/>
          <w:color w:val="auto"/>
        </w:rPr>
      </w:pP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ind w:left="480" w:hanging="459"/>
        <w:spacing w:after="0" w:line="199" w:lineRule="auto"/>
        <w:tabs>
          <w:tab w:leader="none" w:pos="480" w:val="left"/>
        </w:tabs>
        <w:numPr>
          <w:ilvl w:val="0"/>
          <w:numId w:val="2"/>
        </w:numPr>
        <w:rPr>
          <w:rFonts w:ascii="MS PGothic" w:cs="MS PGothic" w:eastAsia="MS PGothic" w:hAnsi="MS PGothic"/>
          <w:sz w:val="7"/>
          <w:szCs w:val="7"/>
          <w:color w:val="auto"/>
        </w:rPr>
      </w:pPr>
      <w:r>
        <w:rPr>
          <w:rFonts w:ascii="Times New Roman" w:cs="Times New Roman" w:eastAsia="Times New Roman" w:hAnsi="Times New Roman"/>
          <w:sz w:val="7"/>
          <w:szCs w:val="7"/>
          <w:b w:val="1"/>
          <w:bCs w:val="1"/>
          <w:color w:val="auto"/>
        </w:rPr>
        <w:t>TRANSITION REPORT PURSUANT TO SECTION 13 OR 15(d) OF THE SECURITIES EXCHANGE ACT OF 1934 FOR THE</w:t>
      </w:r>
    </w:p>
    <w:p>
      <w:pPr>
        <w:spacing w:after="0" w:line="199" w:lineRule="exact"/>
        <w:rPr>
          <w:sz w:val="24"/>
          <w:szCs w:val="24"/>
          <w:color w:val="auto"/>
        </w:rPr>
      </w:pPr>
    </w:p>
    <w:p>
      <w:pPr>
        <w:ind w:left="4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3"/>
          <w:szCs w:val="43"/>
          <w:b w:val="1"/>
          <w:bCs w:val="1"/>
          <w:color w:val="auto"/>
        </w:rPr>
        <w:t>Beam Therapeutics Inc.</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3920" w:type="dxa"/>
            <w:vAlign w:val="bottom"/>
            <w:gridSpan w:val="5"/>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480" w:type="dxa"/>
            <w:vAlign w:val="bottom"/>
            <w:vMerge w:val="restart"/>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vMerge w:val="restart"/>
          </w:tcPr>
          <w:p>
            <w:pPr>
              <w:jc w:val="right"/>
              <w:ind w:right="1485"/>
              <w:spacing w:after="0"/>
              <w:rPr>
                <w:sz w:val="20"/>
                <w:szCs w:val="20"/>
                <w:color w:val="auto"/>
              </w:rPr>
            </w:pPr>
            <w:r>
              <w:rPr>
                <w:rFonts w:ascii="Times New Roman" w:cs="Times New Roman" w:eastAsia="Times New Roman" w:hAnsi="Times New Roman"/>
                <w:sz w:val="16"/>
                <w:szCs w:val="16"/>
                <w:b w:val="1"/>
                <w:bCs w:val="1"/>
                <w:color w:val="auto"/>
              </w:rPr>
              <w:t>81-5238376</w:t>
            </w:r>
          </w:p>
        </w:tc>
        <w:tc>
          <w:tcPr>
            <w:tcW w:w="0" w:type="dxa"/>
            <w:vAlign w:val="bottom"/>
          </w:tcPr>
          <w:p>
            <w:pPr>
              <w:spacing w:after="0"/>
              <w:rPr>
                <w:sz w:val="1"/>
                <w:szCs w:val="1"/>
                <w:color w:val="auto"/>
              </w:rPr>
            </w:pPr>
          </w:p>
        </w:tc>
      </w:tr>
      <w:tr>
        <w:trPr>
          <w:trHeight w:val="244"/>
        </w:trPr>
        <w:tc>
          <w:tcPr>
            <w:tcW w:w="348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860" w:type="dxa"/>
            <w:vAlign w:val="bottom"/>
            <w:gridSpan w:val="4"/>
          </w:tcPr>
          <w:p>
            <w:pPr>
              <w:jc w:val="center"/>
              <w:ind w:right="1220"/>
              <w:spacing w:after="0" w:line="15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State or other jurisdiction of</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tcPr>
          <w:p>
            <w:pPr>
              <w:jc w:val="center"/>
              <w:ind w:right="825"/>
              <w:spacing w:after="0" w:line="15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I.R.S. Employer</w:t>
            </w:r>
          </w:p>
        </w:tc>
        <w:tc>
          <w:tcPr>
            <w:tcW w:w="0" w:type="dxa"/>
            <w:vAlign w:val="bottom"/>
          </w:tcPr>
          <w:p>
            <w:pPr>
              <w:spacing w:after="0"/>
              <w:rPr>
                <w:sz w:val="1"/>
                <w:szCs w:val="1"/>
                <w:color w:val="auto"/>
              </w:rPr>
            </w:pPr>
          </w:p>
        </w:tc>
      </w:tr>
      <w:tr>
        <w:trPr>
          <w:trHeight w:val="192"/>
        </w:trPr>
        <w:tc>
          <w:tcPr>
            <w:tcW w:w="686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05"/>
        </w:trPr>
        <w:tc>
          <w:tcPr>
            <w:tcW w:w="3480" w:type="dxa"/>
            <w:vAlign w:val="bottom"/>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238 Main Street</w:t>
            </w: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80" w:type="dxa"/>
            <w:vAlign w:val="bottom"/>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Cambridge, MA</w:t>
            </w:r>
          </w:p>
        </w:tc>
        <w:tc>
          <w:tcPr>
            <w:tcW w:w="10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tcPr>
          <w:p>
            <w:pPr>
              <w:jc w:val="right"/>
              <w:ind w:right="1665"/>
              <w:spacing w:after="0"/>
              <w:rPr>
                <w:sz w:val="20"/>
                <w:szCs w:val="20"/>
                <w:color w:val="auto"/>
              </w:rPr>
            </w:pPr>
            <w:r>
              <w:rPr>
                <w:rFonts w:ascii="Times New Roman" w:cs="Times New Roman" w:eastAsia="Times New Roman" w:hAnsi="Times New Roman"/>
                <w:sz w:val="16"/>
                <w:szCs w:val="16"/>
                <w:b w:val="1"/>
                <w:bCs w:val="1"/>
                <w:color w:val="auto"/>
              </w:rPr>
              <w:t>02142</w:t>
            </w:r>
          </w:p>
        </w:tc>
        <w:tc>
          <w:tcPr>
            <w:tcW w:w="0" w:type="dxa"/>
            <w:vAlign w:val="bottom"/>
          </w:tcPr>
          <w:p>
            <w:pPr>
              <w:spacing w:after="0"/>
              <w:rPr>
                <w:sz w:val="1"/>
                <w:szCs w:val="1"/>
                <w:color w:val="auto"/>
              </w:rPr>
            </w:pPr>
          </w:p>
        </w:tc>
      </w:tr>
      <w:tr>
        <w:trPr>
          <w:trHeight w:val="198"/>
        </w:trPr>
        <w:tc>
          <w:tcPr>
            <w:tcW w:w="686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Address of principal executive offices</w:t>
            </w: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Zip Code</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6900" w:type="dxa"/>
            <w:vAlign w:val="bottom"/>
            <w:gridSpan w:val="6"/>
          </w:tcPr>
          <w:p>
            <w:pPr>
              <w:jc w:val="center"/>
              <w:ind w:right="256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857-327-8775</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3920" w:type="dxa"/>
            <w:vAlign w:val="bottom"/>
            <w:gridSpan w:val="5"/>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80" w:type="dxa"/>
            <w:vAlign w:val="bottom"/>
            <w:vMerge w:val="restart"/>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2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Pr>
          <w:p>
            <w:pPr>
              <w:jc w:val="center"/>
              <w:ind w:left="1005"/>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4"/>
        </w:trPr>
        <w:tc>
          <w:tcPr>
            <w:tcW w:w="348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tcPr>
          <w:p>
            <w:pPr>
              <w:jc w:val="center"/>
              <w:ind w:left="965"/>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2"/>
        </w:trPr>
        <w:tc>
          <w:tcPr>
            <w:tcW w:w="3480" w:type="dxa"/>
            <w:vAlign w:val="bottom"/>
          </w:tcPr>
          <w:p>
            <w:pPr>
              <w:jc w:val="center"/>
              <w:ind w:left="224"/>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0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BEAM</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w w:val="99"/>
              </w:rPr>
              <w:t>Nasdaq Global Select Market</w:t>
            </w:r>
          </w:p>
        </w:tc>
        <w:tc>
          <w:tcPr>
            <w:tcW w:w="0" w:type="dxa"/>
            <w:vAlign w:val="bottom"/>
          </w:tcPr>
          <w:p>
            <w:pPr>
              <w:spacing w:after="0"/>
              <w:rPr>
                <w:sz w:val="1"/>
                <w:szCs w:val="1"/>
                <w:color w:val="auto"/>
              </w:rPr>
            </w:pPr>
          </w:p>
        </w:tc>
      </w:tr>
      <w:tr>
        <w:trPr>
          <w:trHeight w:val="226"/>
        </w:trPr>
        <w:tc>
          <w:tcPr>
            <w:tcW w:w="3480" w:type="dxa"/>
            <w:vAlign w:val="bottom"/>
          </w:tcPr>
          <w:p>
            <w:pPr>
              <w:spacing w:after="0"/>
              <w:rPr>
                <w:sz w:val="19"/>
                <w:szCs w:val="19"/>
                <w:color w:val="auto"/>
              </w:rPr>
            </w:pPr>
          </w:p>
        </w:tc>
        <w:tc>
          <w:tcPr>
            <w:tcW w:w="6900" w:type="dxa"/>
            <w:vAlign w:val="bottom"/>
            <w:gridSpan w:val="6"/>
          </w:tcPr>
          <w:p>
            <w:pPr>
              <w:jc w:val="center"/>
              <w:ind w:right="256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50"/>
        </w:trPr>
        <w:tc>
          <w:tcPr>
            <w:tcW w:w="450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2980" w:type="dxa"/>
            <w:vAlign w:val="bottom"/>
            <w:vMerge w:val="restart"/>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6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82"/>
              </w:rPr>
              <w:t>Yes</w:t>
            </w:r>
          </w:p>
        </w:tc>
        <w:tc>
          <w:tcPr>
            <w:tcW w:w="240" w:type="dxa"/>
            <w:vAlign w:val="bottom"/>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29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8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0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42"/>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6"/>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66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 w:lineRule="exact"/>
        <w:rPr>
          <w:sz w:val="24"/>
          <w:szCs w:val="24"/>
          <w:color w:val="auto"/>
        </w:rPr>
      </w:pPr>
    </w:p>
    <w:p>
      <w:pPr>
        <w:ind w:right="52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was $2.11 billion, based on the closing price of the registrant’s common stock on Nasdaq on June 30, 2023, the last business day of the registrant’s most recently completed second quarter.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20, 2024 was 81,657,714.</w:t>
      </w:r>
    </w:p>
    <w:p>
      <w:pPr>
        <w:spacing w:after="0" w:line="9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Registrant incorporates by reference into Part III (Items 10, 11, 12, 13 and 14) of this Annual Report on Form 10-K portions of the Registrant’s definitive Proxy Statement for the 2024 Annual Meeting of Stockholders to be filed with the Securities and Exchange Commission pursuant to Regulation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5"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40" w:type="dxa"/>
            <w:vAlign w:val="bottom"/>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80"/>
        </w:trPr>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140" w:type="dxa"/>
            <w:vAlign w:val="bottom"/>
          </w:tcPr>
          <w:p>
            <w:pPr>
              <w:spacing w:after="0"/>
              <w:rPr>
                <w:sz w:val="16"/>
                <w:szCs w:val="16"/>
                <w:color w:val="auto"/>
              </w:rPr>
            </w:pPr>
          </w:p>
        </w:tc>
        <w:tc>
          <w:tcPr>
            <w:tcW w:w="102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140" w:type="dxa"/>
            <w:vAlign w:val="bottom"/>
          </w:tcPr>
          <w:p>
            <w:pPr>
              <w:spacing w:after="0"/>
              <w:rPr>
                <w:sz w:val="19"/>
                <w:szCs w:val="19"/>
                <w:color w:val="auto"/>
              </w:rPr>
            </w:pPr>
          </w:p>
        </w:tc>
        <w:tc>
          <w:tcPr>
            <w:tcW w:w="12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TRADEMARKS</w:t>
            </w:r>
          </w:p>
        </w:tc>
        <w:tc>
          <w:tcPr>
            <w:tcW w:w="4540" w:type="dxa"/>
            <w:vAlign w:val="bottom"/>
            <w:tcBorders>
              <w:top w:val="single" w:sz="8" w:color="0000FF"/>
            </w:tcBorders>
            <w:gridSpan w:val="18"/>
          </w:tcPr>
          <w:p>
            <w:pPr>
              <w:spacing w:after="0"/>
              <w:rPr>
                <w:sz w:val="19"/>
                <w:szCs w:val="19"/>
                <w:color w:val="auto"/>
              </w:rPr>
            </w:pPr>
          </w:p>
        </w:tc>
        <w:tc>
          <w:tcPr>
            <w:tcW w:w="4420" w:type="dxa"/>
            <w:vAlign w:val="bottom"/>
            <w:gridSpan w:val="7"/>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40" w:type="dxa"/>
            <w:vAlign w:val="bottom"/>
          </w:tcPr>
          <w:p>
            <w:pPr>
              <w:spacing w:after="0"/>
              <w:rPr>
                <w:sz w:val="19"/>
                <w:szCs w:val="19"/>
                <w:color w:val="auto"/>
              </w:rPr>
            </w:pPr>
          </w:p>
        </w:tc>
        <w:tc>
          <w:tcPr>
            <w:tcW w:w="102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MARKET AND INDUSTRY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40" w:type="dxa"/>
            <w:vAlign w:val="bottom"/>
          </w:tcPr>
          <w:p>
            <w:pPr>
              <w:spacing w:after="0"/>
              <w:rPr>
                <w:sz w:val="19"/>
                <w:szCs w:val="19"/>
                <w:color w:val="auto"/>
              </w:rPr>
            </w:pPr>
          </w:p>
        </w:tc>
        <w:tc>
          <w:tcPr>
            <w:tcW w:w="26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RISK FACTORS SUMMARY</w:t>
            </w:r>
          </w:p>
        </w:tc>
        <w:tc>
          <w:tcPr>
            <w:tcW w:w="7560" w:type="dxa"/>
            <w:vAlign w:val="bottom"/>
            <w:gridSpan w:val="16"/>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507"/>
        </w:trPr>
        <w:tc>
          <w:tcPr>
            <w:tcW w:w="140" w:type="dxa"/>
            <w:vAlign w:val="bottom"/>
          </w:tcPr>
          <w:p>
            <w:pPr>
              <w:spacing w:after="0"/>
              <w:rPr>
                <w:sz w:val="24"/>
                <w:szCs w:val="24"/>
                <w:color w:val="auto"/>
              </w:rPr>
            </w:pPr>
          </w:p>
        </w:tc>
        <w:tc>
          <w:tcPr>
            <w:tcW w:w="10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PART I</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507"/>
        </w:trPr>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507"/>
        </w:trPr>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130</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506"/>
        </w:trPr>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91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1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1229"/>
        </w:trPr>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or the Securities Act, and Section 21E of the Securities Exchange Act of 1934, as amended, or the Exchange Act. Such forward-looking statements reflect, among other things, our current expectations and anticipated results of operations,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important risks, uncertainties and assumptions, including those described in “Risk Factors Summary” and in “Risk Factors” in Part I, Item 1A of this report. Unless legally required, we assume no obligation to update any such forward-looking information to reflect actual results or changes in the factors affecting such forward-looking information. These forward-looking statements reflect, among other things:</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expectations and anticipated results of operations;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progress and results of our clinical trials, including our Phase 1/2 clinical trial designed to assess the safety and efficacy of BEAM-101 for the treatment of sickle cell disease, which we refer to as our BEACON trial, and our Phase 1/2 clinical trial designed to assess the safety and efficacy of BEAM-201 for the treatment of relapsed, refractory T-cell acute lymphoblastic leukemia/T cell lymphoblastic lymphoma, and our anticipated trial to assess the safety and efficacy of BEAM-302 for the treatment of Alpha-1 Antitrypsin Deficiency;</w:t>
      </w:r>
    </w:p>
    <w:p>
      <w:pPr>
        <w:spacing w:after="0" w:line="75"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progress and results of our research and development programs and preclinical studies, including our expectations that we will submit a regulatory application for BEAM-301 in the first half of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a sustainable portfolio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life-long, curative, precision genetic medicines for patients through base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a hub for partnering with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preclinical studies for product candidates in our pipeline;</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that we may develop and successfully complete any clinical trials or preclinical studies, including the manufacture of any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a broad suite of clinically validated delivery modalities;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generate additional novel lipid nanoparticles that we believe could accelerate novel nonviral delivery of gene editing or other nucleic acid payloads to tissues beyond the liver and our ability to expand the reach of our programs;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17" w:lineRule="exact"/>
        <w:rPr>
          <w:rFonts w:ascii="Times New Roman" w:cs="Times New Roman" w:eastAsia="Times New Roman" w:hAnsi="Times New Roman"/>
          <w:sz w:val="18"/>
          <w:szCs w:val="18"/>
          <w:color w:val="auto"/>
        </w:rPr>
      </w:pPr>
    </w:p>
    <w:p>
      <w:pPr>
        <w:ind w:left="1020" w:right="200" w:hanging="503"/>
        <w:spacing w:after="0" w:line="31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and success of our collaborations with third parties, including any future payments we may receive under our collaboration and license agreements, and our ability to identify and enter into future license agreements and collaborations;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base editing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delivery modalities and obtain and maintain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and maintain a commercial-scale current Good Manufacturing Practice, or cGMP, manufacturing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strategic and other potential benefits of our acquisition of any additional technologies;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of our portfolio prioritization and strategic restructuring and our estimates related to the costs and timing of implementing such initiatives;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period over which we believe that our existing cash, cash equivalents and marketable securities, will be sufficient to fund our operating expenses and capital expenditure requirements; and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conditions, as well as the prevailing level of macro-economic, business, and operational uncertainty, including as a result of geopolitical events or other global or regional events.</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When we use the terms “Beam,” the “Company,” “we,” “us” or “our” in this Annual Report on Form 10-K, we mean Beam Therapeutics Inc. and its subsidiaries on a consolidated basis, unless the context indicates otherwise.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use BEAM and other marks as trademarks in the United States and/or in other countries. This Annual Report on Form 10-K contains references to our trademarks and service marks and to those belonging to other entities. Solely for convenience, trademarks and trade names referred to in this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that the information from these third-party publications, research, surveys and studies included in this Annual Report on Form 10-K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“Risk Factors Summary” and “Risk Factors” in Part I, Item 1A of this report. These and other factors could cause our future performance to differ materially from our assumptions and estimates.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risks. You should consider carefully the following risks, which are discussed more fully in “Item 1.A. Risk Factors”, and all of the other information contained in this Annual Report on Form 10-K before investing in our common stock. These risks include, but are not limited to,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expect to incur losses for the foreseeable future and may never achieve or maintain profitability.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 w:name="page5"/>
    <w:bookmarkEnd w:id="4"/>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and develop potential product candidates. If these efforts are unsuccessful, we may never become a commercial stage company or generate any revenues.</w:t>
      </w:r>
    </w:p>
    <w:p>
      <w:pPr>
        <w:spacing w:after="0" w:line="53" w:lineRule="exact"/>
        <w:rPr>
          <w:rFonts w:ascii="Times New Roman" w:cs="Times New Roman" w:eastAsia="Times New Roman" w:hAnsi="Times New Roman"/>
          <w:sz w:val="18"/>
          <w:szCs w:val="18"/>
          <w:color w:val="auto"/>
        </w:rPr>
      </w:pPr>
    </w:p>
    <w:p>
      <w:pPr>
        <w:ind w:left="503" w:right="100"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product candidates are still in preclinical development or early clinical development and it will be many years before we or our collaborators commercialize a product candidate, if ever. If we are unable to advance our product candidates to and through clinical development, obtain regulatory approval and ultimately commercialize our product candidates,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or treatment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503" w:right="2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any product candidates we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7"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product candidates we may develop or the delivery modalities we rely on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67"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67" w:lineRule="exact"/>
        <w:rPr>
          <w:rFonts w:ascii="Times New Roman" w:cs="Times New Roman" w:eastAsia="Times New Roman" w:hAnsi="Times New Roman"/>
          <w:sz w:val="18"/>
          <w:szCs w:val="18"/>
          <w:color w:val="auto"/>
        </w:rPr>
      </w:pPr>
    </w:p>
    <w:p>
      <w:pPr>
        <w:ind w:left="503" w:right="20" w:hanging="503"/>
        <w:spacing w:after="0" w:line="312" w:lineRule="auto"/>
        <w:tabs>
          <w:tab w:leader="none" w:pos="50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plan to conduct clinical trials at sites outside the United States. The U.S. Food and Drug Administration, or the FDA, may not accept data from trials conducted in such locations, and the conduct of trials outside the United States could subject us to additional delays and expense.</w:t>
      </w:r>
    </w:p>
    <w:p>
      <w:pPr>
        <w:spacing w:after="0" w:line="31" w:lineRule="exact"/>
        <w:rPr>
          <w:rFonts w:ascii="Times New Roman" w:cs="Times New Roman" w:eastAsia="Times New Roman" w:hAnsi="Times New Roman"/>
          <w:sz w:val="17"/>
          <w:szCs w:val="17"/>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tested many of our proposed delivery modalities and product candidates in clinical trials and any favorable preclinical results are not predictive of results that may be observed in clinical trials.</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 perception of genetic medicines, and gene editing and base editing in particular, may negatively impact regulatory approval of, and/or demand for, our potential products.</w:t>
      </w:r>
    </w:p>
    <w:p>
      <w:pPr>
        <w:spacing w:after="0" w:line="53" w:lineRule="exact"/>
        <w:rPr>
          <w:rFonts w:ascii="Times New Roman" w:cs="Times New Roman" w:eastAsia="Times New Roman" w:hAnsi="Times New Roman"/>
          <w:sz w:val="18"/>
          <w:szCs w:val="18"/>
          <w:color w:val="auto"/>
        </w:rPr>
      </w:pPr>
    </w:p>
    <w:p>
      <w:pPr>
        <w:jc w:val="both"/>
        <w:ind w:left="503" w:right="1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67" w:lineRule="exact"/>
        <w:rPr>
          <w:rFonts w:ascii="Times New Roman" w:cs="Times New Roman" w:eastAsia="Times New Roman" w:hAnsi="Times New Roman"/>
          <w:sz w:val="18"/>
          <w:szCs w:val="18"/>
          <w:color w:val="auto"/>
        </w:rPr>
      </w:pPr>
    </w:p>
    <w:p>
      <w:pPr>
        <w:ind w:left="503" w:right="6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governing genetic medicines, and in particular any novel genetic medicines we may develop, have changed frequently and may continue to change in the future.</w:t>
      </w:r>
    </w:p>
    <w:p>
      <w:pPr>
        <w:spacing w:after="0" w:line="53" w:lineRule="exact"/>
        <w:rPr>
          <w:rFonts w:ascii="Times New Roman" w:cs="Times New Roman" w:eastAsia="Times New Roman" w:hAnsi="Times New Roman"/>
          <w:sz w:val="18"/>
          <w:szCs w:val="18"/>
          <w:color w:val="auto"/>
        </w:rPr>
      </w:pPr>
    </w:p>
    <w:p>
      <w:pPr>
        <w:ind w:left="503" w:right="26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67"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and supply of materials for our research programs, preclinical studies and clinical trial and expect to continue to do so for at least a portion of our future research programs, preclinical studies, and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5"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product candidates in the field of genetics medicines, a field that includes gene therapy and gene editing, in which there is little clinical experience, there is increased risk that the FDA, the European Medicines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5" w:name="page6"/>
    <w:bookmarkEnd w:id="5"/>
    <w:p>
      <w:pPr>
        <w:ind w:left="503" w:right="160"/>
        <w:spacing w:after="0" w:line="282" w:lineRule="auto"/>
        <w:rPr>
          <w:sz w:val="20"/>
          <w:szCs w:val="20"/>
          <w:color w:val="auto"/>
        </w:rPr>
      </w:pPr>
      <w:r>
        <w:rPr>
          <w:rFonts w:ascii="Times New Roman" w:cs="Times New Roman" w:eastAsia="Times New Roman" w:hAnsi="Times New Roman"/>
          <w:sz w:val="18"/>
          <w:szCs w:val="18"/>
          <w:color w:val="auto"/>
        </w:rPr>
        <w:t>Agency or other regulatory authorities may not consider the endpoints of our clinical trials to provide clinically meaningful results and that these results may be difficult to analyze.</w:t>
      </w:r>
    </w:p>
    <w:p>
      <w:pPr>
        <w:spacing w:after="0" w:line="54" w:lineRule="exact"/>
        <w:rPr>
          <w:sz w:val="20"/>
          <w:szCs w:val="20"/>
          <w:color w:val="auto"/>
        </w:rPr>
      </w:pPr>
    </w:p>
    <w:p>
      <w:pPr>
        <w:ind w:left="503" w:hanging="503"/>
        <w:spacing w:after="0" w:line="258"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 candidates we develop and for our technology, or if the scope of the patent protection obtained is not sufficiently broad, or if we or our licensors are unable to successfully defend our or our licensors’ patents against third-party challenges or enforce our or our licensors’ patents against third parties our competitors could develop and commercialize products and technology similar or identical to ours, and our ability to successfully commercialize any product candidates we may develop, and our technology may be adversely affected.</w:t>
      </w:r>
    </w:p>
    <w:p>
      <w:pPr>
        <w:spacing w:after="0" w:line="75"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technology and product candidates are subject, in part, to the terms and conditions of licenses granted to us by others.</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have asserted and may in the future assert that we, our employees, consultants, or advisors have wrongfully used or disclosed confidential information or misappropriated trade secrets.</w:t>
      </w:r>
    </w:p>
    <w:p>
      <w:pPr>
        <w:spacing w:after="0" w:line="53"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71"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rely on information technology in our own systems and those of our business partners. These systems are subject to a wide and growing variety of cybersecurity risks that may adversely impact our business activities or our ability to engage in various transactions to support our business activities.</w:t>
      </w:r>
    </w:p>
    <w:p>
      <w:pPr>
        <w:spacing w:after="0" w:line="67"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activities depend on the use and disclosure of personal data related to individuals participating in our clinical trials. The rules addressing this data are changing across the world, and these rules may adversely impact our ability to identify individuals for clinical trials or conduct our trials.</w:t>
      </w:r>
    </w:p>
    <w:p>
      <w:pPr>
        <w:spacing w:after="0" w:line="67"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other intellectual property may be subject to priority disputes or inventorship disputes or we may be subject to claims that we have infringed, misappropriated or otherwise violated the intellectual property of a third party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7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stock price.</w:t>
      </w:r>
    </w:p>
    <w:p>
      <w:pPr>
        <w:spacing w:after="0" w:line="225"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120" w:right="3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w:t>
      </w:r>
    </w:p>
    <w:p>
      <w:pPr>
        <w:spacing w:after="0" w:line="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w:t>
      </w:r>
    </w:p>
    <w:p>
      <w:pPr>
        <w:spacing w:after="0" w:line="2" w:lineRule="exact"/>
        <w:rPr>
          <w:sz w:val="20"/>
          <w:szCs w:val="20"/>
          <w:color w:val="auto"/>
        </w:rPr>
      </w:pPr>
    </w:p>
    <w:p>
      <w:pPr>
        <w:ind w:right="80" w:firstLine="8"/>
        <w:spacing w:after="0" w:line="252"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with the potential to dramatically increase the impact of gene editing. We are also pursuing a suite of delivery modalities, including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depending on tissue type. The elegance of the base editing approach, combined with a tissue specific delivery modality, provides the basis for a targeted, efficient, precise, and highly versatile gene editing system that is designed to be capable of gene correction, gene silencing, gene activation, gene modification, and/or multiplex editing of several genes simultaneously.</w:t>
      </w:r>
    </w:p>
    <w:p>
      <w:pPr>
        <w:spacing w:after="0" w:line="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Our goal is to advance a broad, diversified portfolio of base editing programs against distinct, genetically validated editing targets, as well as an innovative, platform business model that will expand the reach of our programs to more patients. Overall, we are seeking to build the leading integrated platform for precision genetic medicine, which may have broad therapeutic applicability and the potential to transform the field of precision genetic medicines.</w:t>
      </w:r>
    </w:p>
    <w:p>
      <w:pPr>
        <w:spacing w:after="0" w:line="5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currently prioritizing the lead programs in our hematology and genetic disease portfolios, each of which have the potential to provide differentiated therapies for significant patient populations with high unmet medical need:</w:t>
      </w:r>
    </w:p>
    <w:p>
      <w:pPr>
        <w:spacing w:after="0" w:line="54" w:lineRule="exact"/>
        <w:rPr>
          <w:sz w:val="20"/>
          <w:szCs w:val="20"/>
          <w:color w:val="auto"/>
        </w:rPr>
      </w:pPr>
    </w:p>
    <w:p>
      <w:pPr>
        <w:ind w:left="1020" w:right="60" w:hanging="503"/>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BEAM-101 is a patient-specific, autologous hematopoietic stem cell, or HSC, investigational therapy designed to offer a potentially best-in-class profile, incorporating base edits that are intended to alleviate the effects of sickle cell disease or beta-thalassemia by increasing fetal hemoglobin, which is expected to increase functional hemoglobin production and, in the case of sickle cell disease, inhibit hemoglobin S polymerization. In January 2024, we announced that the first patient in our Phase 1/2 BEACON trial, has been dosed and successfully achieved engraftment. We expect to dose the remaining two patients in the sentinel cohort and initiate dosing in patients in the expansion cohort of the BEACON trial in the first half of 2024, and we plan to report initial data from multiple patients from the trial in the second half of 2024.</w:t>
      </w:r>
    </w:p>
    <w:p>
      <w:pPr>
        <w:spacing w:after="0" w:line="80"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BEAM-302 is a liver-targeting lipid nanoparticle, or LNP, formulation of base editing reagents designed to offer a one-time treatment to correct the E342K point mutation (PiZZ genotype), which is most commonly responsible for severe alpha-1 antitrypsin deficiency, or AATD. AATD is an inherited genetic disorder that can cause early onset emphysema and liver disease. In January 2024, we announced that we have submitted a clinical trial application, or CTA, for BEAM-302, and, assuming CTA acceptance, we plan to initiate a clinical trial to assess the safety and efficacy of BEAM-302 at trial sites located outside of the U.S. in the first half of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continuing to advance our other hematology, genetic diseases and immunology/oncology programs:</w:t>
      </w:r>
    </w:p>
    <w:p>
      <w:pPr>
        <w:spacing w:after="0" w:line="117" w:lineRule="exact"/>
        <w:rPr>
          <w:sz w:val="20"/>
          <w:szCs w:val="20"/>
          <w:color w:val="auto"/>
        </w:rPr>
      </w:pPr>
    </w:p>
    <w:p>
      <w:pPr>
        <w:ind w:left="1020" w:right="4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Stem Cell Antibody Paired Evasion, or ESCAPE, is a potentially non-genotoxic approach to HSC transplantation, or HSCT, which combines antibody-based conditioning with multiplex gene edited HSCs. We are leveraging our base-editing capabilities to develop our ESCAPE program and anticipate initiating Phase 1-enabling preclinical studies to evaluate the ESCAPE program in sickle cell disease in 2024.</w:t>
      </w:r>
    </w:p>
    <w:p>
      <w:pPr>
        <w:spacing w:after="0" w:line="71"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glycogen storage disease type 1a, or GSD1a. In the first half of 2024, we plan to submit an investigational new drug, or IND, application, to evaluate BEAM-301 for the treatment of GSD1a at a select number of trial sites in the United States.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BEAM-201 is an anti-CD7 CAR-T product candidate that is multiplex edited with a goal of achieving resistance to fratricide and immunosuppression. We have initiated a Phase 1/2 clinical trial to evaluate the safety and efficacy of BEAM-201 for the treatment of relapsed/refractory T-cell acute lymphoblastic leukemia/T-cell lymphoblastic lymphoma, or T-ALL/T-LL. We are continuing enrollment in the Phase 1/2 clinical trial and expect to report an initial clinical dataset for BEAM-201 in the second half of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Limitations of nuclease editing</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Gene editing works by disrupting, inserting, or modifying genes in the natural context of the genome. Most established gene editing methods rely on a class of enzymes, called nucleases, to make a double-stranded break in the DNA at a targeted location. Nuclease editors have several significant limitations.</w:t>
      </w:r>
    </w:p>
    <w:p>
      <w:pPr>
        <w:spacing w:after="0" w:line="3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First, there is a lack of predictability in genetic outcomes when altering gene sequences with nucleases. Nuclease editors can be effective if the desired outcome is to knock out or switch off the whole gene, but do not allow for precise control of the specific genetic outcome at the target site and its effects may vary from individual to individual.</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Second, there are potential toxicities associated with double-stranded breaks, such as activating the cell death response and/or genomic instability. In addition, if the double-stranded break occurs in the wrong place, the break can also lead to unwanted gene disruptions. Multiple edits using double-stranded breaks can compound this issue and lead to large-scale genomic translocations and rearrangements, potentially limiting the applicability of nuclease-based approaches in multiplex editing.</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Third, while gene disruption with nucleases is efficient, making specific sequence changes to correct or modify genes remains largely inefficient. It also requires the simultaneous delivery of an additional DNA template containing the desired, corrected gene sequence, which needs to be positioned at the precise location where the double-stranded break has occurred. The requirement of an additional DNA template significantly increases the complexity of delivery.</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Finally, nuclease editing does not allow for the correction of genes in non-dividing cells, further limiting their applications, given that the majority of cells in the adult body are non-dividing.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editors: A potential differentiated class of gene editors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base editing technology is a differentiated therapeutic approach to gene editing, potentially capable of altering the human genome at the foundational level of genetic information – a single base – without making a double-stranded break in the DNA. The elegance and simplicity of this approach can be thought of as a “pencil,” where the error is erased and the correct letter is written.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base editing platform offers meaningful advantages over established approaches in gene editing,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precise and predictable gene editing, designed to make only one type of base edit at the desired target location;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efficient and therapeutically relevant levels of gene correction, which are generally unachievable by nuclease-based editing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applicability in a wide range of cell types, including both dividing and non-dividing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chemical modification of DNA with no requirement for delivery of the corrected DNA sequence;</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unwanted DNA modifications associated with double-stranded breaks, including gene disruptions and chromosomal rearrangements, such as translocations or deletions;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permanent editing of genes, creating the opportunity for a life-long therapeutic outcome, including the ability to treat infants or young children since the edit will be passed on by dividing cells as the child grows;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applications, including gene correction, gene silencing, gene activation, gene modification and/or multiplex editing of several genes simultaneously</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Preservation of natural regulation and a normal number of copies of the gene in the cell by modification of genes in their native genomic setting;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versatile and modular product engine that can target a different gene sequence with the same base editor and a different guide RNA.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base editing technology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proprietary DNA base editors have two principal components that may be fused together or incorporated into one another to form a single protein. The first component is a CRISPR associated protein. These proteins have been adapted and engineered to target specific genomic locations in human cells. The targeting ability of the CRISPR protein has been preserved, but the cutting ability has been modified such that the CRISPR protein does not make a double-stranded break in the DNA. The second component of our base editors is a human deaminase, a class of naturally occurring enzymes. Our Cytosine Base Editors, or CBEs, and our Adenine Base Editors, or ABEs, each use a different, engineered deaminase, which we have designed to act only on single-stranded DNA. The deaminase makes a predictable chemical modification, called deamination, of the amine group on either adenine (A) or cytosine (C) bases.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8" w:name="page9"/>
    <w:bookmarkEnd w:id="8"/>
    <w:p>
      <w:pPr>
        <w:ind w:right="40"/>
        <w:spacing w:after="0" w:line="254" w:lineRule="auto"/>
        <w:rPr>
          <w:sz w:val="20"/>
          <w:szCs w:val="20"/>
          <w:color w:val="auto"/>
        </w:rPr>
      </w:pPr>
      <w:r>
        <w:rPr>
          <w:rFonts w:ascii="Times New Roman" w:cs="Times New Roman" w:eastAsia="Times New Roman" w:hAnsi="Times New Roman"/>
          <w:sz w:val="18"/>
          <w:szCs w:val="18"/>
          <w:color w:val="auto"/>
        </w:rPr>
        <w:t>The deaminase in a CBE will convert an amine group of C, resulting in the formation of uracil (U), which is read by the DNA polymerase as a thymine (T) base. Once this strand has been edited, the intermediate DNA consists of an edited strand, containing a U at the target locus, and an unedited strand with a guanine (G) base. The U:G is a mismatch and in order to preserve the edit, we modify the CRISPR to cleave the unedited single strand of the DNA, referred to as nicking. Nicking is intended to increase the efficiency of editing by inducing the cell to use the newly edited strand, and not the unedited strand, as the template for repair, resulting in a U:A pair with minimal translocations. Upon DNA repair or replication, the U is read as a T, resulting in a T:A pair, thereby completing the permanent conversion of a C:G base pair to a T:A base pair. Analogously, when an ABE is used instead of a CBE, the conversion of an amine group of A results in the formation of inosine, which is read by the DNA polymerase as a G, which subsequently leads to an A-to-G change. As a result, an A:T pair is converted to a G:C pair. Because the DNA is double-stranded, by targeting the non-coding strand, we can also convert a T:A pair to a C:G and a G:C pair to a A:T pair in the coding strand.</w:t>
      </w:r>
    </w:p>
    <w:p>
      <w:pPr>
        <w:spacing w:after="0" w:line="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modular and individual components of our base editors have the potential to be customized for specific diseases, potentially allowing us to create new programs with significant efficiencies in development. For instance, by changing the guide RNA and/or CRISPR protein, we can retarget base editors to different genomic locations based on their gene sequences. By changing the deaminase, we can retarget which base is edited (e.g., C or A). As a result, we believe our base editing technology is highly versatile, efficient, and scalable for the discovery of new drug candidates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base editing platform</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the unique advantages of base editing – single base editing precision, predictable editing outcome, high editing efficiency, and the avoidance of double-stranded breaks – make it a compelling approach for a wide range of therapeutic applications. This includes gene correction, gene modification, gene silencing and gene activation, as well as multiplex editing of several genes simultaneously.</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To complement our next-generation gene editing technologies, we are also making significant investments in a suite of delivery technologies designed to deliver gene editing or other nucleic acid payloads to the right cells and enable potentially curative therapy. These delivery technologies include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modalities, such as electroporation, as well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modalities, such as LNPs. In our pipeline, we have initially focused on applications of these technologies where their delivery capabilities have already been clinically-validated by third parties, such as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editing of blood stem cells and LNP delivery to the liver. Longer term, we are also investing in more innovative delivery options, including through our collaboration with Orbital Therapeutics, Inc., or Orbital, which is focused on next-generation mRNA and non-viral delivery technology. We have also developed critical enabling capabilities such as mRNA manufacturing and cell processing for autologous and allogeneic cell therapy.</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Due to the critical importance of high-quality manufacturing and control of production timing and know-how, we have also established a 100,000 square foot manufacturing facility in Research Triangle Park, North Carolina intended to support a broad range of clinical programs. The facility, which initiated cGMP operations in late 2023, is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and liver-mediated diseases, with the capability to scale-up to support potential commercial supply. For our initial clinical trials, we expect to rely primarily on our internal manufacturing capabilities, along with CMOs with relevant manufacturing experience in genetic medicines. We believe this investment will maximize the value of our portfolio and capabilities, the probability of technical success of our programs, and the speed at which we can provide potentially life-long cures to patients.</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summary, we believe that building an integrated platform combining our gene editing capabilities with advanced delivery and manufacturing capabilities will give us the flexibility to develop a sustainable portfolio, featuring rapid development of new programs and lifecycle improvements in our core programs.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our internal pipeline, the breadth and depth of our integrated technology platform gives us the opportunity to create a hub for partnering with other companies, which is an important part of our business model. We believe this model will help us to unlock the full potential of precision genetic medicine across a wider array of possible applications, including many outside our core areas of focus.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overall goal with these platform activities is to continue expanding our access to the technologies and teams in genetic medicine that will maximize our long-term value creation and impact on patients.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base editing portfolio</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plan to advance multiple programs through clinical development in parallel, with each one potentially capable of delivering proof-of-concept in Phase 1 clinical trials in genetically defined patient populations and potentially reaching approval on an accelerated pathway. Our lead programs are focused on sickle cell disease and AATD, and we are also advancing programs in other genetic diseases, as well as immunology/oncology.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our primary programs: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723265</wp:posOffset>
            </wp:positionV>
            <wp:extent cx="6172200" cy="2640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are advancing hematology base editing programs in which HSCs are collected from a patient, edited using electroporation, a clinically validated technology for the delivery of therapeutic constructs into harvested cells, and then infused back into the patient following a myeloablative conditioning regimen, such as treatment with busulfan, the standard of care in HSC transplantation today. Once reinfused, the HSCs begin repopulating a portion of the bone marrow in a process known as engraftment. The engrafted, edited HSCs give rise to progenitor cell types with the corrected gene sequences. We are deploying this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in our BEAM-101 and ESCAPE base editing programs.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Sickle cell disease, a severe inherited blood disease, is caused by a single point mutation, E6V, in the beta globin gene. This mutation causes the mutated form of HbS to aggregate into long, rigid molecules that bend red blood cells into a sickle shape under conditions of low oxygen. Sickled cells obstruct blood vessels and die prematurely, ultimately resulting in anemia, severe pain (crises), infections, stroke, organ failure, and early death. Sickle cell disease is the most common inherited blood disorder in the United States, affecting an estimated 100,000 individuals, of which a significant proportion are of African-American descent (1:365 births). Beta-thalassemia is another inherited blood disorder characterized by severe anemia caused by reduced production of functional hemoglobin due to insufficient expression of the beta globin protein. Transfusion-dependent beta-thalassemia, or TDBT, is the most severe form of this disease, often requiring multiple transfusions per year. Patients with TDBT suffer from failure to thrive, persistent infections, and life-threatening anemia.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are pursuing a long-term, staged development strategy for our base editing approach to treat hematological diseases that consists of advancing our lead </w:t>
      </w: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program, BEAM-101, in Wave 1, improving patient conditioning regimens in Wave 2, and enabling</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base editing with delivery directly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HSCs of patients via LNPs in Wave 3. We believe this suite of technologies – base editing, improved conditioning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for editing HSCs – can maximize the potential applicability of our sickle cell disease programs to patients as well as create a platform for the treatment of many other severe genetic blood disorders.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Wave 1: Ex Vivo Base Editing via Autologous Transplant with BEAM-101</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using base editing to pursue the development of BEAM-101 for the treatment of sickle cell disease and beta-thalassemia. BEAM-101 is a patient-specific, autologous HSC investigational therapy designed to offer a potentially best-in-class profile, incorporating base edits that are intended to mimic single nucleotide polymorphisms seen in individuals with hereditary persistence of fetal hemoglobin, or HPFH. BEAM-101 aims to alleviate the effects of sickle cell disease or beta-thalassemia by increasing fetal hemoglobin, which is expected to increase functional hemoglobin production and, in the case of sickle cell disease, inhibit hemoglobin S polymerization.</w:t>
      </w: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t>In January 2024, we announced that the first patient in our Phase 1/2 clinical trial designed to assess the safety and efficacy of BEAM-101 for the treatment of sickle cell disease, which we refer to as our BEACON trial, has been dosed and successfully achieved engraftment. The BEACON trial is expected to include an initial “sentinel” cohort of three patients, treated one at a time to confirm successful engraftment, followed by dosing in up to a total of 45 patients. The clinical trial is designed to initially include patients ages 18 to 35 with severe sickle cell disease who have received prior treatment with at least one disease-modifying agent with inadequate response or intolerance. Following mobilization, conditioning and treatment with BEAM-101, patients will be assessed for safety and tolerability, with safety endpoints including neutrophil and platelet engraftment. Patients will also be assessed for efficacy, with efficacy endpoints including the change from baseline in severe vaso-occlusive events, transfusion requirements, hemoglobin F levels, and quality of life assessments. We expect to dose the remaining two patients in the sentinel cohort and initiate dosing in patients in the expansion cohort of the BEACON trial in the first half of 2024, and we plan to report initial data from multiple patients from the BEACON trial in the second half of 2024.</w:t>
      </w:r>
    </w:p>
    <w:p>
      <w:pPr>
        <w:spacing w:after="0" w:line="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beneficial effects of the fetal form of hemoglobin, or HbF, to compensate for mutations in adult hemoglobin were first identified in individuals with HPFH. Individuals who carry mutations that would have typically caused them to be beta-thalassemia or sickle cell disease patients, but who also have HPFH, are asymptomatic or experience a much milder form of their disease. HPFH is caused by single base changes in the regulatory region of the genes, HBG1 and HBG2, which prevents binding of one or more repressor proteins and increases the expression of gamma globin, which forms part of the HbF tetramer.</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Using base editing, we are attempting to reproduce these specific, naturally occurring base changes in the regulatory elements of the gamma globin genes, preventing binding of repressor proteins and leading to re-activation of gamma globin expression, and thus the increase in gamma globin levels. Our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characterization of BEAM-101 using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delivery achieved precise and efficient editing of human CD34+ HSPCs, resulting in long-term engraftment and therapeutically-relevant increases in target gene expression in mice. Additionally, there have been no observed guide-dependent or guide-independent off-target events for this program.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Wave 2: Non-genotoxic Conditioning</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In parallel with Wave 1 development, we also aim to improve the transplant conditioning regimen for patients undergoing HSCT, reducing toxicity challenges associated with HSCT standard of care. Conditioning is a critical component necessary to prepare a patient’s body to receive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edited cells that must engraft in the patient’s bone marrow in order to be effective. However, today’s conditioning regimens rely on nonspecific chemotherapy or radiation, which are associated with significant toxicities. As a potential alternative to genotoxic conditioning regimens in HSCT, we are advancing our ESCAPE program. ESCAPE aims to avoid toxicity challenges associated with currently available conditioning regimens for patients with sickle cell disease and beta-thalassemia ahead of autologous HSCT, by combining antibody-based conditioning with multiplex gene edited HSCs. ESCAPE may also have applications in other diseases of the blood and immune system where HSCT could deliver potential benefits but has been limited by toxicities associated with current standard of care conditioning regimens.</w:t>
      </w:r>
    </w:p>
    <w:p>
      <w:pPr>
        <w:spacing w:after="0" w:line="84" w:lineRule="exact"/>
        <w:rPr>
          <w:sz w:val="20"/>
          <w:szCs w:val="20"/>
          <w:color w:val="auto"/>
        </w:rPr>
      </w:pPr>
    </w:p>
    <w:p>
      <w:pPr>
        <w:ind w:firstLine="45"/>
        <w:spacing w:after="0" w:line="258" w:lineRule="auto"/>
        <w:rPr>
          <w:sz w:val="20"/>
          <w:szCs w:val="20"/>
          <w:color w:val="auto"/>
        </w:rPr>
      </w:pPr>
      <w:r>
        <w:rPr>
          <w:rFonts w:ascii="Times New Roman" w:cs="Times New Roman" w:eastAsia="Times New Roman" w:hAnsi="Times New Roman"/>
          <w:sz w:val="18"/>
          <w:szCs w:val="18"/>
          <w:color w:val="auto"/>
        </w:rPr>
        <w:t xml:space="preserve">In December 2022, we presented preclinical data at the 2022 American Society of Hematology Annual Meeting and Exposition, or ASH, on our ESCAPE program. Our ESCAPE sickle cell disease program consists of multiplex base edited HSCs that include a therapeutic edit for sickle cell disease at the HGB1/2 gene and an additional edit at CD117. Findings presented at ASH included the first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data for the ESCAPE program, which builds upon data shared earlier in 2022 demonstrating that ESCAPE antibodies bound to wild-type CD117 and blocked binding of its ligand in mice. In addition, we observed depletion of unedited cells and enrichment of edited cells in mice dosed with ESCAPE antibodies.</w:t>
      </w:r>
    </w:p>
    <w:p>
      <w:pPr>
        <w:spacing w:after="0" w:line="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made significant investments in our ESCAPE platform and we anticipate initiating Phase 1-enabling preclinical studies for the ESCAPE sickle cell disease program in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Wave 3: In Vivo Base Editing via HSC-targeted LNPs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are also exploring the potential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sickle cell disease, in which base editors would be delivered to the patient through an infusion of LNPs targeted to HSCs, eliminating the need for transplantation altogether. This approach could provide a more accessible option for patients, particularly in regions where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treatment is challenging. In preclinical studies, we achieved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validation of our most potent HSC-directed LNP, demonstrating:</w:t>
      </w:r>
    </w:p>
    <w:p>
      <w:pPr>
        <w:spacing w:after="0" w:line="74" w:lineRule="exact"/>
        <w:rPr>
          <w:sz w:val="20"/>
          <w:szCs w:val="20"/>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dose-dependent mRNA transfection in HSCs, resulting in fluorescent reporter expression in more than 40% of cells, maintained out to 16 weeks post-delivery;</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efficient transfection of human CD34+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transfection of nearly 20% of CD34+ HSCs in humanized mice and NHPs at a dose of 1.0 mg/kg.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Genetic Diseases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LNPs are a clinically validated technology for delivery of nucleic acid payloads to the liver. LNPs are multi-component particles that encapsulate the base editor mRNA and one or more guides and protect them from degradation while in an external environment, enabling the transient delivery of the base editor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Because only one dose of a base editing therapy may be needed in a course of treatment, LNPs are a suitable delivery modality that we believe is unlikely to face the complications seen with chronic use of LNPs, such as those observed when delivering oligonucleotides or mRNA for gene therapy. All of the components of the LNP, as well as the mRNA encoding the base editor, are well-defined and can be manufactured synthetically, providing the opportunity for scalable manufacturing. We are currently using LNPs to advance BEAM-302 and BEAM-301.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BEAM-302: In Vivo LNP liver-targeting for AATD</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BEAM-302 is a liver-targeting LNP formulation of base editing reagents designed to offer a one-time treatment to correct the E342K point mutation (PiZZ genotype) predominantly responsible for the severe form of AATD. AATD is an inherited genetic disorder that can cause early onset emphysema and liver disease. The most severe form of AATD arises when a patient has a point mutation in both copies of the SERPINA1 gene at amino acid 342 position (E342K, also known as the PiZ mutation or the “Z” allele). This point mutation causes Alpha-1 antitrypsin, or AAT, to misfold, accumulating inside liver cells rather than being secreted, resulting in very low levels (10%-15%) of circulating AAT. In addition to resulting in lower levels, the PiZ AAT protein variant is also less enzymatically effective compared to wildtype AAT protein. CAs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requiring patients to undergo a liver transplant. It is estimated that approximately 100,000 individuals in the United States have two copies of the Z allele. There are currently no curative treatments for patients with AATD.</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With the high efficiency and precision of our base editors, we aim to utilize our ABEs to precisely correct the E342K point mutation and restore the production of functional AAT protein. In 2020, we demonstrated the ability of base editors to directly correct the mutation causing AATD, providing both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preclinical proof-of-concept for base editing to correct this disease. In January 2024, we announced that we have submitted a CTA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BEAM-302, and, assuming CTA acceptance, we plan to initiate a Phase 1/2 clinical trial to assess the safety and efficacy of BEAM-302 at trial sites located outside of the U.S. in the first half of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BEAM-301: In Vivo LNP liver-targeting for GSD1a</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GSD1a. GSD1a is an autosomal recessive disorder caused by mutations in the G6PC gene that disrupts a key enzyme, G6Pase, critical for maintaining glucose homeostasis. Inhibition of G6Pase activity results in low fasting blood glucose levels that can result in seizures and be fatal. Patients with this mutation typically require ongoing corn starch administration, without which they may enter into hypoglycemic shock within one to three hours.</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approach to treating patients with GSD1a is to apply base editing via LNP delivery to repair the two most prevalent mutations that cause the disease, R83C and Q347X. It is estimated that these two point mutations account for 300 and 500 patients, respectively, in the United States.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 October 2023, we presented new preclinical data demonstrating the ability of BEAM-301 to directly correct the R83C mutation. These data showed that a single dose of BEAM-301 restored clinically meaningful endpoints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rodent disease models out to at least one year. In the first half of 2024, we plan to submit an IND application to evaluate BEAM-301 for the treatment of GSD1a at a select number of trial sites in the United States.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Immunology/Oncology</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base editing is a powerful tool to simultaneously multiplex edit many genes without the unintended on-target effects that can result from simultaneous editing with nucleases through the creation of double-stranded breaks. The ability to create a large number of multiplex edits in T cells could endow CAR-T cells and other cell therapies with combinations of features that have the potential to dramatically enhance their therapeutic potential in treating hematological or solid tumors.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BEAM-201: Universal CD7-targeting CAR-T cells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BEAM-201 is a development candidate comprised of T cells derived from healthy donors that are simultaneously edited at TRAC, CD7, CD52 and PDCD1 and then transduced with a lentivirus encoding for an anti-CD7 CAR that is designed to create allogeneic CD7 targeting CAR-T cells, resistant to both fratricide and immunosuppression. We have dosed the first patient in a first-in-human Phase 1/2 clinical trial designed to evaluate the safety and efficacy of BEAM-201 in patients with relapsed/refractory T-ALL/T-LL. Key safety endpoints for the trial include treatment-emergent and treatment-related adverse events, and key efficacy endpoints include proportion of patients with complete or partial responses, proportion eligible for HSC transplant and proportion achieving minimal residual disease negative status. We are continuing enrollment in the Phase 1/2 clinical trial and expect to report an initial clinical dataset for BEAM-201 in the second half of 2024 and to seek potential partnership for this and other potential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CAR-T programs, including our ongoing research into creating next-generation allogeneic cell therapies with multiplex base editing.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 of precision gene editing technologies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licensed a portfolio of three additional complementary gene editing technologies – prime editing, Cas12b nuclease editing and RNA base editing– for certain fields. Combined with base editing, we have assembled a broad and versatile portfolio of next generation gene editing technologies for the potential treatment of many severe diseases.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 license to prime editing from Prime Medicine, Inc. Prime editing may be able to achieve the rewriting of short sequences of DNA at a target location. Prime editing utilizes a CRISPR protein to target a mutation site in DNA and to nick a single strand of the target DNA. The guide RNA allows the CRISPR protein to recognize a DNA sequence that is complementary to the guide RNA and also carries a primer for reverse transcription and a replacement template. The reverse transcriptase copies the template sequence in the nicked site, installing the edit. As with base editing, prime editing does not cause double-stranded breaks in the target DNA, resulting in lower insertion and deletion rates than gene editing technologies that rely on double stranded breaks.</w:t>
      </w:r>
    </w:p>
    <w:p>
      <w:pPr>
        <w:spacing w:after="0" w:line="7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have the exclusive right to develop prime editing technology for the creation or modification of any single base transition mutations, as well as any edits made for the treatment of sickle cell disease. Transition mutations (i.e., A-to-G, G-to-A, C-to-T, or T-to-C) are the largest single class of disease-associated genetic mutations and include all of our current targets for base editing programs.</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have a license agreement with The Broad Institute, Inc., or Broad Institute, that gives us access to the Cas12b nuclease family, which allows us to make “cut” edits, which may be appropriate for some applications that require a double stranded break, or to use the general gene targeting ability of Cas12b for other gene editing applications.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Broad Institute license also gives us access to RNA base editing technology, a two-part modular system using an RNA-directed CRISPR protein for targeting RNA strands and a deaminase for editing. This CRISPR protein, known as Cas13, is modified so that it cannot break the RNA strand, and is fused to a deaminase capable of making a single base edit at a specific target location within the RNA strand.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w:t>
      </w:r>
      <w:r>
        <w:rPr>
          <w:rFonts w:ascii="Times New Roman" w:cs="Times New Roman" w:eastAsia="Times New Roman" w:hAnsi="Times New Roman"/>
          <w:sz w:val="18"/>
          <w:szCs w:val="18"/>
          <w:color w:val="auto"/>
        </w:rPr>
        <w:t>ti</w:t>
      </w:r>
      <w:r>
        <w:rPr>
          <w:rFonts w:ascii="Times New Roman" w:cs="Times New Roman" w:eastAsia="Times New Roman" w:hAnsi="Times New Roman"/>
          <w:sz w:val="18"/>
          <w:szCs w:val="18"/>
          <w:b w:val="1"/>
          <w:bCs w:val="1"/>
          <w:color w:val="auto"/>
        </w:rPr>
        <w:t>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our collection of base editing, gene editing and delivery technologies has significant potential across a broad array of genetic diseases. To fully realize this potential, we have established and plan to continue to seek out innovative collaborations, licenses, and strategic alliances with pioneering companies and with leading academic and research institutions. Additionally, we have and intend to continue to pursue relationships that potentially allow us to accelerate our preclinical research and development efforts. We believe these relationships will allow us to aggressively pursue our vision of maximizing the potential of base editing to provide life-long cures for patients suffering from serious diseases.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2021, we entered into a four-year research collaboration agreement with Pfizer Inc., or Pfizer, focused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three targets for rare genetic diseases of the liver, muscle and central nervous system. Under the terms of the agreement, we will conduct all research activities through development candidate selection for three pre-specified, undisclosed targets, which are not included in our existing programs. Pfizer may opt in to exclusive, worldwide licenses to each development candidate, after which it will be responsible for all development activities, as well as potential regulatory approvals and commercialization, for each such development candidate. We have a right to opt in, at the end of Phase 1/2 clinical trials, upon the payment of an option exercise fee, to a global co-development and co-commercialization agreement with respect to one program licensed under the collaboration pursuant to which we and Pfizer would share net profits as well as development and commercialization costs in a 35%/65% ratio (Beam/Pfizer).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Apellis Pharmaceuticals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June 2021, we entered into a research collaboration agreement, or the Apellis Agreement, with Apellis Pharmaceuticals, Inc., or Apellis, focused on the use of our base editing technology to discover new treatments for complement system-driven diseases. Under the terms of the Apellis Agreement, we will conduct preclinical research on six base editing programs that target specific genes within the complement system in various organs, including the eye, liver, and brain. Apellis has an exclusive option to license any or all of the six programs and will assume responsibility for subsequent development. We may elect to enter into a 50-50 U.S. co-development and co-commercialization agreement with Apellis with respect to one program licensed under the collaboration.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Verve Therapeutics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April 2019, we entered into a collaboration and license agreement, or the Verve Agreement, with Verve Therapeutics, Inc., or Verve, a company focused on gene editing for cardiovascular disease treatments, and in July 2022, we and Verve amended the Verve Agreement. Under the terms of the Verve Agreement, as amended, we granted Verve exclusive worldwide licenses under certain of our editing technologies for human therapeutic applications against a total of three liver-mediated, cardiovascular disease targets, including use of our base editing technology for each of these targets and use of certain of our gene editing technology for two of such targets. In exchange, we received shares of Verve common stock.</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October 2023, we entered into a transfer and delegation agreement, or the Lilly Agreement, with Eli Lilly and Company, or Lilly, pursuant to which Lilly acquired certain assets and other rights under the Verve Agreement, including our opt-in rights to co-develop and co-commercialize each of Verve’s base editing programs for cardiovascular disease, which consist of programs targeting PCSK9, ANGPTL3 and an undisclosed liver-mediated, cardiovascular target. In addition, Lilly acquired the right to receive any future milestone or royalty payments payable to us under the Verve Agreement. Under the terms of the Lilly Agreement, we received a $200.0 million payment and are eligible to receive up to $350.0 million in potential future development-stage payments upon the completion of certain clinical, regulatory and alliance events. In October 2023, we also entered into a Stock Purchase Agreement, or the Purchase Agreement, with Lilly providing for the sale and issuance of 2,004,811 shares, or the Shares, of our common stock to Lilly at a price of $24.94 per share, which was equal to a 15% premium to the volume-weighted average share price of our common stock over the 30 trading days prior to the date of the Purchase Agreement, for an aggregate purchase price of approximately $50 million. The Purchase Agreement contains customary representations, warranties and covenants of each party.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Sana Biotechnology</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October 2021, we entered into an option and license agreement, or the Sana Agreement, with Sana Biotechnology, Inc., or Sana, pursuant to which we granted Sana non-exclusive research and development and commercial rights to our CRISPR Cas12b technology to perform nuclease editing for certain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engineered cell therapy programs. Under the terms of the Sana Agreement, licensed products include certain specified allogeneic T cell and stem cell-derived products directed at specified genetic targets, with certain limited rights for Sana to add and substitute such products and targets. The Sana Agreement excludes the grant of any Beam-controlled rights to perform base editing. In 2023, Sana initiated a Phase 1 clinical trial of SC291, its CD19-targeted allogeneic CAR-T cell therapy, in patients with various B-cell malignancies. In November 2023, Sana announced that the FDA cleared its IND application to initiate a first-in-human trial of SC291, in patients with various B-cell mediated autoimmune diseases. In January 2024, Sana announced that the FDA cleared its IND application to initiate a first-in-human trial of SC262, its CD22-directed allogeneic CAR-T cell therapy, in patients with relapsed or refractory B-cell malignancies. In connection with each of the foregoing events, Sana made immaterial milestone payments to us under the Sana Agreement.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 Therapeutics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September 2022, we entered into a license and research collaboration agreement, or the Orbital Agreement, with Orbital, pursuant to which each of us granted the other licenses to certain technology controlled during the three years after entry into the Orbital Agreement that are necessary or reasonably useful for the non-viral delivery or the design or manufacture of RNA for the prevention, treatment or diagnosis of human disease. Our license to Orbital is for all fields other than our exclusive field and also excludes the targets and substantially all of the indications that are the subject of our existing programs. Our exclusive field consists of all products and biologics that function in the process of gene editing or conditioning for use in cell transplantation, or that act in combination with any such products or biologics. Orbital’s license to us is for all fields other than Orbital’s exclusive field. Orbital’s exclusive field consists of products and biologics that function as vaccines and also of therapeutic proteins, other than therapeutic proteins (i) that use gene editing, (ii) for use in conditioning, (iii) for use in regenerative medicine, (iv) for use as a CAR immune therapy, including CAR-T, CAR-NK and CAR-macrophage compositions, (v) for use as a t-cell receptor therapy or (vi) that modulate certain immune responses. The licenses are exclusive in each party’s exclusive field for three years and non-exclusive in those fields thereafter. We and Orbital agreed that for a period of three years after entry into the Orbital Agreement, subject to limited exceptions, we would not research, develop and commercialize, or grant licenses to research, develop and commercialize, products or biologics within the other party’s exclusive field.</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pharmaceutical and biotechnology industries, including the genetic medicines field, are characterized by rapidly advancing technologies, intense competition, and a strong emphasis on intellectual property. While we believe that our differentiated technology, scientific expertise, and intellectual property position provide us with competitive advantages, we face potential competition from a variety of companies in these fields. Within these industries, we will compete with existing large pharmaceutical companies, specialty pharmaceutical companies, and biotechnology companies.</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There are several other companies utilizing CRISPR/Cas9 nuclease technology, including Caribou Biosciences, Editas Medicine, CRISPR Therapeutics, Intellia Therapeutics, Arbor Biotechnologies and Metagenomi. Several additional companies utilize other nuclease-based gene editing technologies, including other Cas nucleases, Zinc Fingers, Arcuses, and TAL Nucleases, including Sangamo Biosciences, Precision BioSciences, bluebird bio, Allogene Therapeutics, Mammoth Biosciences and Cellectis. Additionally, other gene editing modalities are emerging, including from Prime Medicine, Tessera Therapeutics, Scribe Therapeutics, Tome Biosciences, Life Edit (an ElevateBio company), PerkinElmer (formerly Horizon Discovery) and Intellia Therapeutics. PerkinElmer, Metagenomi, Revvity, and Intellia Therapeutics are developing base editing technology and Tessera Therapeutics is utilizing mobile genetic elements for gene editing. In addition, we face competition from companies utilizing various genetic medicines, epigenetic modulation, oligonucleotide, and CAR-T therapeutic approaches, among others.</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Within the disease areas that we focus on, we are also aware of competing companies that have approved therapies, those with therapies in development, and others that may emerge in the future. For hemoglobinopathies, these companies include Global Blood Therapeutics (part of Pfizer), CRISPR Therapeutics, Vertex Pharmaceuticals, bluebird bio, Novartis Pharmaceuticals, Editas Medicine, Kamau Therapeutics, Fulcrum Therapeutics, and Agios Pharmaceuticals. For T-cell malignancies, these include iCell Gene Therapeutics, PersonGen and Wugen. More broadly in the immuno-oncology cell therapy space, these include Allogene Therapeutics, Cellectis, CRISPR Therapeutics, Adicet Bio, Bristol Myers Squibb, Fate Therapeutics, Gilead Sciences, Novartis Pharmaceuticals, Poseida Therapeutics, Legend Biotech and Autolus Therapeutics. For our liver targeted therapies, these include Intellia Therapeutics, Editas Medicines, CRISPR Therapeutics, Wave Life Sciences, Moderna, Korro Bio, Arrowhead Pharmaceuticals, Dicerna Pharmaceuticals, Ultragenyx, Arrowhead Pharmaceuticals, LogicBio Therapeutics, Generation Bio and Vertex.</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many of our current or potential competitors, either alone or with their collaboration partners, have significantly greater financial resources and expertise in research and development, manufacturing, conducting preclinical studies and clinical trials and seeking approval for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CMOs, and in acquiring technologies complementary to, or necessary for, our programs.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 xml:space="preserve">Our success depends in part on our ability to obtain and maintain proprietary protection for our platform technology, our programs, and know-how related to our business, defend and enforce our intellectual property rights, in particular, our patent rights, preserve the confidentiality of our trade secrets, and operate without infringing, misappropriating or otherwise violating any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 available. 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Item 1A., </w:t>
      </w:r>
      <w:r>
        <w:rPr>
          <w:rFonts w:ascii="Times New Roman" w:cs="Times New Roman" w:eastAsia="Times New Roman" w:hAnsi="Times New Roman"/>
          <w:sz w:val="17"/>
          <w:szCs w:val="17"/>
          <w:i w:val="1"/>
          <w:iCs w:val="1"/>
          <w:color w:val="auto"/>
        </w:rPr>
        <w:t>Risk factors—Risks related to our intellectual property</w:t>
      </w:r>
      <w:r>
        <w:rPr>
          <w:rFonts w:ascii="Times New Roman" w:cs="Times New Roman" w:eastAsia="Times New Roman" w:hAnsi="Times New Roman"/>
          <w:sz w:val="17"/>
          <w:szCs w:val="17"/>
          <w:color w:val="auto"/>
        </w:rPr>
        <w:t>, in this Annual Report on Form 10-K.</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Our wholly owned and our in-licensed patents and patent applications cover various aspects of our base editing platform and our programs, including:</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C-to-T DNA base editors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A-to-G DNA base editors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A-to-I RNA base editors, or REPAIR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C-to-U RNA base editors, or RESCUE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Dual editing C-to-T and A-to-G DNA base editors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CRISPR/Cas12b systems for nuclease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guide RNA 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methods for increasing the specificity of base editing</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Multiplex base editing in immune cells </w:t>
      </w:r>
      <w:r>
        <w:rPr>
          <w:rFonts w:ascii="Times New Roman" w:cs="Times New Roman" w:eastAsia="Times New Roman" w:hAnsi="Times New Roman"/>
          <w:sz w:val="18"/>
          <w:szCs w:val="18"/>
          <w:i w:val="1"/>
          <w:iCs w:val="1"/>
          <w:color w:val="auto"/>
        </w:rPr>
        <w:t>ex vivo</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for evaluating base editing specificity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modality</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We also have an option to license patents and patent applications relating to CRISPR/Cas9 systems. We intend to continue to pursue, when possible, additional patent protection, including composition of matter, method of use, and process claims, directed to each component of our platform technology and the programs in our portfolio. As of December 31, 2023, our wholly-owned patent portfolio consisted of five issued U.S. patents, and six issued patents in jurisdictions outside the United States. We also have approximately 387 pending patent applications, including PCT applications, provisional patent applications and counterparts to the foregoing U.S. and foreign patents. In addition, Beam co-owns one issued U.S. patent and 26 pending patent applications between the Broad Institute, Inc., UCL Business, Ltd., and Apellis Pharmaceuticals, Inc. The patents and patent applications outside of the United States were filed in numerous jurisdictions, including Australia, Brazil, Canada, China, Europe, Hong Kong, India, Japan, Korea, Singapore and South Africa. Many of our owned patents and patent applications are related to our DNA base editing technology, including claims to base editor variants with enhanced activities or novel properties, methods of using such base editors, methods of using such base editors for therapeutic indications, multiplex base editing in immune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guide RNAs that target base editors to therapeutically relevant DNA sequences, and methods for evaluating base editing specificity. Certain of our owned patents and patent applications are related to viral and non-viral delivery technologies. If issued as U.S. patents, and if the appropriate maintenance fees are paid, the U.S. patents would be expected to expire between 2039 and 2044, excluding any additional term for patent term adjustments or patent term extensions.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As of December 31, 2023, our in-licensed patent portfolio consisted of approximately 45 issued U.S. patents, and approximately 145 issued patents in jurisdictions outside the United States. We also have approximately 274 pending patent applications, including PCT applications, provisional patent applications and counterparts to the foregoing U.S. and foreign patents. The patents and patent applications outside of the United States were filed in numerous jurisdictions, including Australia, Canada, China, Europe, Hong Kong, India, Israel, Japan, Korea, New Zealand, Russia and Singapore. The patents and applications from our in-licensed portfolio for DNA base editing include claims to novel base editors, claims to engineered deaminase enzymes (e.g., evolved TadA) used in the base editors, compositions including the base editor or engineered deaminase as a component, methods of using such base editors, including methods of using such base editors for therapeutic indications, and guide RNAs that target base editors to therapeutically relevant DNA sequences. The in-licensed patents and applications also cover various aspects related to the platform technology, including base editing systems that employ </w:t>
      </w:r>
      <w:r>
        <w:rPr>
          <w:rFonts w:ascii="Times New Roman" w:cs="Times New Roman" w:eastAsia="Times New Roman" w:hAnsi="Times New Roman"/>
          <w:sz w:val="18"/>
          <w:szCs w:val="18"/>
          <w:i w:val="1"/>
          <w:iCs w:val="1"/>
          <w:color w:val="auto"/>
        </w:rPr>
        <w:t>S. pyogenes</w:t>
      </w:r>
      <w:r>
        <w:rPr>
          <w:rFonts w:ascii="Times New Roman" w:cs="Times New Roman" w:eastAsia="Times New Roman" w:hAnsi="Times New Roman"/>
          <w:sz w:val="18"/>
          <w:szCs w:val="18"/>
          <w:color w:val="auto"/>
        </w:rPr>
        <w:t xml:space="preserve"> Cas9, </w:t>
      </w:r>
      <w:r>
        <w:rPr>
          <w:rFonts w:ascii="Times New Roman" w:cs="Times New Roman" w:eastAsia="Times New Roman" w:hAnsi="Times New Roman"/>
          <w:sz w:val="18"/>
          <w:szCs w:val="18"/>
          <w:i w:val="1"/>
          <w:iCs w:val="1"/>
          <w:color w:val="auto"/>
        </w:rPr>
        <w:t>S. aureus</w:t>
      </w:r>
      <w:r>
        <w:rPr>
          <w:rFonts w:ascii="Times New Roman" w:cs="Times New Roman" w:eastAsia="Times New Roman" w:hAnsi="Times New Roman"/>
          <w:sz w:val="18"/>
          <w:szCs w:val="18"/>
          <w:color w:val="auto"/>
        </w:rPr>
        <w:t xml:space="preserve"> Cas9, Cas9 PAM variants, inactive forms of Cas9, and/or Cas9 nickases, and systems for delivery of base editors. The patents and applications from our in-licensed portfolio for RNA base editing include claims to novel base editors, compositions including the base editor as a component, guide RNAs that target base editors to therapeutically relevant RNA sequences, and methods of using such base editors, including methods of using such base editors for therapeutic indications. The patents and applications from our in-licensed portfolio for Cas12b editing include claims to methods of using Cas12b to modify DNA (e.g., nuclease cleavage of DNA) and engineered and/or non-naturally occurring compositions including Cas12b as a component. The patents and applications from our in-licensed portfolio for delivery technologies include claims to novel lipid-based delivery systems and compositions, viral-based delivery systems and compositions, and methods of using such systems and compositions to deliver base editors. The patents and applications from our in-licensed portfolio for the balance of our platform include claims to compositions and methods for delivery of charged base editor proteins into cells, modification and improvements to the base editing systems including improvements to the nucleotide binding protein component, guide RNA component and base editing enzyme component of the base editing complex, methods for evaluating gene targeting and base editing efficiency and compositions and methods for prime editing. Our current in-licensed patents and patent applications, if the</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ind w:right="140"/>
        <w:spacing w:after="0" w:line="266" w:lineRule="auto"/>
        <w:rPr>
          <w:sz w:val="20"/>
          <w:szCs w:val="20"/>
          <w:color w:val="auto"/>
        </w:rPr>
      </w:pPr>
      <w:r>
        <w:rPr>
          <w:rFonts w:ascii="Times New Roman" w:cs="Times New Roman" w:eastAsia="Times New Roman" w:hAnsi="Times New Roman"/>
          <w:sz w:val="18"/>
          <w:szCs w:val="18"/>
          <w:color w:val="auto"/>
        </w:rPr>
        <w:t>appropriate maintenance fees are paid, are expected to expire between 2034 and 2040, excluding any additional term for patent term adjustments or patent term extensions (or the corresponding foreign equivalent). For information related to our in-licensed intellectual property, see the subsection below titled “—Intellectual Property Licenses.”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We also have a nonexclusive license to conduct research activities and an option to exclusively license certain patents and patent applications directed to Cas9 and Cas12a from Editas, who in turn has licensed such patents from various academic institutions. In the case of Cas9, a number of the U.S. patents are subject to an interference declared by the Patent and Trademark office, and a number of the European patents are the subject of one or more oppositions. For more information regarding the risks related to our intellectual property, please see Item 1., </w:t>
      </w:r>
      <w:r>
        <w:rPr>
          <w:rFonts w:ascii="Times New Roman" w:cs="Times New Roman" w:eastAsia="Times New Roman" w:hAnsi="Times New Roman"/>
          <w:sz w:val="18"/>
          <w:szCs w:val="18"/>
          <w:i w:val="1"/>
          <w:iCs w:val="1"/>
          <w:color w:val="auto"/>
        </w:rPr>
        <w:t>Business—Intellectual property—Intellectual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property licenses </w:t>
      </w:r>
      <w:r>
        <w:rPr>
          <w:rFonts w:ascii="Times New Roman" w:cs="Times New Roman" w:eastAsia="Times New Roman" w:hAnsi="Times New Roman"/>
          <w:sz w:val="18"/>
          <w:szCs w:val="18"/>
          <w:color w:val="auto"/>
        </w:rPr>
        <w:t>and Item 1A.,</w:t>
      </w:r>
      <w:r>
        <w:rPr>
          <w:rFonts w:ascii="Times New Roman" w:cs="Times New Roman" w:eastAsia="Times New Roman" w:hAnsi="Times New Roman"/>
          <w:sz w:val="18"/>
          <w:szCs w:val="18"/>
          <w:i w:val="1"/>
          <w:iCs w:val="1"/>
          <w:color w:val="auto"/>
        </w:rPr>
        <w:t xml:space="preserve"> Risk factors—Risks related to our intellectual property</w:t>
      </w:r>
      <w:r>
        <w:rPr>
          <w:rFonts w:ascii="Times New Roman" w:cs="Times New Roman" w:eastAsia="Times New Roman" w:hAnsi="Times New Roman"/>
          <w:sz w:val="18"/>
          <w:szCs w:val="18"/>
          <w:color w:val="auto"/>
        </w:rPr>
        <w:t>, in this Annual Report on Form 10-K.</w:t>
      </w:r>
    </w:p>
    <w:p>
      <w:pPr>
        <w:spacing w:after="0" w:line="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In the United States, a patent’s term may, in certain cases, be lengthened by patent term adjustment, or PTA, which compensates a patentee for administrative delays by the USPTO in examining and granting a patent, or may be shortened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 patent is terminally disclaimed over a commonly owned patent having an earlier expiration date). In some instances, such a PTA may result in a U.S. patent term extending beyond 20 years from the earliest date of filing a non-provisional patent application related to the U.S. patent. Patent term extensions, or PTE, under the Drug Price Competition and Patent Term Restoration Act of 1984, commonly known as the Hatch-Waxman Act, are also possible for patents that cover an FDA-approved drug as compensation for the patent term lost during the FDA regulatory review process. The Hatch-Waxman Act permits a PTE of up to five years beyond the expiration of the patent. The length of the PTE is related to the length of time the drug is under regulatory review. PTE cannot extend the remaining term of a patent beyond a total of 14 years from the date of product approval and only one patent applicable to an approved drug, a method for using it, or a method of manufacturing it, may be extended. Similar provisions are available in Europe and certain other jurisdictions to extend the term of a patent that covers an approved drug. In the future, if our products receive regulatory approval, we may be eligible to apply for PTEs on patents covering such products, however there is no guarantee that the applicable authorities, including the FDA in the United States, will agree with our assessment of whether such PTE should be granted, and if granted, the length of such PTE. For more information regarding the risks related to our intellectual property, please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our Intellectual property</w:t>
      </w:r>
      <w:r>
        <w:rPr>
          <w:rFonts w:ascii="Times New Roman" w:cs="Times New Roman" w:eastAsia="Times New Roman" w:hAnsi="Times New Roman"/>
          <w:sz w:val="18"/>
          <w:szCs w:val="18"/>
          <w:color w:val="auto"/>
        </w:rPr>
        <w:t>, in this Annual Report on Form 10-K.</w:t>
      </w:r>
    </w:p>
    <w:p>
      <w:pPr>
        <w:spacing w:after="0" w:line="8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implemented measures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Item 1A.,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intellectual property</w:t>
      </w:r>
      <w:r>
        <w:rPr>
          <w:rFonts w:ascii="Times New Roman" w:cs="Times New Roman" w:eastAsia="Times New Roman" w:hAnsi="Times New Roman"/>
          <w:sz w:val="18"/>
          <w:szCs w:val="18"/>
          <w:color w:val="auto"/>
        </w:rPr>
        <w:t>, in this Annual Report on Form 10-K.</w:t>
      </w:r>
    </w:p>
    <w:p>
      <w:pPr>
        <w:spacing w:after="0" w:line="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also rely on trademark protection for our company name and related designs. As of December 31, 2023, our registered trademark portfolio contained approximately 35 registered/allowed trademarks and pending trademark applications in the United States and in certain overseas jurisdictions.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license patents, patent applications, and other intellectual property from third parties. The licensed intellectual property covers, in part, CRISPR-related compositions of matter and their use for base editing. These licenses impose various diligence and financial payment obligations on us. We expect to continue to enter into these types of license agreements in the future. We consider the following license agreements to be material to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President and Fellows of Harvard College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2017, we entered into a license agreement with Harvard, as amended, or the Harvard License Agreement, pursuant to which we received an exclusive, worldwide, royalty-bearing, sublicensable license under certain patent rights owned or controlled by Harvard to make, have made, offer for sale, sell, have sold and import licensed products in the field of the prevention or treatment of any and all human diseases and conditions, excluding human germline modification and products for non-human animal and plant applications. We also received a non-exclusive, worldwide, royalty-bearing, sublicensable license to research, have researched, develop and have developed “enabled” products related to the Harvard patent rights which are not licensed products.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ind w:right="180"/>
        <w:spacing w:after="0" w:line="282" w:lineRule="auto"/>
        <w:rPr>
          <w:sz w:val="20"/>
          <w:szCs w:val="20"/>
          <w:color w:val="auto"/>
        </w:rPr>
      </w:pPr>
      <w:r>
        <w:rPr>
          <w:rFonts w:ascii="Times New Roman" w:cs="Times New Roman" w:eastAsia="Times New Roman" w:hAnsi="Times New Roman"/>
          <w:sz w:val="18"/>
          <w:szCs w:val="18"/>
          <w:color w:val="auto"/>
        </w:rPr>
        <w:t>The licensed patents are directed, among other things, to C-to-T, A-to-G, and C-to-G base editors, for the treatment of certain diseases and conditions and to base editing, more generally.</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Under the Harvard License Agreement, we are required to use commercially reasonable efforts to develop products incorporating the base editing technology covered in the licensed patents, in accordance with a development plan that we prepared and submitted to Harvard. The development plan includes certain development milestones that we are required to meet, as well as the timelines for the completion thereof, and we may update the development plan from time to time as we believe necessary, in our good faith judgment, for us to meet such milestones.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 If we fail to meet any of the deadlines for the development milestones, then Harvard may, depending on the nature of the failure and the impacted milestones, either terminate the Harvard License Agreement or our licenses with respect to the applicable licensed product(s), subject to certain exceptions and opportunities for us to cure such failure. Additionally, we are required to meet development milestones for the development of a licensed product covered by certain sub-categories of licensed patents. Failure to achieve milestones with respect to such sub-categories gives Harvard the right to grant third parties non-exclusive licenses under such failed sub-categories.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licenses granted to us under the Harvard License Agreement are expressly subject to certain preexisting rights held by Harvard and certain third parties. For example, certain of the licensed patents were developed by employees of the Howard Hughes Medical Institute and were subsequently assigned to Harvard but remain subject to a non-exclusive license between Harvard and Howard Hughes, pursuant to which Howard Hughes received a license from Harvard under certain of the licensed patents for research purposes with the right to sublicense to non-profit and governmental entities. In addition, certain of the licensed patents claim or cover inventions resulting from research that was sponsored by the U.S. government, and the U.S. government retains certain rights with respect to such licensed patents under applicable U.S. law. Harvard additionally retains limited rights for itself and for other non-profit research organizations to practice the licensed patents for research, educational, and scholarly purposes. Furthermore, Harvard retains the right, beginning a certain period of time after regulatory approval of any licensed product in the U.S. or certain European countries, to grant third parties the non-exclusive right to develop, manufacture, have manufactured, import, have imported, offer for sale, sell, have sold or otherwise distribute or have distributed such licensed product or an equivalent thereof solely for sale on a locally-affordable basis in certain specified developing countries in which we do not have plans to seek regulatory approval.</w:t>
      </w:r>
    </w:p>
    <w:p>
      <w:pPr>
        <w:spacing w:after="0" w:line="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the licenses granted to us under the Harvard License Agreement are exclusive, Harvard may grant a license to a third party under the licensed patents to research, develop, and commercialize a product directed to one or more particular targets, or a proposed product, in the field under limited circumstances. If a third party that is not a specified competitor of ours inquires with Harvard for such a license, and then attempts to enter into a sublicense agreement with us after being referred to us by Harvard and fails to do so after a certain period of time and presents to Harvard a proposal including certain information describing the proposed development and commercialization of such product, then Harvard may notify us of such proposal. If we are not researching, developing or commercializing such a proposed product, then we can notify Harvard as to whether we are interested in developing such proposed product, entering into a sublicense agreement with such third party to develop such proposed product, or entering into a sublicense with another third party to develop the same proposed product. If we inform Harvard that we are interested in developing such proposed product, then we will prepare a development plan, similar in scope to the development plan under the Harvard License Agreement, to develop such proposed product. If we inform Harvard that we are interested in entering into a sublicense agreement pursuant to which a third party would receive a sublicense from us under the licensed patents to develop such proposed product, then we will have a specified period of time to enter into such a sublicense agreement and provide reasonable evidence thereof. If we are not researching, developing, or commercializing such a proposed product, fail to provide a development plan, or fail to enter into a sublicense agreement with respect to such proposed product, in each case, within specified time periods, then Harvard may grant a license to the applicable third party under the licensed patents to research, develop, and commercialize such proposed product.</w:t>
      </w:r>
    </w:p>
    <w:p>
      <w:pPr>
        <w:spacing w:after="0" w:line="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are permitted to further sublicense our rights under the Harvard License Agreement to third parties, provided that any such sublicense agreement with a third party must remain in compliance with and be consistent with the terms of the Harvard License Agreement, and certain rights granted to us under the Harvard License Agreement can only be sublicensed 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collaboration partners who are working with us to develop one or more licensed products. In addition, any such sublicense agreement must include certain provisions to ensure our ability to comply with the Harvard License Agreement. We are also responsible for any breaches of a sublicense agreement by the applicable sublicensee, if such breach results in a material breach of the Harvard License Agreement, provided that if we cure the breach or diligently enforce our rights to terminate the sublicense, we will not be subject to termination by Harvard for the sublicensee’s breach, even if it resulted in a material breach of the Harvard Agreement.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right="40"/>
        <w:spacing w:after="0" w:line="256" w:lineRule="auto"/>
        <w:rPr>
          <w:sz w:val="20"/>
          <w:szCs w:val="20"/>
          <w:color w:val="auto"/>
        </w:rPr>
      </w:pPr>
      <w:r>
        <w:rPr>
          <w:rFonts w:ascii="Times New Roman" w:cs="Times New Roman" w:eastAsia="Times New Roman" w:hAnsi="Times New Roman"/>
          <w:sz w:val="18"/>
          <w:szCs w:val="18"/>
          <w:color w:val="auto"/>
        </w:rPr>
        <w:t>In exchange for the licenses granted to us under the Harvard License Agreement, we initially issued to Harvard 101,363 shares of our common stock and subsequently issued 765,549 shares of our common stock pursuant to anti-dilution rights in the Harvard License Agreement. We are also required to pay to Harvard an annual license maintenance fee ranging from low-to-mid five figures to low six figures, depending on the particular calendar year. Harvard is also entitled to receive potential clinical and regulatory milestones in the mid-to-high eight figure range, and to receive success payments based on increases in the fair market value of our common stock. If we undergo a change of control during the term of the Harvard License Agreement, then certain of the milestone payments would be increased. We paid Harvard a total of $9.0 million upon the completion of our Series A and Series B financings.</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Harvard were calculated to be $15.0 million. We elected to make the payment in shares of our common stock and issued 174,825 shares of our common stock to settle this liability on June 10, 2021. We may additionally owe Harvard success payments of up to an additional $90.0 million.</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With respect to the sale of licensed products by us, our affiliates or our sublicensees, Harvard is entitled to receive low single digit royalties on net sales of licensed products until, on a country-by-country basis, the latest of the expiration of (i) the last to expire valid claim of a licensed patent covering the applicable licensed product, (ii) the period of exclusivity associated with such licensed product in such country or (iii) a certain number of years after the first commercial sale of such licensed product in such country. We are entitled to certain reductions and offsets on these royalties with respect to a licensed product in a given country and certain increases in the event we, our affiliates or sublicensees bring patent challenges relating to any licensed patents (subject to an ability to delay and/or avoid such increases by diligently seeking to terminate and/or terminating the sublicense that has taken the applicable action). If we sublicense our rights to develop or commercialize a licensed product under the Harvard License Agreement to a third party and we receive non-royalty sublicense income, then Harvard is entitled to a percentage of such consideration, ranging from the high single digits to an amount in the first decile depending on the date in which such sublicense agreement is executed and the stage of development our licensed products at such time.</w:t>
      </w:r>
    </w:p>
    <w:p>
      <w:pPr>
        <w:spacing w:after="0" w:line="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Harvard is responsible for the prosecution and maintenance of all licensed patents, provided that we have customary consultation, comment, and review rights with respect to such prosecution and maintenance activities. We are responsible for Harvard’s documented out-of-pocket expenses with respect to such prosecution and maintenance, but if Harvard enters into a license agreement with a third party pursuant to which it grants such third party a license under the licensed patents outside of our field, then Harvard must use reasonable efforts to include a provision in such agreement that provides for an apportionment of prosecution and maintenance costs between us and such third party with respect to such licensed patents. If we choose to no longer pay for the prosecution and maintenance costs of a given licensed patent, then we will be relieved of such payment obligation, but our license with respect to such licensed patent will also terminate.</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Unless earlier terminated, the Harvard License Agreement will remain in effect until the later of the last-to-expire valid claim of the licensed patents or the end of the last to expire royalty term. We may terminate the Harvard License Agreement at our convenience following written notice to Harvard. Either party may terminate the Harvard License Agreement for a material breach of the other party, subject to a notice and cure period. Harvard may also terminate the Harvard License Agreement in the event of our bankruptcy or insolvency or if we fail to procure and maintain insurance. Upon expiration or termination of the Harvard License Agreement, the licenses granted to us will terminate and all rights under the licensed patent rights will revert to Harvard.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Editas Medicine, Inc.</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2018, we entered into a license agreement, or the Editas License Agreement, with Editas pursuant to which we received an exclusive (even as to Editas), royalty-bearing, sublicensable, worldwide license under certain patent rights owned or controlled by Editas related to certain base editing technologies and CRISPR technology to develop, commercialize, make, have made, use, offer for sale, sell and import certain base editing products for the treatment of human diseases or conditions. The license we received is non-exclusive with respect to certain specified targets. Our licensed field excludes the use of certain gene editing technologies in certain fields of use that have already been licensed to other partners of Editas, provided that our licensed field may expand if the fields licensed to other Editas partners are reduced or are otherwise modified as a result of any termination, expiration, or amendment to Editas’ agreements with such partners. In addition, we received a royalty-free, non-sublicensable, non-exclusive license under a separate set of patent rights owned or controlled by Editas to conduct research activities in our licensed field and for which we have an option to obtain an exclusive license from Editas.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of the patents licensed to us under the Editas License Agreement were licensed to Editas from Broad Institute and Harvard and certain of the patents for which we have an option to obtain a license were licensed to Editas from the Massachusetts General Hospital, or MGH. Accordingly, the licenses granted to us under the Editas License Agreement are subject to the terms and conditions set forth in each of the license agreements concerning the licensed patents between Broad Institute, Harvard and Editas, or the Broad/Harvard Head Licenses, and each of the license agreements concerning the patents for which we have an option to obtain a license between MGH and Editas, or the MGH Head Licenses.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19" w:name="page20"/>
    <w:bookmarkEnd w:id="19"/>
    <w:p>
      <w:pPr>
        <w:ind w:right="120"/>
        <w:spacing w:after="0" w:line="261" w:lineRule="auto"/>
        <w:rPr>
          <w:sz w:val="20"/>
          <w:szCs w:val="20"/>
          <w:color w:val="auto"/>
        </w:rPr>
      </w:pPr>
      <w:r>
        <w:rPr>
          <w:rFonts w:ascii="Times New Roman" w:cs="Times New Roman" w:eastAsia="Times New Roman" w:hAnsi="Times New Roman"/>
          <w:sz w:val="18"/>
          <w:szCs w:val="18"/>
          <w:color w:val="auto"/>
        </w:rPr>
        <w:t>As described above, Editas granted us an exclusive option to obtain an exclusive license under certain patents on a patent family-by-patent family basis. If we so exercise the option with respect to a patent family of such optioned patents, then we would receive an exclusive license to such patent family of the same scope as the other patents exclusively licensed to us under the Editas License Agreement. In order to exercise an option with respect to a patent family of these optioned patents we would pay an eight-figure option exercise fee, depending on the date in which particular option is exercised.</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Editas License Agreement, we are required to use commercially reasonable efforts to develop a licensed product in our licensed field in each of the United States, Japan, the United Kingdom, or U.K., Germany, France, Italy and Spain. If we are successfully able to gain regulatory approval in any country for a licensed product, then we are also required to use commercially reasonable efforts to commercialize such licensed product in such country. We also have sole control and responsibility over all regulatory activities with respect to the development of licensed products.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permitted to further sublicense certain of our rights under the Editas License Agreement to third parties, provided that any such sublicense agreement with a third party must remain in compliance with and be consistent with the terms of the Editas License Agreement and the Broad/Harvard Head Licenses and MGH Head Licenses, as applicable. We are also responsible for any breaches of a sublicense agreement by the applicable sublicensee and are responsible for all payments due under the Editas License Agreement by operation of any such sublicense. Following the signing of the Editas License Agreement, we obtained the right to further sublicense our rights the licensed patents from Broad Institute and Harvard to third parties, provided that we comply with certain sublicensing requirements under each of the Broad/Harvard Head Licenses as if we were Editas, as well as certain other customary conditions. We have not obtained any such right from MGH allowing us to further sublicense our rights under the licensed patents from MGH to third parties and will require written consent in the event we wish to further sublicense such rights to a third party.</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the execution of the Editas License Agreement, we paid Editas an upfront fee of $180,000. We also issued to Editas 1,833,333 shares of our Series A-1 Preferred Stock and 1,222,222 shares of our Series A-2 Preferred Stock. In addition, if any of our commercial, regulatory, development or sales activities with respect to the licensed products triggers a milestone payment or sublicense income that Editas owes under the Broad/Harvard Head Licenses or the MGH Head Licenses, then we are required to pay Editas the full amount of such milestone payment or sublicense income, as applicable; provided that we will not pay Editas for any sublicense income due as a result of our payment of any option exercise fee to Editas. Aggregate milestone amounts under the Editas License Agreement could equal up to $68.8 million for each product developed and commercialized using rights related to certain base editing technologies and CRISPR technology; in the event we develop and commercialize products covered by claims from the additional patent families licensed or optioned to us under the Editas License Agreement, aggregate milestone payments could equal up to $74.0 million per product. The percentage of sublicense income we would owe under the Editas License Agreement ranges from none to amounts between 10% and 20%. In addition, we agreed to pay for a portion of the annual license maintenance fees and prosecution and maintenance costs that Editas incurs itself or owes under the Broad /Harvard Head Licenses and the MGH Head Licenses with respect to the licensed patents. The upfront fee, equity issuance, and option exercise payments we make to Editas under the Editas License Agreement constitute both consideration for the licenses granted to us under the Editas License Agreement and reimbursement for prosecution and maintenance costs for the licensed patents.</w:t>
      </w:r>
    </w:p>
    <w:p>
      <w:pPr>
        <w:spacing w:after="0" w:line="7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With respect to the sale of licensed products by us, our affiliates or our sublicensees, we are required to pay to Editas an amount equal to the royalty rates that it owes to Broad Institute, Harvard, or MGH under its applicable in-licenses, plus an additional low- to mid-single digit royalty on net sales of licensed products, depending on whether such licensed product is covered by an Editas-owned patent and based on the aggregate worldwide net sales of licensed products in a given calendar year. We are entitled to certain reductions and offsets on these royalties with respect to a licensed product in a given country and if Editas is entitled to receive any reductions or offsets in respect to its royalty payment obligations under the relevant Broad/Harvard Head Licenses or MGH Head Licenses, then Editas will use reasonable efforts to avail itself of such reductions, which in turn would reduce our royalty payment obligations under the Editas License Agreement. The royalty term expires on licensed product-by-licensed product and country-by-country basis upon the later of (i) the last-to-expire royalty term in such country under any applicable Broad/Harvard Head License or MGH Head License, and, if such product is covered by a licensed Editas-owned patent, (ii) the date at which such product is no longer covered by a valid claim of a licensed Editas-owned patent in such country.</w:t>
      </w:r>
    </w:p>
    <w:p>
      <w:pPr>
        <w:spacing w:after="0" w:line="6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between the parties, Editas is responsible for the prosecution and maintenance of all licensed patents, provided that we have certain information, comment, and review rights for certain of the licensed patents.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ind w:right="40"/>
        <w:spacing w:after="0" w:line="254" w:lineRule="auto"/>
        <w:rPr>
          <w:sz w:val="20"/>
          <w:szCs w:val="20"/>
          <w:color w:val="auto"/>
        </w:rPr>
      </w:pPr>
      <w:r>
        <w:rPr>
          <w:rFonts w:ascii="Times New Roman" w:cs="Times New Roman" w:eastAsia="Times New Roman" w:hAnsi="Times New Roman"/>
          <w:sz w:val="18"/>
          <w:szCs w:val="18"/>
          <w:color w:val="auto"/>
        </w:rPr>
        <w:t>Unless earlier terminated, the Editas License Agreement will expire on a licensed product-by-licensed product and country-by-country basis on the expiration of the applicable royalty term with respect to such licensed product in such country. We may terminate the Editas License Agreement on written notice to Editas subject to a specified notice period. Either party may terminate the Editas License Agreement for a material breach of the other party, subject to a notice and cure period. Editas may also terminate the Editas License Agreement if we challenge the validity of any of the licensed patents, subject to customary carveouts. Upon expiration or termination of the Editas License Agreement in its entirety or with respect to a family of patents, the licenses granted to us will immediately terminate in its entirety or solely with respect to the expired or terminated patent family, as the case may be; however, if we have the right to terminate the Editas License Agreement due to Editas’ material breach of the Editas License Agreement, then in lieu of so terminating the Editas License Agreement, we can elect to reduce our royalty payment obligations under the Editas License Agreement by certain specified percentages.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Broad Institute, Inc.</w:t>
      </w:r>
    </w:p>
    <w:p>
      <w:pPr>
        <w:spacing w:after="0" w:line="1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In May 2018, our affiliate, Blink Therapeutics Inc., or Blink, entered into a license agreement, as amended, or the Broad License Agreement, with Broad Institute. In September 2021, Blink merged with and into Beam, such that Blink’s separate corporate existence ceased and Beam continued as the surviving corporation and the successor by merger to the Broad License Agreement with respect to Blink. Under the Broad License Agreement, and as further detailed below, we received certain rights to RNA base editing technology, including the RNA editor platforms RESCUE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REPAIR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use Cas13 linked to a deaminase to deliver single base A-to-I or C-to-U editing of RNA transcripts, respectively, as well as the Cas12b nuclease family of gene editing enzymes.</w:t>
      </w:r>
    </w:p>
    <w:p>
      <w:pPr>
        <w:spacing w:after="0" w:line="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More specifically, under the Broad License Agreement, Broad Institute granted us an exclusive, worldwide, royalty-bearing and sublicensable license under certain patent rights to the extent owned or controlled by Broad Institute (including via an interinstitutional agreement with the Massachusetts Institute of Technology, or MIT, and Harvard) comprising (i) certain patent rights claiming or disclosing novel CRISPR enzymes and systems (including those related to DNA cleaving) or systems, methods and compositions for targeted nucleic acid editing, in each case to exploit products covered by such patents, (ii) certain product-specific patent rights claiming or disclosing novel CRISPR enzymes and systems, methods and compositions for targeted nucleic acid editing, in each case to exploit base editor products covered by such patents and (iii) certain patent rights generally related to gene targeting to exploit base editor products covered by such patents, in each case to make, have made, offer for sale, sell, have sold and import certain licensed products.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Broad License Agreement, we have also been granted (i) a non-exclusive, royalty-bearing and sublicensable license under all patents exclusively licensed to us under the Broad License Agreement to make, have made, offer for sale, sell, have sold and import certain products in our field that were made, discovered, developed or determined to have utility through the use of such patents in a research or discovery program commencing before May 2021 or through the use of transferred materials from Broad Institute but that are not covered by the licensed patents and (ii) a non-exclusive, worldwide, royalty-bearing and sublicensable internal research license under all patents exclusively licensed to us. All licenses granted to us by Broad Institute exclude human germline modification, the stimulation of biased inheritance of particular genes or, with certain exceptions, traits within a plant or animal population and certain modifications of the tobacco plant and are subject to certain retained rights of Broad Institute, Harvard and MIT and the U.S. federal government. Broad Institute additionally retains limited rights for itself, Harvard and MIT and for other non-profit research organizations to practice the licensed patents for research, educational, and scholarly purposes.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Broad License Agreement, we are required to use commercially reasonable efforts to develop licensed products in accordance with a development plan that Blink prepared and submitted to Broad Institute. The development plan includes certain development milestones that we are required to meet, as well as the timelines for the completion thereof, and we may update the development plan from time to time if we believe, in our good faith judgment, that such update is needed in order to improve our ability to meet such development milestones. We will not be able to delay such development milestone timelines without providing a reasonable explanation and plan to Broad Institute and provided further that Broad Institute’s approval of the explanation and plan in its reasonable discretion is required for any milestone timeline extension of more than a specified number of years.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are required to use commercially reasonable efforts to pursue the viability of the technology covered, claimed or disclosed in certain sub-categories of licensed patents and must initiate a discovery program for the development of a licensed product covered by a valid claim, or otherwise generally enabled, by the use of such sub-category of the licensed patents during a certain period of time following the execution of the Broad License Agreement and submit an updated development plan and development milestones reasonably acceptable to Broad Institute for such sub-category of the licensed patents within such period of time. If we fail to use commercially reasonable efforts to pursue the viability of such technology or to initiate a discovery program or to submit an updated development plan in the specified time period then the license under such sub-category of the licensed patents will terminate and, if such sub-category of the licensed patents consists of base editor patent rights, our rights with respect to gene targeting licensed patents shall convert to non-exclusive so that such rights may be licensed for use to such terminated base editor licensed patents.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ind w:right="40"/>
        <w:spacing w:after="0" w:line="252" w:lineRule="auto"/>
        <w:rPr>
          <w:sz w:val="20"/>
          <w:szCs w:val="20"/>
          <w:color w:val="auto"/>
        </w:rPr>
      </w:pPr>
      <w:r>
        <w:rPr>
          <w:rFonts w:ascii="Times New Roman" w:cs="Times New Roman" w:eastAsia="Times New Roman" w:hAnsi="Times New Roman"/>
          <w:sz w:val="18"/>
          <w:szCs w:val="18"/>
          <w:color w:val="auto"/>
        </w:rPr>
        <w:t>Broad Institute, MIT, and Harvard also retain the right to grant further licenses under specified circumstances to third parties, other than specified entities, that wish to research, develop, and commercialize a product that would otherwise fall within the scope of our exclusive license grant from Broad Institute and Harvard pursuant to Broad Institute, Harvard and MIT’s inclusive innovation model. If, after a specified period of time, such a third party inquires with Broad Institute for such a license and presents to Broad Institute a proposal including information describing the proposed development and commercialization of such a proposed product, then Broad Institute may notify us of the request and the requester’s identity, and the nature of the specific proposed product, including the applicable gene to which the proposed product is directed. Broad Institute is not required to share any other information provided by the requester to us in connection with the inclusive innovation model. If we are not researching, developing or commercializing such a proposed product, then we can notify Broad Institute as to whether in good faith we are interested in developing such proposed product, entering into a sublicense agreement with such requesting third party to develop such proposed product, entering into a sublicense with another third party to develop such proposed product, or that we are not interested in any of the foregoing. If we inform Broad Institute that we are interested in developing such proposed product, then we will prepare a development plan, similar in scope to the development plan under the Broad License Agreement, to develop such proposed product and must commence the development program for such proposed product within a specified period. If we inform Broad Institute that we are interested in entering into a sublicense agreement pursuant to which the inquiring third party or another third party would receive a sublicense from us under the licensed patents to develop such proposed product, then we may enter into such a sublicense agreement and provide reasonable evidence thereof during the period. If we decline to conduct the foregoing activities or do not complete such activities within the specified period, which period is reduced by the period of time the requesting third party has previously negotiated with us, then Broad Institute may grant a license to the applicable third party under the licensed patents to research, develop, and commercialize such proposed product, and our license to such the applicable patent rights will, at Broad Institute’s election, terminate with respect to the gene that is the subject of the proposed third party product.</w:t>
      </w:r>
    </w:p>
    <w:p>
      <w:pPr>
        <w:spacing w:after="0" w:line="8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We are permitted to sublicense the licensed patents to affiliates and third parties, provided that any such sublicense agreement must remain in compliance with and be consistent with the terms of the Broad License Agreement. In addition, any such sublicense agreement must include certain customary provisions to ensure our ability to comply with the Broad License Agreement. We are also responsible for any breaches of a sublicense agreement by the applicable sublicensee and are responsible for all payments due under the Broad License Agreement by operation of any such sublicense.</w:t>
      </w:r>
    </w:p>
    <w:p>
      <w:pPr>
        <w:spacing w:after="0" w:line="5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partial consideration for the rights granted under the Broad License Agreement, Broad Institute received 1,940,000 shares of Blink’s common stock. The shares issued to Broad Institute were exchanged into 865,240 shares of our common stock in connection with our acquisition of Blink on September 25, 2018.</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Broad License Agreement, we are also required to pay Broad Institute an annual license maintenance fee ranging from the low- to mid-five figures to the low-six figures, depending on the particular calendar year. Broad Institute is also entitled to receive clinical and regulatory milestones totaling in the mid-to-high eight figure range, and to receive success payments based on increases in the fair market value of our common stock.</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Broad Institute were calculated to be $15.0 million. We elected to make the payment in shares of our common stock and issued 174,825 shares of our common stock to settle this liability on June 10, 2021. We may additionally owe Broad Institute success payments of up to an additional $90.0 million.</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also required to pay royalties in the low single digits for products covered by the licensed patents with such royalty reduced by a certain percentage for products enabled by the licensed patents or transferred materials, but not covered by the licensed patents. The royalty rate payable by us is subject to customary reductions and offsets on these royalties with respect to a product in a given country. The royalty term for a product in a country will terminate on the later of the expiration of (i) the last to expire licensed patent covering the applicable product, (ii) the period of exclusivity associated with such product in such country or (iii) a certain period of time after the first commercial sale of such product in such country. If we sublicense our rights to develop or commercialize a licensed product under the Broad License Agreement to a third party and receive non-royalty sublicense income, then Broad Institute is entitled to a percentage of such consideration, ranging from the high single digits to an amount in the low first decile, dependent on the development stage of products under the Broad License Agreement at the time of sublicense execution.</w:t>
      </w:r>
    </w:p>
    <w:p>
      <w:pPr>
        <w:spacing w:after="0" w:line="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Broad Institute is responsible for the prosecution and maintenance of all licensed patents, provided that we have certain consultation, comment, and review rights with respect to such prosecution and maintenance activities of exclusively licensed patent rights.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earlier terminated, the Broad License Agreement will remain in effect until the later of the last-to-expire valid claim of a licensed patent covering our licensed products or the end of the last to expire royalty term. We may terminate the Broad License Agreement for its convenience following written notice to Broad Institute subject to a specified notice period. Either party may terminate the Broad License Agreement for a material breach of the other party, subject to a notice and cure period. Broad Institute may also terminate the Broad License Agreement in the event of our bankruptcy or insolvency, if we fail to procure and maintain insurance or if we, our affiliates or sublicensees bringing patent challenges relating to any licensed patents (subject to a cure period for us to terminate the sublicensee that has taken the applicable action).</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Bio Palette Co., Ltd.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27, 2019, we entered into a license agreement, or the Bio Palette License Agreement, with Bio Palette Co., Ltd., or Bio Palette, pursuant to which we received an exclusive (even as to Bio Palette and its affiliates), sublicensable license under certain patent rights related to base editing owned or controlled by Bio Palette to research, make, have made, import, export, distribute, use, have used, sell, have sold or offer for sale, and otherwise exploit products for the treatment of human disease throughout the world, but excluding products in the microbiome field in Asia. In addition, we granted Bio Palette an exclusive (even as to us and our affiliates) license under certain patent rights related to base editing and gene editing owned or controlled by us to research, make, have made, import, export, distribute, use, have used, sell, have sold or offer for sale, and otherwise exploit products in the microbiome field in Asia, subject to our right, in its sole discretion, to expand Bio Palette’s license (and the applicable royalty obligations) to the entire territory. Each party to the Bio Palette Agreement retains non-exclusive rights to develop and manufacture products in the microbiome field worldwide for the sole purpose of exploiting those products in its own territory. Each party agrees to certain coordination obligations in the microbiome field in the event that either party determines not to exploit their rights in such field.</w:t>
      </w:r>
    </w:p>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Bio Palette comes into the control of any other patent right that is useful for the treatment, diagnosis or prevention of any human diseases or conditions and intends to grant a license under that patent right in certain defined fields and in certain defined territories, we have the exclusive right of first negotiation for an exclusive license under that patent right in those fields and territories. If we come into the control of any other patent right that is useful in certain defined fields and intend to grant a license under that patent right in those fields in certain defined territories, Bio Palette has the exclusive right of first negotiation for an exclusive license under that patent right in those fields and territories.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part of the Bio Palette License Agreement, if we form a Scientific Advisory Board, then Bio Palette will have the right to appoint two representatives to such board until the conclusion of the period ending five years after the effective date of the Bio Palette License Agreement. Additionally, we and Bio Palette agree to communicate with each other regarding potential base editing collaborations in Japan.</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required to use commercially reasonable efforts to develop a licensed product in the United States, Japan, the U.K., France, Germany, Italy and Spain. For any licensed product in our licensed field and territory that receives regulatory approval, we are required to use commercially reasonable efforts to commercialize that licensed product in the relevant country. Bio Palette is required to use commercially reasonable efforts to develop a licensed product in Japan. For any licensed product that receives regulatory approval, Bio Palette is required to use commercially reasonable efforts to commercialize such licensed product in the relevant country.</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of the patents licensed to us under the Bio Palette License Agreement were licensed to Bio Palette from Kobe University under a license agreement we refer to as the Kobe Head License. Accordingly, the licenses granted to us under the Bio Palette License Agreement are subject to the terms and conditions set forth in the Kobe Head License, which include provisions providing for certain rights to be retained by third parties including governmental authorities.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and Bio Palette are both permitted to sublicense the licensed patents to affiliates and third parties, provided that the applicable terms of the Bio Palette License Agreement and the Kobe Head License would apply to such affiliates and third parties. The sublicensing party is also responsible for any breaches of such terms by the applicable sublicensee and is responsible for all payments due under the Bio Palette License Agreement by operation of any such sublicense.</w:t>
      </w:r>
    </w:p>
    <w:p>
      <w:pPr>
        <w:spacing w:after="0" w:line="9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the execution of the Bio Palette License Agreement, we paid Bio Palette an upfront fee of $0.5 million. In connection with the execution of the Bio Palette License Agreement, we issued to Bio Palette 16,725 shares of our common stock, with an agreement to issue additional shares of our common stock in the low six figures in the event that the referenced Bio Palette patent issues in the United States. Upon the issuance of a certain Bio Palette patent in the United States in June 2020, we made a milestone payment to Bio Palette of $2.0 million and, in July 2020, issued to Bio Palette 175,000 shares of our common stock valued at $0.3 million. We also agreed to pay a royalty at a fraction of a percent on net sales of products that are covered by the patents licensed by Bio Palette to us, and Bio Palette agreed to pay a royalty at a fraction of a percent on net sales of products that are covered by the patents licensed by us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intellectual property arising out of activities under the Bio Palette License Agreement will be owned by the party inventing such intellectual property. Bio Palette is responsible for the prosecution and maintenance of all patents licensed by Bio Palette to us, provided that we have customary consultation, comment and review rights with respect to such prosecution and maintenance activities solely with respect to national entries of a certain specified PCT application. We have the sole right to prosecute and maintain patents licensed by us to Bio Palette.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ind w:right="60"/>
        <w:spacing w:after="0" w:line="255" w:lineRule="auto"/>
        <w:rPr>
          <w:sz w:val="20"/>
          <w:szCs w:val="20"/>
          <w:color w:val="auto"/>
        </w:rPr>
      </w:pPr>
      <w:r>
        <w:rPr>
          <w:rFonts w:ascii="Times New Roman" w:cs="Times New Roman" w:eastAsia="Times New Roman" w:hAnsi="Times New Roman"/>
          <w:sz w:val="18"/>
          <w:szCs w:val="18"/>
          <w:color w:val="auto"/>
        </w:rPr>
        <w:t>Unless earlier terminated, the Bio Palette License Agreement will expire on a licensed product-by-licensed product and country-by-country basis upon the expiration of the applicable royalty term for each such licensed product and country. Each party has the right to terminate the Bio Palette License Agreement for convenience with respect to the license granted to such party subject to a specified notice period. Either party may terminate the Bio Palette License Agreement with respect to the license granted to the other party for a material breach by the other party, subject to a specified notice and cure period. Additionally, either party may also terminate the Bio Palette License Agreement in the event of the other party’s bankruptcy or insolvency or if the other party, its affiliates or sublicensees brings a patent challenge relating to any licensed patents (but, in the case of such a patent challenge by a sublicensee, subject to a cure period for such party to terminate its agreement with the sublicensee that has taken the applicable 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or EU, extensively regulate, among other things, the research, development, testing, manufacturing, packaging, labeling, storage, record keeping, reimbursement, advertising, promotion, distribution, post-approval monitoring and reporting and import and export, pricing and reimbursement of pharmaceutical products, including biological products. Failure to comply with the applicable regulatory requirements at any time during the product development process or post-approval may subject a sponsor for marketing approval to delays in development or approval, as well as administrative and judicial sanctions.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processes for obtaining marketing approvals in the United States and in foreign countries and jurisdictions and compliance with applicable statutes and regulatory requirements, both pre- and post-approval, and obtaining reimbursement status will continue to require the expenditure of substantial time and financial resources. The regulatory requirements applicable to biological product development, approval, and marketing are subject to change, and regulations and administrative guidance often are revised or reinterpreted by the agencies in ways that may have a significant impact on our business. Ethical, social and legal concerns about gene therapy, genetic testing and genetic research could result in additional regulations restricting or prohibiting the processes we may use.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Licensure and regulation of biologics in the United States</w:t>
      </w:r>
    </w:p>
    <w:p>
      <w:pPr>
        <w:spacing w:after="0" w:line="119"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In the United States, our candidate products are regulated as biological products, or biologics, under the Public Health Service Act, or the PHSA, and the Federal Food, Drug and Cosmetic Act, or the FDCA, the implementing regulations of the FDA and other federal, state and local statutes and regulations.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FDA must approve a product candidate for a therapeutic indication before it may be marketed in the United States. A company, institution, or organization which takes responsibility for the initiation and management of a clinical development program for such products is referred to as a sponsor. A sponsor seeking approval to market and distribute a new biologic in the United States generally must satisfactorily complete each of the following steps:</w:t>
      </w:r>
    </w:p>
    <w:p>
      <w:pPr>
        <w:spacing w:after="0" w:line="68" w:lineRule="exact"/>
        <w:rPr>
          <w:sz w:val="20"/>
          <w:szCs w:val="20"/>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all performed in accordance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investigational new drug, or IND, application for human clinical testing,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requesting marketing of the biological product for one or more proposed indications, including submission of detailed information on the manufacture and composition of the product and proposed labelling;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BLA by an FDA advisory committee, where applicable;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to assure that the facilities, methods, and controls are adequate to preserve the product’s identity, strength, quality, and purity; and, if applicable, the FDA’s current Good Tissue Practice, or cGTP, requirements for the use of human cellular and tissue products;</w:t>
      </w:r>
    </w:p>
    <w:p>
      <w:pPr>
        <w:spacing w:after="0" w:line="71"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GLPs and GCPs and the integrity of clinical data in support of the BLA;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4" w:name="page25"/>
    <w:bookmarkEnd w:id="24"/>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application fee under the Prescription Drug User Free Act, or PDUFA, unless exempted;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which may be subject to additional post-approval requirements, including the potential requirement to implement a Risk Evaluation and Mitigation Strategy, or REMS, and any post-approval studies required by the FDA.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Before testing any investigational biological product in humans, including a gene editing product candidate, the product candidate must undergo preclinical testing. Preclinical tests include laboratory evaluations of product chemistry, formulation and stability, as well as studies to evaluate the potential for efficacy and toxicity in animal studies.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 the FDA as part of an IND application.</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or biological product to be shipped in interstate commerce for use in an investigational clinical trial. Such authorization must be secured prior to interstate shipment and administration of any product candidate that is not the subject of an approved new drug application, or NDA. In support of a request for an IND, applicants must submit a protocol for each clinical trial and any subsequent protocol amendments must be submitted to the FDA as part of the IND. An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or any issues surrounding chemistry, manufacturing and controls, or CMC, for the proposed product. In that case, the IND sponsor and the FDA must resolve any outstanding FDA concerns before the clinical trials can begin. Preclinical or nonclinical testing typically continues even after the IND is submitted.</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no requirement for a manufacturer to provide expanded access to an investigational product. However, if a manufacturer decides to make its investigational product available for expanded access, FDA reviews requests for expanded access and determines if treatment may proceed. Expanded access may be appropriate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8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the FDCA, sponsors of one or more investigational products for the treatment of a serious disease(s) or condition(s) must make publicly available their policy for evaluating and responding to requests for expanded access for individual patients.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5" w:name="page26"/>
    <w:bookmarkEnd w:id="25"/>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an additional mechanism for patients with a life-threatening condition who have exhausted approved treatments and are unable to participate in clinical trials to access certain investigational products that have completed a Phase I clinical trial, are the subject of an active IND, and are undergoing investigation for FDA approval. Unlike the expanded access framework described above, the Right to Try Pathway does not require FDA to review or approve requests for use of the investigational product. There is no obligation for a manufacturer to make its investigational products available to eligible patients under the Right to Try Act.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clinical trials conducted in the United States,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Clinical trials must also comply with extensive GCP rules and the requirements for obtaining subjects’ informed consent. The FDA, IRB, or the clinical trial sponsor may suspend or discontinue a clinical trial at any time for various reasons, including a finding that the clinical trial is not being conducted in accordance with FDA requirements, including GCP, or the subjects or patients are being exposed to an unacceptable health risk.</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checkpoints based on access to certain data from the study. Finally, research activities involving infectious agents, hazardous chemicals, recombinant DNA, and genetically altered organisms and agents may be subject to review and approval of an Institutional Biosafety Committee, or IBC, in accordance with NIH Guidelines for Research Involving Recombinant or Synthetic Nucleic Acid Molecules.</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52" w:lineRule="exact"/>
        <w:rPr>
          <w:sz w:val="20"/>
          <w:szCs w:val="20"/>
          <w:color w:val="auto"/>
        </w:rPr>
      </w:pPr>
    </w:p>
    <w:p>
      <w:pPr>
        <w:ind w:left="1020" w:right="2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on occasion, in the case of some products for severe or life-threatening diseases, especially when the product may be too inherently toxic to ethically administer to healthy volunteers, in patients, such as cancer patients.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 acceptable safety profile. Clinical trials are undertaken within an expanded patient population at multiple geographically dispersed clinical study sites to further evaluate dosage, provide substantial evidence of clinical efficacy, and further test for safety.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7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 w:name="page27"/>
    <w:bookmarkEnd w:id="26"/>
    <w:p>
      <w:pPr>
        <w:ind w:right="120"/>
        <w:spacing w:after="0" w:line="254" w:lineRule="auto"/>
        <w:rPr>
          <w:sz w:val="20"/>
          <w:szCs w:val="20"/>
          <w:color w:val="auto"/>
        </w:rPr>
      </w:pPr>
      <w:r>
        <w:rPr>
          <w:rFonts w:ascii="Times New Roman" w:cs="Times New Roman" w:eastAsia="Times New Roman" w:hAnsi="Times New Roman"/>
          <w:sz w:val="18"/>
          <w:szCs w:val="18"/>
          <w:color w:val="auto"/>
        </w:rPr>
        <w:t>In some cases, the FDA may approve a BLA for a product candidate but require the sponsor to conduct additional clinical trials to further assess the product candidate’s safety or effectiveness after approval. Such trials are typically referred to as post approval or post marketing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post approval or post marketing clinical trials could result in withdrawal of approval for products. The FDA generally recommends that sponsors observe subjects for potential gene-therapy related delayed adverse events in a long-term follow-up study of fifteen years for integrating vectors, up to fifteen years for herpes virus vectors capable of establishing latency, up to fifteen years for microbial vectors known to establish persistent infection, up to fifteen years for gene editing products, and up to five years for AAV vectors. The FDA recommends that these long-term follow-up studies include, at a minimum, five years of annual physical examinations followed by annual queries, either in-person or by phone or written questionnaire, for the remaining observation period.</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In January 2024, the FDA issued draft guidance setting out its policies for the collection of race and ethnicity data in clinical trials.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June 2023, the FDA issued draft guidance with updated recommendations for GCPs aimed at modernizing the design and conduct of clinical trials. The updates are intended to help pave the way for more efficient clinical trials to facilitate the development of medical products. The draft guidance is adopted from the International Council for Harmonisation’s, or ICH, recently updated E6(R3) draft guideline that was developed to enable the incorporation of rapidly developing technological and methodological innovations into the clinical trial enterprise. In addition, the FDA issued draft guidance outlining recommendations for the implementation of decentralized clinical trials.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Sponsors of clinical trials of certain FDA-regulated products, including prescription drugs, are required to register and disclose certain clinical trial information on a public registry maintained by the NIH. In particular, information related to the product, patient population, phase of investigation, study sites and investigators and other aspects of the clinical trial is made public as part of the registration of the clinical trial. Although sponsors are also obligated to disclose the results of their clinical trials after completion, disclosure of the results can be delayed in some cases for up to two years after the date of completion of the trial. The NIH’s Final Rule on ClinicalTrials.gov registration and reporting requirements became effective in 2017. The FDA has issued several pre-notices for voluntary corrective action and several notices of non-compliance during the past two years. While these notices of non-compliance did not result in civil monetary penalties, the failure to submit clinical trial information to clinicaltrials.gov, as required, is a prohibited act under the FDCA with violations subject to potential civil monetary penalties of up to $10,000 for each day the violation continues.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Interactions with the FDA During the Clinical Development Program</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the clearance of an IND and the commencement of clinical trials, a sponsor is given the opportunity to meet with the FDA at certain points in the clinical development program.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end of Phase 2 meetings. A Type C meeting is any meeting other than a Type A or Type B meeting regarding the development and review of a product. A Type D meeting is focused on a narrow set of issues and should not require input from more than three disciplines or Divisions of FDA. Finally, INTERACT meetings are intended for novel products and development programs that present unique challenges in the early development of an investigational product.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Clinical Studies Outside the United States in Support of FDA Approval</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connection with our clinical development program, we are planning to conduct trials at sites outside the United States. When a foreign clinical trial is conducted under an IND, all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trials must be conducted in accordance with GCP, including undergoing review and receiving approval by an independent ethics committee, or IEC, and seeking and receiving informed consent from subjects.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trials.</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acceptance by the FDA of trial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or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submit a pediatric study plan, or PSP, within 60 days of an end-of-Phase 2 meeting or as may be agreed between the sponsor and the FDA. The PSP outlines the proposed pediatric study or studies they plan to conduct, including study objectives and design, any deferral or waiver requests, and other information required by regulation. The FDA must then review the information submitted, consult with the sponsor, and agree upon a final plan. The FDA or the sponsor may request an amendment to the plan at any time. In May 2023, the FDA issued new draft guidance that further describes the pediatric study requirements under PREA.</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90 days after FDA’s receipt of the study plan. The FDA may, on its own initiative or at the request of the sponsor, grant deferrals for submission of some or all pediatric data until after approval of the product for use in adults, or full or partial waivers from the pediatric data requirements, under specified circumstances. Unless otherwise required by regulation, the pediatric data requirements do not apply to products with orphan designation.</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law now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sponsor’s response. Unless otherwise required by regulation, the pediatric data requirements do not apply to products with orphan designation, although FDA has recently taken steps to limit what it considers abuse of this statutory exemption in PREA by announcing that it does not intend to grant any additional orphan drug designations for rare pediatric subpopulations of what is otherwise a common disease. The FDA also maintains a list of diseases that are exempt from PREA requirements due to low prevalence of disease in the pediatric population.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Special regulations and guidance governing gene therapy products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It is possible that the procedures and standards applied to gene therapy products and cell therapy products may be applied to any CRISPR/Cas9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be transferred to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prior to administration to the recipient. The Center for Biologics Evaluation and Research, or CBER, at FDA regulates gene therapy products. Within CBER, the review of gene therapy and related products is consolidated in the Office of Therapeutic Products, or OTP, and the FDA has established the Cellular, Tissue and Gene Therapies Advisory Committee to advise CBER on its reviews.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FDA has issued numerous guidance documents regarding gene therapies. Although the FDA’s guidance documents are not legally binding, compliance with certain aspects of them is likely necessary to gain approval for any product candidate we may develop. The guidance documents provide recommendations and additional clarity as to factors that the FDA will consider at each stage of gene therapy development and relate to, among other things, the proper preclinical assessment of gene therapies; the CMC information that should be included in an IND application; the proper design of tests to measure product potency in support of an IND or BLA application; measures to observe delayed adverse effects in subjects who have been exposed to investigational gene therapies; and gene therapy products for the treatment of rare diseases.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gene therapy trial is conducted at, or sponsored by, institutions receiving any NIH funding for research involving recombinant or synthetic nucleic acid molecules, the trial must be conducted in accordance with the NIH Guidelines for Research Involving Recombinant DNA Molecules. Research conducted at such institutions that involves the transfer of recombinant or synthetic nucleic acid molecules, or DNA or RNA derived from recombinant or synthetic nucleic acid molecules, into human subjects must undergo review and approval by an IBC before it commences. Many companies and other institutions not otherwise subject to the NIH Guidelines voluntarily follow them.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cGMP and cGTP requirements</w:t>
      </w:r>
    </w:p>
    <w:p>
      <w:pPr>
        <w:spacing w:after="0" w:line="11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FDA’s regulations require that pharmaceutical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are subject to periodic unannounced inspections by the FDA for compliance with cGMPs and other requirements. Inspections must follow a “risk-based schedule” that may result in certain establishments being inspected more frequently.</w:t>
      </w:r>
    </w:p>
    <w:p>
      <w:pPr>
        <w:spacing w:after="0" w:line="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product.</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 Material changes in manufacturing equipment, location, or process post-approval, may result in additional regulatory review and approval.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a gene therapy product, the FDA also will not approve the product if the manufacturer is not in compliance with cGTP. These standards are found in FDA regulations and guidance documents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29" w:name="page30"/>
    <w:bookmarkEnd w:id="29"/>
    <w:p>
      <w:pPr>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The manufacturing facilities may be subject to periodic unannounced inspections by government authorities to ensure compliance with cGMPs and other laws. If a manufacturing facility is not in substantial compliance with the applicable regulations and requirements imposed when the product was approved, regulatory enforcement action may be taken, which may include a warning letter or an injunction against shipment of products from the facility and/or recall of products previously shipped.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of a BLA</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along with information relating to the product’s CMC and proposed labeling, are submitted to the FDA as part of an application requesting approval to market the product candidate for one or more indications. The fee required for the submission of a BLA under the Prescription Drug User Fee Act, or PDUFA, is substantial (for example, for federal fiscal year 2024, this application fee is approximately $4.05 million), and the sponsor of an approved BLA is also subject to an annual program fee, set at $416,734 per eligible prescription drug product for federal fiscal year 2024. These fees are typically adjusted annually, and exemptions and waivers may be available under certain circumstances, such as where a waiver is necessary to protect the public health, where the fee would present a significant barrier to innovation, or where the sponsor is a small business submitting its first human therapeutic application for review.</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the BLA within 60 days of receipt and must inform the sponsor by that time whether the application is sufficiently complete to permit substantive review. In pertinent part, the FDA’s regulations for applications state that an application “shall not be considered as filed until all pertinent information and data have been received” by the FDA. In the event that the FDA determines that an application does not satisfy this standard, it will issue a Refuse to File, or RTF, determination to the sponsor. Typically, an RTF will be based on administrative incompleteness, such as clear omission of information or sections of required information; scientific incompleteness, such as omission of critical data, information or analyses needed to evaluate safety, purity and potency or provide adequate directions for use; or inadequate content, presentation, or organization of information such that substantive and meaningful review is precluded. The FDA may request additional information rather than accept a BLA for filing. In this event, the application must be resubmitted with the additional information. The resubmitted application is also subject to review before the FDA accepts it for filing.</w:t>
      </w:r>
    </w:p>
    <w:p>
      <w:pPr>
        <w:spacing w:after="0" w:line="8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After the submission is accepted for filing, the FDA begins an in-depth substantive review of the application. The FDA may inform the sponsor of certain requirements for information when it accepts the BLA or by the 74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receipt of the BLA. Thereafter, the FDA may submit “information requests” to the sponsor in the course of the agency’s review of the BLA. The FDA reviews the BLA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for an investigational product that is a new molecular entity, and six months from the filing date for an application with “priority review.” The 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 BLA to extend beyond the PDUFA goal date.</w:t>
      </w:r>
    </w:p>
    <w:p>
      <w:pPr>
        <w:spacing w:after="0" w:line="2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Before approving a BLA, the FDA may inspect the sponsor and one or more clinical trial sites to assure compliance with IND and GCP requirements and the integrity of the clinical data submitted to the FDA. With passage of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Additionally, the FDA may refer the BLA,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sponsor during the review process.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The FDA’s Decision on a BLA</w:t>
      </w:r>
    </w:p>
    <w:p>
      <w:pPr>
        <w:spacing w:after="0" w:line="119"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The FDA reviews a BLA to determine, among other things, whether the product is safe, pure and potent. To reach this determination, the FDA must determine that the expected benefits of the proposed product outweigh its potential risks to patients. This “benefit-risk” assessment is informed by the extensive body of evidence about the product’s safety, purity and potency in the BLA.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w:t>
      </w:r>
    </w:p>
    <w:p>
      <w:pPr>
        <w:spacing w:after="0" w:line="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FDA typically requires a robust safety database and substantial evidence of the efficacy of the product. The term “substantial evidence” has been interpreted by the FDA to require at least two adequate and well-controlled clinical investigations to establish effectiveness of a product. Under certain circumstances, however, the FDA has indicated that a single trial with certain characteristics and additional information may satisfy this standard. This approach was subsequently endorsed by Congress in 1998 with legislation providing, in pertinent part, that “If [the FDA] determines, based on relevant science, that data from one adequate and well-controlled clinical investigation and confirmatory evidence (obtained prior to or after such investigation) are sufficient to establish effectiveness, the FDA may consider such data and evidence to constitute substantial evidence.” In December 2019, the FDA issued draft guidance further explaining the studies that are needed to establish substantial evidence of effectiveness. It has not yet finalized that guidance, but the FDA did issue draft guidance in September 2023 that outlines considerations for relying on confirmatory evidence in lieu of a second clinical trial to demonstrate efficacy.</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before approving an application, the FDA will determine whether the facility in which the product is manufactured, processed, packed or held meets standards designed to assure the product’s continued safety. The approval process is lengthy and often difficult, and the FDA may refuse to approve a BLA if the applicable regulatory criteria are not satisfied or may require additional clinical or other data and information. After evaluating the application and all related information, including the advisory committee recommendations, if any, and inspection reports of manufacturing facilities and clinical trial sites, the FDA may issue either an approval letter or a Complete Response Letter, or CRL.</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 an additional six-month extension to respond. For those seeking to challenge the FDA’s CRL decision, the FDA has indicated that sponsors may request a formal hearing on the CRL or they may file a request for reconsideration or a request for a formal dispute resolution. During the product approval process, the FDA also will determine whether a REMS is necessary to assure the safe use of the product. If the FDA concludes a REMS is needed, the sponsor of the BLA must submit a proposed REMS; the FDA will not approve the BLA without a REMS, if required.</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indications. That is, the approval will be limited to the conditions of use (e.g., patient population or indication) described in the FDA-approved labeling. Further, depending on the specific risk(s) to be addressed, the FDA may require that contraindications, warnings or precautions be included in the product labeling, require that post-approval trials, including post-marketing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 and regenerative advanced therapy designations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FDA has several programs designed to expedite the development and approval of drugs and biological products intended to treat serious or life-threatening diseases or conditions. These programs include fast track designation, breakthrough therapy designation, priority review designation, and regenerative medicine advanced therapy (RMAT)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 may grant a product fast track designation if it is intended for the treatment of a serious or life-threatening disease or condition, and nonclinical or clinical data demonstrate the potential to address an unmet medical need for such disease or condition. For fast track products, sponsors may have greater interactions with the FDA, and the FDA may initiate review of sections of a fast track product’s marketing application before the application is complete in some circumstances. Fast track designation may be rescinded if FDA believes that the product no longer meets the qualifying criteria.</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1" w:name="page32"/>
    <w:bookmarkEnd w:id="31"/>
    <w:p>
      <w:pPr>
        <w:ind w:right="140"/>
        <w:spacing w:after="0" w:line="256"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aid sponsors in designing the clinical trials in an efficient manner. Breakthrough designation may be rescinded if a product no longer meets the qualifying criteria.</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With passage of the 21st Century Cures Act in December 2016, Congress authorized an additional expedited program for regenerative medicine advanced therapies. A product is eligible for RMAT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RMAT designation include the benefits available to breakthrough therapies, including potential eligibility for priority review and accelerated approval based on surrogate or intermediate endpoints. RMAT designation may be rescinded if a product no longer meets the qualifying criteria.</w:t>
      </w:r>
    </w:p>
    <w:p>
      <w:pPr>
        <w:spacing w:after="0" w:line="7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FDA may designate a product for priority review if it is a product that treats a serious condition and, if approved, would provide a significant improvement in safety or effectiveness of the treatment, prevention, or diagnosis of such condition. A priority designation is intended to direct overall attention and resources to the evaluation of such applications, and it shortens the FDA’s goal for taking action on a marketing application from ten months to six months.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w:t>
      </w:r>
    </w:p>
    <w:p>
      <w:pPr>
        <w:spacing w:after="0" w:line="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drugs granted accelerated approval, FDA generally requires sponsors to conduct, in a diligent manner, additional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All promotional materials for product candidates approved under accelerated approval are subject to prior review by the FDA unless FDA informs the sponsor otherwise.</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passage of the FDORA in December 2022, Congress modified certain provisions governing accelerated approval of drug and biologic products. Specifically, the new legislation authorized the FDA to require (i) a sponsor to have its confirmatory clinical trial underway before accelerated approval is awarded; (ii) a sponsor of a product granted accelerated approval to submit progress reports on its post-approval studies to FDA every six months (until the study is completed); and (iii) use expedited procedures to withdraw accelerated approval of an NDA or BLA after the confirmatory trial fails to verify the product’s clinical benefit. Further, FDORA requires the agency to publish on its website “the rationale for why a post-approval study is not appropriate or necessary” whenever it decides not to require such a study upon granting accelerated approval. In March 2023, the FDA issued draft guidance that outlines its current thinking and approach to accelerated approval for designing, conducting, and analyzing data for trials intended to support accelerated approvals of oncology therapeutics.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has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2" w:name="page33"/>
    <w:bookmarkEnd w:id="32"/>
    <w:p>
      <w:pPr>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a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FDA strictly regulates the advertising and labeling of prescription drug products, including biological products.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In addition, the sponsor of an approved drug in the United States may not promote that drug for unapproved, or off-label, uses, although a physician may prescribe a drug for an off-label use in accordance with the practice of medicine. 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In addition,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administrative and judicial enforcement by the FDA, the DOJ,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7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or dosing regimens, manufacturing changes, or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ind w:right="440"/>
        <w:spacing w:after="0" w:line="258" w:lineRule="auto"/>
        <w:rPr>
          <w:sz w:val="20"/>
          <w:szCs w:val="20"/>
          <w:color w:val="auto"/>
        </w:rPr>
      </w:pPr>
      <w:r>
        <w:rPr>
          <w:rFonts w:ascii="Times New Roman" w:cs="Times New Roman" w:eastAsia="Times New Roman" w:hAnsi="Times New Roman"/>
          <w:sz w:val="18"/>
          <w:szCs w:val="18"/>
          <w:color w:val="auto"/>
        </w:rPr>
        <w:t>The FDA may withdraw product approval if compliance with regulatory requirements and standards is not maintained or if problems occur after the product reaches the market. Later discovery of previously unknown problems with a product, including adverse events of unanticipated severity or frequency or issues with manufacturing processes, may result in revisions to the approved labeling to add new safety information; imposition of post-market studies or clinical trials to assess new safety signals;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Finally, if there are any modifications to the product, including changes in indications, labeling or manufacturing processes or facilities, the sponsor may be required to submit and obtain FDA approval of a new BLA or a BLA supplement, which may require the sponsor to develop additional data or conduct additional preclinical studies and clinical trials.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 There also are continuing, annual user fee requirements that are now assessed as program fees for certain approved drugs.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the treatment of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the product available for the disease or condition will be recovered from sales of the product in the United States.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Orphan drug designation qualifies a company for certain tax credits. In addition, if a drug candidate that has orphan drug designation subsequently receives the first FDA approval for that drug for the disease for which it has such designation, the product is entitled to orphan drug exclusivity, which means that the FDA may not approve any other applications to market the same drug for the same indication for seven years following product approval unless the subsequent product candidate is demonstrated to be clinically superior. Absent a showing of clinical superiority, FDA cannot approve the same product made by another manufacturer for the same indication during the market exclusivity period unless it has the consent of the sponsor or the sponsor is unable to provide sufficient quantities.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 To qualify for orphan exclusivity, however, the drug must be clinically superior to the previously approved product that is the same drug for the same condition.</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Gene therapy products present novel issues for assessing when two products are the “same” for orphan exclusivity purposes. In September 2021, the FDA issued a final guidance document describing its current thinking on when a gene therapy product is the “same” as another product for the purpose of orphan exclusivity. Under the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While the guidance provides some additional clarity on FDA’s approach to assessing “sameness,” significant ambiguity and uncertainty remain as to how FDA will assess viral vectors in the same class, what differences in vector or transgene are considered minor, and what additional features may be considered.</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4" w:name="page35"/>
    <w:bookmarkEnd w:id="34"/>
    <w:p>
      <w:pPr>
        <w:ind w:right="40"/>
        <w:spacing w:after="0" w:line="254"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Orphan drug exclusivity will not bar approval of another product under certain circumstances, including if the company with orphan drug exclusivity is not able to meet market demand or the subsequent product with the same drug for the same condition is shown to be clinically superior to the approved product on the basis of greater efficacy or safety, or provide a major contribution to patient care. This is the case despite an earlier court opinion holding that the Orphan Drug Act unambiguously required the FDA to recognize orphan drug exclusivity regardless of a showing of clinical superiority. Under Omnibus legislation signed in December 2020, the requirement for a product to show clinical superiority applies to drugs and biologics that received orphan drug designation before enactment of the FDA Reauthorization Act of 2017, or FDARA, in 2017, but have not yet been approved or licensed by the FDA.</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September 2021, the Court of Appeals for the 11th Circuit held that, for the purpose of determining the scope of exclusivity, the term “same disease or condition” in the statute means the designated “rare disease or condition” and could not be interpreted by the agency to mean the “indication or use.” Thus, the court concluded, orphan drug exclusivity applies to the entire designated disease or condition rather than the “indication or use.” It is unclear how this court decision will be implemented by the FDA.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non-patent regulatory exclusivity in the United States. Specifically, the Best Pharmaceuticals for Children Act provides for the attachment of an additional six months of exclusivity, which is added on to the term of any remaining regulatory exclusivity at the time the pediatric exclusivity is granted. This six-month exclusivity may be granted if a BLA sponsor submits pediatric data that fairly respond to a written request from the FDA for such data, even if the data do not show the product to be effective in the pediatric population studied.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2010 Patient Protection and Affordable Care Act, or PPACA, which was signed into law in March 2010, included a subtitle called the Biologics Price Competition and Innovation Act of 2009, or BPCIA. The BPCIA established a regulatory scheme authorizing the FDA to approve biosimilars and interchangeable biosimilars.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first licensed. This 12-year exclusivity period is referred to as the reference product exclusivity period and bars approval of a biosimilar but notably does not prevent approval of a competing product pursuant to a full BLA (i.e., containing the sponsor’s own preclinical data and data from adequate and well-controlled clinical trials to demonstrate the safety, purity, and potency of the product). The BPCIA also created certain exclusivity periods for biosimilars approved as interchangeable products. In December 2022, Congress clarified through FDORA that the FDA may approve multiple first interchangeable biosimilar biological products so long as the products are all approved on the first day on which such a product is approved as interchangeable with the reference product. The law also includes an extensive process for the innovator biologic and biosimilar manufacturer to litigate patent infringement, validity, and enforceability prior to the approval of the biosimilar.</w:t>
      </w:r>
    </w:p>
    <w:p>
      <w:pPr>
        <w:spacing w:after="0" w:line="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Since the passage of the BPCIA, many states have passed laws or amendments to laws, including laws governing pharmacy practices, which are state-regulated, to regulate the use of biosimilars.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 patent claiming a new biological product may be eligible for a limited patent term extension under the Hatch-Waxman Act, which permits a patent restoration of up to five years for a single patent for an approved product as compensation for patent term lost during product development and FDA regulatory review. The restoration period granted on a patent covering a product is typically one-half the time between the effective date a clinical investigation involving human beings is begun and the submission date of a marketing application less any dime during which the sponsor failed to exercise due diligence, plus the time between the submission date of an application and the ultimate approval date less any dime during which the sponsor failed to exercise due diligence. Patent term restoration cannot be used to extend the remaining term of a patent past a total of 14 years from the product’s approval date. Only one patent applicable to an approved product is eligible for the extension, only those claims covering the approved drug, a method for using it, or a method for manufacturing it may be extended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approval of companion diagnostics</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on issues related to co-development of the products.</w:t>
      </w:r>
    </w:p>
    <w:p>
      <w:pPr>
        <w:spacing w:after="0" w:line="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in April 2020, the FDA issued additional guidance which describes considerations for the development and labeling of companion diagnostic devices to support the indicated uses of multiple drug or biological oncology products, when appropriate. This guidance builds upon existing policy regarding the labeling of companion diagnostics. In its 2014 guidance, the FDA stated that if evidence is sufficient to conclude that the companion diagnostic is appropriate for use with a specific group of therapeutic products, the companion diagnostic’s intended use/indications for use should name the specific group of therapeutic products, rather than specific products. The 2020 guidance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w:t>
      </w:r>
    </w:p>
    <w:p>
      <w:pPr>
        <w:spacing w:after="0" w:line="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7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 xml:space="preserve">The FDA previously has required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intended to select the patients who will respond to the product candidate to obtain pre-market approval, or PMA, simultaneously with approval of the therapeutic product candidate. The PMA process, including the gathering of clinical and preclinical data and the submission to and review by the FDA, can take several years or longer. It involves a rigorous premarket review during which the sponsor must prepare and provide the FDA with reasonable assurance of the device’s safety and effectiveness and information about the device and its components regarding, among other things, device design, manufacturing and labeling. PMA applications are subject to an application fee, which for federal fiscal year 2024 is $483,560 and the small business fee is $120,890.</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Many companion diagnostics are considered significant risk devices due to their role in diagnosing a disease or condition. Non-significant risk devices are devices that do not pose a significant risk to the human subjects. A non-significant risk device study requires only IRB approval prior to initiation of a clinical study.</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36" w:name="page37"/>
    <w:bookmarkEnd w:id="36"/>
    <w:p>
      <w:pPr>
        <w:ind w:right="40"/>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data privacy and security laws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federal Health Insurance Portability and Accountability Act of 1996, or HIPAA, HHS has issued regulations to protect the privacy and security of protected health information, or PHI, used or disclosed by covered entities including certain healthcare providers, health plans and healthcare clearinghouses.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Any clinical trials we conduct will be regulated by Subpart A of 45 CFR 46, also known as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Moreover, new laws and regulations governing privacy and security may be adopted in the future as well.</w:t>
      </w:r>
    </w:p>
    <w:p>
      <w:pPr>
        <w:spacing w:after="0" w:line="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At the state level, in 2018, California passed into law the California Consumer Privacy Act, or the CCPA, which took effect on January 1, 2020 and imposed many requirements on businesses that process the personal information of California residents,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It also provides California residents a private right of action, including the ability to seek statutory damages, in the event of a breach involving their personal information. Compliance with the CCPA is a rigorous and time-intensive process that may increase the cost of doing business or require companies to change their business practices to ensure full compliance. On November 3, 2020, California voters passed a ballot initiative for the California Privacy Rights Act, or the CPRA, which will expand the CCPA to incorporate additional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will also expand personal information rights of California residents, including creating a right to opt out of sharing of personal information with third parties for advertising, expanding the lookback period for the right to know about personal information held by businesses, and expanding the right to erasure for information held by third parties. Most CPRA provisions took effect on January 1, 2023, though the obligations apply to any personal information collected after January 1, 2022. These provisions may apply to some of our business activities. In addition, more than 12 other states, already have passed state privacy laws. For example, the State of Washington passed the My Health My Data Act in 2023, which specifically regulated health information that is not otherwise regulated by the HIPAA rules. Other states have already passed similar laws and other states may do so in the future. In addition, Congress has also debated passing a federal privacy law. These laws may impact our business activities, including our identification of research subjects, relationships with business partners and ultimately the marketing and distribution of any products for which we or our collaborators obtain regulatory and marketing approval.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medicinal products in the EU and the U.K.</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Non-clinical studies are performed to demonstrate the health or environmental safety of new chemical or biological substances. Non-clinical (pharmaco-toxicological) studies must be conducted in compliance with the principles of good laboratory practice, or GLP, as set forth in EU Directive 2004/10/EC (unless otherwise justified for certain particular medicinal products – e.g., radio-pharmaceutical precursors for radio-labeling purposes). In particular, non-clinical studies,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or CTR, became effective in the European Union and replaced the prior Clinical Trials Directive 2001/20/EC. The new regulation aims at simplifying and streamlining the authorization, conduct and transparency of clinical trials in the EU. Under the new coordinated procedure for the approval of clinical trials, the sponsor of a clinical trial to be conducted in more than one Member State of the EU,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Beyond streamlining the process, the CTR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or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Member State Concerned. However, overall related timelines will be defined by the CTR.</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CTR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clinical site after the applicable ethics committee has issued a favorable opinion.</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w:t>
      </w:r>
    </w:p>
    <w:p>
      <w:pPr>
        <w:spacing w:after="0" w:line="72" w:lineRule="exact"/>
        <w:rPr>
          <w:sz w:val="20"/>
          <w:szCs w:val="20"/>
          <w:color w:val="auto"/>
        </w:rPr>
      </w:pPr>
    </w:p>
    <w:p>
      <w:pPr>
        <w:ind w:right="880"/>
        <w:spacing w:after="0" w:line="375" w:lineRule="auto"/>
        <w:rPr>
          <w:sz w:val="20"/>
          <w:szCs w:val="20"/>
          <w:color w:val="auto"/>
        </w:rPr>
      </w:pPr>
      <w:r>
        <w:rPr>
          <w:rFonts w:ascii="Times New Roman" w:cs="Times New Roman" w:eastAsia="Times New Roman" w:hAnsi="Times New Roman"/>
          <w:sz w:val="18"/>
          <w:szCs w:val="18"/>
          <w:color w:val="auto"/>
        </w:rPr>
        <w:t xml:space="preserve">Parties conducting certain clinical trials must, as in the United States, post clinical trial information in the EU at the EU Clinical Trials Register. </w:t>
      </w:r>
      <w:r>
        <w:rPr>
          <w:rFonts w:ascii="Times New Roman" w:cs="Times New Roman" w:eastAsia="Times New Roman" w:hAnsi="Times New Roman"/>
          <w:sz w:val="18"/>
          <w:szCs w:val="18"/>
          <w:i w:val="1"/>
          <w:iCs w:val="1"/>
          <w:color w:val="auto"/>
        </w:rPr>
        <w:t>Marketing authorization</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obtain a marketing authorization, or MA, for a gene therapy product under the EU regulatory system, a sponsor must submit an application via the centralized procedure administered by the European Medicines Agency, or EMA. Specifically, the grant of an MA in the EU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EMA’s Committee for Advance Therapies which provides a draft opinion regarding the application for marketing authorization and which is subject to final approval by the EMA’s Committee for Medicinal Products for Human Use. The European Commission grants or refuses marketing authorization in light of that final approval.</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an application for an MA is 210 days, excluding clock stops when additional information or written or oral explanation is to be provided by the sponsor in response to questions of the Committee for Medicinal Products for Human Use, or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Conditional approval</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specific circumstances, E.U. legislation (Article 14–a Regulation (EC) No 726/2004 (as amended by Regulation (EU) 2019/5 and Regulation (EC) No 507/2006 on Conditional MA for Medicinal Products for Human Use) enables sponsors to obtain a conditional MA prior to obtaining the comprehensive clinical data required for an application for a full 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product candidate is intended to meet unmet medical needs of patients; (3) a marketing authorization may be granted prior to submission of comprehensive clinical data provided that the benefit of the immediate availability on the market of the medicinal product concerned outweighs the risk inherent in the fact that additional data are still required; (4) the risk-benefit balance of the product candidate is positive; and</w:t>
      </w:r>
    </w:p>
    <w:p>
      <w:pPr>
        <w:spacing w:after="0" w:line="3" w:lineRule="exact"/>
        <w:rPr>
          <w:sz w:val="20"/>
          <w:szCs w:val="20"/>
          <w:color w:val="auto"/>
        </w:rPr>
      </w:pPr>
    </w:p>
    <w:p>
      <w:pPr>
        <w:ind w:right="100" w:firstLine="8"/>
        <w:spacing w:after="0" w:line="25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that the sponsor will be in a position to provide the required comprehensive clinical trial data.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Exceptional Circumstances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MA. However, unlike the conditional MA, the applicant does not, and will not in the future, have to provide the missing data. Although the MA “under exceptional circumstances” is granted definitively, the risk-benefit balance of the medicinal product is reviewed annually and the MA is withdrawn in case the risk-benefit ratio is no longer favorable. Under these procedures, before granting the MA, the EMA or the competent authorities of the member states make an assessment of the risk-benefit balance of the product on the basis of scientific criteria concerning its quality, safety, and efficacy. Except conditional MAs, MAs have an initial duration of five years. After these five years, the authorization may be renewed on the basis of a reevaluation of the risk-benefit balance.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data exclusivity in the EU</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EU,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 from referencing the innovator’s data to assess a generic (abbreviated) application for a period of eight years. This also applies to biosimilars.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In addition, if a pediatric investigation plan is accepted, then a further year of market exclusivity might be obtained (or in the alternative a patent extension (SPC) of a further 6 months). For orphan medicinal products, the periods are separate and different in that there is a total of 10-year data exclusivity and if they have a PIP, there is a further two-year extension to that 10-year period. Even if a compound is considered to be a new chemical or biological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EU has a Priority Medicines, or PRIME, scheme that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Prior to obtaining a marketing authorization in the EU,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provided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sponsor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extensions in the EU and other jurisdictions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EU also provides for patent term extension through SPCs. The rules and requirements for obtaining an SPC are similar to those in the United States. An SPC may extend the term of a patent for up to five years after its originally scheduled expiration date and can provide up to a maximum of fifteen years of marketing exclusivity for a drug. In certain circumstances, these periods may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EU Member States to restrict the range of products for which their national health insurance systems provide reimbursement and to control the prices of medicinal products for human use.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subject to the EU’s General Data Protection Regulation, or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are ongoing concerns about the ability of companies to transfer personal data from the EU to other countries. In July 2020, the Court of Justice of the European Union, or the CJEU, invalidated the EU-U.S. Privacy Shield framework, or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has lead to increased scrutiny on data transfers from the EU to the U.S. generally and increase our costs of compliance with data privacy legislation as well as our costs of negotiating appropriate privacy and security agreements with our vendors and business partners.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the CJEU decision, in October 2022, President Biden signed an executive order to implement the EU-U.S. Data Privacy Framework, which would serve as a replacement to the EU-U.S. Privacy Shield. The European Commission initiated the process to adopt an adequacy decision for the EU-U.S. Data Privacy Framework in December 2022, and has now adopted an adequacy decision to permit data transfers from the EU to the United States going forward. This development permits data transfers at this point under this framework and more broadly has made international data transfers more straightforward, but these provisions are being challenged in court. The continuing uncertainty around this issue may further impact our business operations in the EU.</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23, 2016, the electorate in the U.K. voted in favor of leaving the EU, commonly referred to as Brexit. As with other issues related to Brexit, there are open questions about how personal data will be protected in the U.K. and whether personal information can transfer from the EU to the U.K. Following the withdrawal of the U.K. from the EU, the U.K. Data Protection Act 2018 applies to the processing of personal data that takes place in the U.K. and includes parallel obligations to those set forth by GDPR. While the Data Protection Act of 2018 in the U.K. that “implements” and complements the GDPR has achieved Royal Assent on May 23, 2018 and is now effective in the U.K., it is unclear whether transfer of data from the EEA to the U.K. will remain lawful under the GDPR. The U.K. government has already determined that it considers all European Union 27 and EEA member states to be adequate for the purposes of data protection, ensuring that data flows from the U.K. to the EU/EEA remain unaffected. In addition, a recent decision from the European Commission appears to deem the U.K. as being “essentially adequate” for purposes of data transfer from the EU to the U.K., although this decision may be re-evaluated in the future. The U.K. and the United States also have agreed on a framework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1" w:name="page42"/>
    <w:bookmarkEnd w:id="41"/>
    <w:p>
      <w:pPr>
        <w:ind w:right="60"/>
        <w:spacing w:after="0" w:line="282" w:lineRule="auto"/>
        <w:rPr>
          <w:sz w:val="20"/>
          <w:szCs w:val="20"/>
          <w:color w:val="auto"/>
        </w:rPr>
      </w:pPr>
      <w:r>
        <w:rPr>
          <w:rFonts w:ascii="Times New Roman" w:cs="Times New Roman" w:eastAsia="Times New Roman" w:hAnsi="Times New Roman"/>
          <w:sz w:val="18"/>
          <w:szCs w:val="18"/>
          <w:color w:val="auto"/>
        </w:rPr>
        <w:t>for personal data to be transferred between the U.K. and the United States, called the U.K.-U.S. Data Bridge. The U.K.-U.S. Data Bridge may be challenged in the future. Continuing uncertainty about these data transfers, including the possibility of future changes, may impact our business operations.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Beyond the GDPR, there are privacy and data security laws in a growing number of countries around the world. While many loosely follow the GDPR as a model, other laws contain different or conflicting provisions. These laws will impact our ability to conduct our business activities, including both our clinical trials and any eventual sale and distribution of commercial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U.K.</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EU and the U.K. reached an agreement on their new partnership in the Trade and Cooperation Agreement, or the Trade and Cooperation Agreement, which was applied provisionally beginning on January 1, 2021 and which entered into force on May 1, 2021. The Trade and Cooperation Agreement focuses primarily on free trade by ensuring no tariffs or quotas on trade in goods, including healthcare products such as medicinal products. Thereafter, the EU and the U.K. will form two separate markets governed by two distinct regulatory and legal regimes. As such, the Trade and Cooperation Agreement seeks to minimize barriers to trade in goods while accepting that border checks will become inevitable as a consequence that the U.K. is no longer part of the single market.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 The Human Medicines Regulations 2012 (SI 2012/1916) (as amended), or HMR is the primary legal instrument for the regulation of medicines in the U.K. The HMR has incorporated into the domestic law the body of EU law instruments governing medicinal products that pre-existed prior to the U.K.’s withdrawal from the EU.</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EU laws, which have been transposed into U.K. law through secondary legislation, continue to be applicable as “retained EU laws”. However, new legislation such as the CTR will not be applicable in the U.K. Since a significant proportion of the regulatory framework for pharmaceutical products in the U.K. covering the quality, safety, and efficacy of pharmaceutical products, clinical trials, MAs, commercial sales, and distribution of pharmaceutical products is derived from EU directives and regulations, Brexit may have a material impact upon the regulatory regime with respect to the development, manufacture, importation, approval, and commercialization of our product candidates in the U.K. For example, the U.K. is no longer covered by the centralized procedures for obtaining EU-wide MAs from the EMA, and a separate MA will be required to market our product candidates in the U.K. A new international recognition framework has been in place since January 1, 2024, whereby the MHRA will have regard to decisions on the approval of MAs made by the EMA and certain other regulators when determining an application for a new U.K. MA.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Sales of our products will depend, in significant part, on the availability of coverage and the adequacy of reimbursement from third-party payors.</w:t>
      </w:r>
    </w:p>
    <w:p>
      <w:pPr>
        <w:spacing w:after="0" w:line="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Within the United States, third-party payors include government authorities or government healthcare programs, such as Medicare and Medicaid,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drug product. Third-party payors may limit coverage to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Moreover, a third-party payor’s decision to provide coverage for a drug product does not imply that an adequate reimbursement rate will be approved. Adequate third-party reimbursement may not be available to enable us to maintain net price levels sufficient to realize an appropriate return on our investment in product development. Additionally, coverage and reimbursement for drug products can differ significantly from payor to payor. One third-party payor’s decision to cover a particular drug product or service does not ensure that other payors will also provide coverage for the drug product or will provide coverage at an adequate reimbursement rate.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2" w:name="page43"/>
    <w:bookmarkEnd w:id="42"/>
    <w:p>
      <w:pPr>
        <w:ind w:right="120"/>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cost-effectiveness of new products and services in addition to their safety and efficacy. To obtain or maintain coverage and reimbursement for any current or future product,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noted above, the marketability of any product candidates for which we receive regulatory approval for commercial sale may suffer if the government and other third-party payors fail to provide coverage and adequate reimbursement. There is an emphasis on cost containment measures in the United States and we expect the pressure on pharmaceutical pricing will increase.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we obtain appropriate approval in the future to market any of our current product candidates in the United States, we may be required to provide discounts or rebates under government healthcare programs or to certain government and private purchasers in order to obtain coverage under federal healthcare programs such as Medicaid. Participation in such programs may require us to track and report certain drug prices. We may be subject to fines and other penalties if we fail to report such prices accurately.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because this is not yet the subject of harmonized EU law. Many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and others with “peg” their pricing to a basket of other countries. EU member states may approve a specific price for a product, or it may instead adopt a system of direct or indirect controls on the profitability of the company placing the product on the market. Some member states, in addition to controlling pricing will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law and regulation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healthcare providers and patient privacy laws and regulations and other healthcare laws and regulations that may constrain our business and/or financial arrangements. Restrictions under applicable federal and state healthcare laws and regulations, including certain laws and regulations applicable only if we have marketed products, include the following:</w:t>
      </w:r>
    </w:p>
    <w:p>
      <w:pPr>
        <w:spacing w:after="0" w:line="75" w:lineRule="exact"/>
        <w:rPr>
          <w:sz w:val="20"/>
          <w:szCs w:val="20"/>
          <w:color w:val="auto"/>
        </w:rPr>
      </w:pPr>
    </w:p>
    <w:p>
      <w:pPr>
        <w:ind w:left="1020" w:right="2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soliciting, receiving or providing remuneration, directly or indirectly, to induce either the referral of an individual for the purchasing or ordering of a good or service, for which payment may be made under federal healthcare programs such as Medicare and Medicaid;</w:t>
      </w:r>
    </w:p>
    <w:p>
      <w:pPr>
        <w:spacing w:after="0" w:line="67"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020" w:right="10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9"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so-called “federal sunshine” law, which requires pharmaceutical and medical device companies to monitor and report certain financial interactions with certain healthcare providers and teaching hospitals to the Center for Medicare &amp; Medicaid Services within HHS for re-disclosure to the public, as well as ownership and investment interests held by physicians and their immediate family members;</w:t>
      </w:r>
    </w:p>
    <w:p>
      <w:pPr>
        <w:spacing w:after="0" w:line="49"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and other reform</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March 2010, the United States Congress enacted the Patient Protection and Affordable Care Act, as amended by the Health Care and Education Reconciliation Act of 2010, or collectively the PPACA, which, among other things, includes changes to the coverage and payment for drug products under government healthcare programs.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current legislation the actual reduction in Medicare payments will vary from 1% in 2022 to up to 3% in the final fiscal year of this sequester. The Consolidated Appropriations Act, which was signed into law by President Biden in December 2022, made several changes to sequestration of the Medicare program. Section 1001 of the Consolidated Appropriations Act delays the 4% Statutory Pay-As-You-Go Act of 2010, or PAYGO,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2032 and lowers the payment reduction percentages in fiscal 2030 and 2031.</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4" w:name="page45"/>
    <w:bookmarkEnd w:id="44"/>
    <w:p>
      <w:pPr>
        <w:jc w:val="both"/>
        <w:ind w:right="180" w:firstLine="45"/>
        <w:spacing w:after="0" w:line="261"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Since enactment of the PPACA,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On June 17, 2021, the U.S. Supreme Court dismissed the most recent judicial challenge to the PPACA brought by several states without specifically ruling on the constitutionality of the PPACA. Litigation and legislation over the PPACA are likely to continue, with unpredictable and uncertain results.</w:t>
      </w:r>
    </w:p>
    <w:p>
      <w:pPr>
        <w:spacing w:after="0" w:line="79"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In January 2021, a new executive order directed federal agencies to reconsider rules and other policies that limit Americans’ access to healthcare and consider actions that will protect and strengthen that access. Under this order, federal agencies are directed to re-examine: policies that undermine protections for people with pre-existing conditions, including complications related to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demonstrations and waivers under Medicaid and the PPACA that may reduce coverage or undermine the programs, including work requirements; policies that undermine the Health Insurance Marketplace or other markets for health insurance; policies that make it more difficult to enroll in Medicaid and under the PPACA; and policies that reduce affordability of coverage or financial assistance, including for dependents.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the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Nine states (Colorado, Florida, Maine, New Hampshire, New Mexico, North Dakota, Texas, Vermont and Wisconsin) have passed laws allowing for the importation of drugs from Canada. Certain of these states have submitted Section 804 Importation Program proposals and are awaiting FDA approval. On January 5, 2023, the FDA approved Florida’s plan for Canadian drug importation.</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IRA, further delayed implementation of this rule to January 1, 2032.</w:t>
      </w:r>
    </w:p>
    <w:p>
      <w:pPr>
        <w:spacing w:after="0" w:line="7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In September 2021, acting pursuant to an executive order signed by President Biden,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5" w:name="page46"/>
    <w:bookmarkEnd w:id="45"/>
    <w:p>
      <w:pPr>
        <w:ind w:right="60"/>
        <w:spacing w:after="0" w:line="256" w:lineRule="auto"/>
        <w:rPr>
          <w:sz w:val="20"/>
          <w:szCs w:val="20"/>
          <w:color w:val="auto"/>
        </w:rPr>
      </w:pPr>
      <w:r>
        <w:rPr>
          <w:rFonts w:ascii="Times New Roman" w:cs="Times New Roman" w:eastAsia="Times New Roman" w:hAnsi="Times New Roman"/>
          <w:sz w:val="18"/>
          <w:szCs w:val="18"/>
          <w:color w:val="auto"/>
        </w:rPr>
        <w:t>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Pharmaceutical Research and Manufacturers of America, Novo Nordisk, Inc., Janssen Pharmaceuticals, Inc., Novartis AG, AstraZeneca plc and Boehringer Ingelheim International GMBH, also filed lawsuits in various courts with similar constitutional claims against HHS and CMS. We expect that litigation involving these and other provisions of the IRA will continue, with unpredictable and uncertain results.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drug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drugs,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 members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2023, we had 436 team members employed with us full-time, of which 116 had a M.D. or Ph.D. degree. Of these team members, 193 were engaged in research and development activities, 40 were engaged in clinical and regulatory activities, 65 were in technical operations, 48 were in quality roles and 90 were in general and administrative roles. None of our team members are represented by a labor union or covered by a collective bargaining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human capital strategy starts with our values:</w:t>
      </w:r>
    </w:p>
    <w:p>
      <w:pPr>
        <w:spacing w:after="0" w:line="115" w:lineRule="exact"/>
        <w:rPr>
          <w:sz w:val="20"/>
          <w:szCs w:val="20"/>
          <w:color w:val="auto"/>
        </w:rPr>
      </w:pPr>
    </w:p>
    <w:p>
      <w:pPr>
        <w:ind w:left="1080" w:hanging="563"/>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community of fearless innovators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Rigorous and honest in our research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Listening with open minds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Committed to each 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values have helped us build a team that is focused on achieving our vision of providing life-long cures for patients suffering from serious diseases.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priorities are key to realizing this vision: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have a highly engaged team, and we regularly collect feedback to ensure their voices are heard. We do this through a combination of engagement surveys, weekly team meetings, one-on-one interactions, and open forums. In 2023, we conducted an internal engagement survey and 91% of our team members participated.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rewards (compensation and benefits)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committed to rewarding our team members in order to continue to attract and retain talent. We do this by regularly conducting market assessments to ensure our compensation program is competitively positioned. We also engage our team members on a regular basis to understand what benefits they value. This feedback has allowed us to evolve our total rewards to respond proactively to the needs of our team.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Wellness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execute on our human capital strategy, the wellbeing of our team members comes first. To that end, we provide several benefits focused on the various physical, mental, and financial aspects of wellness. For example, during the COVID-19 pandemic, we implemented changes in our business to protect our team members and their families. These changes included flexible working schedules and technology support which we have continued to offer. We continue to review our wellness offerings and modify them to ensure alignment with the needs of our team members and our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diversity &amp; belonging</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continue to build an inclusive and diverse culture that allows for unique perspectives, creates an opportunity for all to grow and develop, and reflects the needs of relevant patient communities. Our Inclusion, Diversity and Belonging team develops monthly programs for our team members to engage with, hosts external speakers and panels, supports diverse local businesses, and creates communications for events that we honor throughout the year. In addition to our monthly programming, we are undertaking initiatives to accomplish the following goals, which were established with direct input from a company-wide listening tour and are linked to our values:</w:t>
      </w:r>
    </w:p>
    <w:p>
      <w:pPr>
        <w:spacing w:after="0" w:line="7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Diversity and Belonging at Beam is a cultural priority with a clear vision, intentional commitment, and transparent accountability.​</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an Inclusion, Diversity and Belonging lens into our programs, policies, and processes, ensuring Beam team members understand how inclusion, diversity and belonging can have a positive effect on the employee experience.​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meaningful action to increase and support underrepresented talent, with specific emphasis on Black and Latinx team members.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honor and acknowledge various groups throughout the year, observing National Hispanic Heritage Month, Black History Month, International Women’s Day, Global Diversity Awareness Month, and Indigenous People’s Day.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website address is www.beamtx.com, and our investor relations website is located at investors.beamtx.com.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one or more of the following: SEC filings, press releases and our corporate website, including without limitation the “Investors &amp; Media” section of our website. We use these channels, as well as social media channels such as X and LinkedIn, in order to achieve broad, non-exclusionary distribution of information to the public and for complying with our disclosure obligations under Regulation FD. It is possible that the information we post on our corporate website or other social media could be deemed to be material information. Therefore, we encourage investors, the media, and others interested in our company to review the information we post on the “Investor Center” section of our corporate website and on our social media channels. The contents of our corporate website and social media channels are not, however, a part of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together with all of the other information contained in this Annual Report on Form 10-K, including our consolidated financial statements and related notes appearing at the end of this Annual Report on Form 10-K, in evaluating our company. If any of the events or developments described below were to occur, our business, prospects, operating results and financial condition could suffer materially, the trading price of our common stock could decline. The risks and uncertainties described below are not the only ones we face. Additional risks and uncertainties not presently known to us or that we currently believe to be immaterial may also adversely affect our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for the foreseeable future and may never achieve or maintain profitability.</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$132.5 million, $289.1 million and $370.6 million for the years ended December 31, 2023, 2022 and 2021, respectively. As of December 31, 2023, we had an accumulated deficit of $1.2 billion. We have financed our operations primarily through private placements of our preferred stock, proceeds from sales of our common stock and collaboration revenue. We have devoted substantially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7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programs and our preclinical development of other product candidates from our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testing and clinical trials for any other product candidates we identify and develop;</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medicines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medicines, and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not completed any clinical trials of any product candidates and expect that it will be many years, if ever, before we have a product candidate approved for commercialization. To become and remain profitable, we must develop and, either directly or through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8" w:name="page49"/>
    <w:bookmarkEnd w:id="48"/>
    <w:p>
      <w:pPr>
        <w:spacing w:after="0" w:line="254" w:lineRule="auto"/>
        <w:rPr>
          <w:sz w:val="20"/>
          <w:szCs w:val="20"/>
          <w:color w:val="auto"/>
        </w:rPr>
      </w:pPr>
      <w:r>
        <w:rPr>
          <w:rFonts w:ascii="Times New Roman" w:cs="Times New Roman" w:eastAsia="Times New Roman" w:hAnsi="Times New Roman"/>
          <w:sz w:val="18"/>
          <w:szCs w:val="18"/>
          <w:color w:val="auto"/>
        </w:rPr>
        <w:t>collaborators, eventually commercialize a medicine or medicines with significant market potential. This will require us to be successful in a range of challenging activities, including identifying product candidates, completing preclinical studies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Because of the numerous risks and uncertainties associated with developing base editing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9" w:name="page50"/>
    <w:bookmarkEnd w:id="49"/>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While we have recently taken steps to decrease our operating expenses, particularly with respect to research and development activities, these expenses have increased substantially in the past and may increase again as we expand clinical trials of,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Accordingly, we will need to obtain substantial additional funding in connection with our continuing operations. We have recently delayed, reduced and eliminated certain research and product development programs to support potential near-term value drivers and long-term growth. If in the future we are unable to raise capital when needed or on attractive terms, we may again be forced to delay, reduce, or eliminate programs or curtail commercialization efforts.</w:t>
      </w:r>
    </w:p>
    <w:p>
      <w:pPr>
        <w:spacing w:after="0" w:line="84"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At December 31, 2023, our cash, cash equivalents, and marketable securities were $1.2 billion. We believe that our existing cash, cash equivalents, and marketable securities will enable us to fund our operating expenses and capital expenditure requirements for at least the next 12 months. However, our operating plan may change as a result of factors currently unknown to us, and we may need to seek additional funding sooner than planned. Our future capital requirements will depend on many factors, including:</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licenses for the delivery modalities that will be used with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distribution, coverage and reimbursement for any product candidates for which we receive regulatory approval to commercialize;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agreements and our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license agreements and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additional license agreements or collaboration agreements we obtain, including our agreement with Guide Therapeutics, Inc.;</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success liabilities to Harvard and Broad Institute pursuant to the respective terms of the Harvard License Agreement and the Broad Institute License Agreement, should we choose to pay in cash;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contingent liabilities require cash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and expanding our manufacturing capacity.</w:t>
      </w:r>
    </w:p>
    <w:p>
      <w:pPr>
        <w:spacing w:after="0" w:line="11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product candidates are approved, we may not achieve commercial success. Our commercial revenues, if any, will be derived from sales of medicines that we do not expect to be commercially available for many years, if ever. Accordingly, we will need to continue to rely on additional financing to achieve our business objectives. Adequate additional financing may not be available to us on acceptable terms, or at all.</w:t>
      </w:r>
    </w:p>
    <w:p>
      <w:pPr>
        <w:spacing w:after="0" w:line="7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Any additional fundraising efforts may divert the attention of our management from their day-to-day activities, which may adversely affect our ability to develop and, if approved, commercialize our product candidates. We cannot be certain that additional funding will be available to us on acceptable terms, or at all. We have no committed source of additional capital and, if we are unable to raise additional capital in sufficient amounts or on terms acceptable to us on a timely basis, we may have to significantly delay, scale back or discontinue the development or, if approved, commercialization of our product candidates or other research and development initiatives. For example, in October 2023, we announced a portfolio reprioritization and strategic restructuring, including cost-reduction initiatives which resulted in the pausing or elimination of certain pipeline programs.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0" w:name="page51"/>
    <w:bookmarkEnd w:id="50"/>
    <w:p>
      <w:pPr>
        <w:ind w:right="100"/>
        <w:spacing w:after="0" w:line="261" w:lineRule="auto"/>
        <w:rPr>
          <w:sz w:val="20"/>
          <w:szCs w:val="20"/>
          <w:color w:val="auto"/>
        </w:rPr>
      </w:pPr>
      <w:r>
        <w:rPr>
          <w:rFonts w:ascii="Times New Roman" w:cs="Times New Roman" w:eastAsia="Times New Roman" w:hAnsi="Times New Roman"/>
          <w:sz w:val="18"/>
          <w:szCs w:val="18"/>
          <w:color w:val="auto"/>
        </w:rPr>
        <w:t>Our current and any future license agreements and collaboration agreements may also be terminated if we are unable to meet the payment or other obligations under the agreements. We could be required to seek collaborators for product candidates we may develop at an earlier stage than otherwise would be desirable or on terms that are less favorable than might otherwise be available or relinquish or license on unfavorable terms our rights to product candidates we may develop in markets where we otherwise would seek to pursue development or commercialization ourselves.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also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capital. To the extent that we raise additional capital through the sale of equity or convertible debt securities, your ownership interest will be diluted.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7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we may develop,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In addition, we have and may in the future enter collaboration and acquisition agreements, pursuant to which we are required to issue additional shares of our common stock in connection with future milestone payment obligations. These and other future issuances to our partners and collaborators may cause substantial dilution to our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you to evaluate the success of our business to date and to assess our future viability.</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an early-stage company. We were founded in January 2017 and began operations in July 2017. Our operations to date have been limited to organizing and staffing our company, business planning, raising capital, acquiring and developing our platform and technology, identifying potential product candidates, undertaking preclinical studies and initiating clinical trials. Many of our product development programs are still in the preclinical or research stage of development, and their risk of failure is high. We have not yet demonstrated an ability to successfully complete any clinical trials, including large-scale, pivotal clinical trials, obtain marketing approvals, manufacture a commercial-scale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you make about our future success or viability may not be as accurate as they could be if we had a longer operating history.</w:t>
      </w:r>
    </w:p>
    <w:p>
      <w:pPr>
        <w:spacing w:after="0" w:line="8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limited operating history, particularly in light of the rapidly evolving base editing and gene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early-stage companies in rapidly evolving fields. If we do not address these risks successfully, our business will suffer.</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other unforeseen expenses, difficulties, complications, delays, and other known and unknown factors. We will eventually need to transition from a company with a research focus to a company capable of supporting commercial activities. We may not be successful in such a transition.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become profitable.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1" w:name="page52"/>
    <w:bookmarkEnd w:id="51"/>
    <w:p>
      <w:pPr>
        <w:ind w:left="1020" w:right="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product candidates and complete research and preclinical and clinical development of the product candidates we or our collaborators may identify;</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and marketing approvals for any of our product candidates for which we or our collaborators successfully complete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adequate coverage and reimbursement by government and third-party payors for our product candidates for which we or our collaborators obtain regulatory and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product candidates we or our collaborators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that can provide adequate, in both amount and quality, products, and services to support clinical development and the market demand for our product candidates for which we or our collaborators obtain regulatory and marketing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 acceptance of any product candidates we or our collaborators may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internal systems and infrastructure, as needed;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we may enter and performing our obligations in such collaborations, licensing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defend, and expand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and defend against third-party interference, infringement, and other intellectual property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Even if one or more of the product candidates we or our collaborators may develop are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ability to utilize our net operating loss carryforwards and certain other tax attributes may be limited.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we may never achieve profitability. To the extent that we continue to generate taxable losses, any unused losses generated after 2017 will carry forward indefinitely to offset future taxable income; any taxable losses generated prior to 2018 will carry forward for 20 tax years from the year of generation. Additionally, we continue to generate business tax credits, including research and development tax credits, which generally may be carried forward 20 tax years from the year of generation to offset a portion of our future tax liability, if any. Additionally, Sections 382 and 383 of the Internal Revenue Code of 1986, as amended, limit a corporation’s ability to utilize tax attributes to the extent the corporation experiences an “ownership change,” generally defined as a greater than 50 percentage point change in ownership, measured by value, among 5% or greater shareholders over a rolling three-year testing period. To the extent a corporation experiences an ownership change, utilization of pre-ownership change tax attributes (e.g., net operating losses and general business tax credits) to offset post-ownership change taxable income or taxes, is subject to an annual limitation, generally calculated as the pre-ownership change equity value of the corporation, subject to certain prescribed adjustments, multiplied by the long-term tax exempt rate published monthly by the Internal Revenue Service. We completed a Section 382 study as of December 31, 2023, and determined that we experienced historical ownership changes in June 2017, December 2018, and December 2021. In addition, we may experience ownership changes in the future as a result of shifts in our stock ownership, some of which are outside of our control. As a result, if we earn net taxable income, our ability to use our pre-ownership change net operating losses or other tax attributes to offset U.S. federal taxable income or taxes may be subject to limitations, which could potentially result in increased future tax liability to us. Additional limitations on our ability to utilize our net operating losses and other tax attributes to offset future taxable income or taxes may arise as a result of our corporate structure, whereby net operating losses or other tax attributes generated by certain of our subsidiaries or controlled entities may not be available to offset taxable income or taxes of other subsidiaries or controlled entities.</w:t>
      </w:r>
    </w:p>
    <w:p>
      <w:pPr>
        <w:spacing w:after="0" w:line="11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also a risk that due to regulatory changes or other unforeseen reasons, our existing net operating losses or business tax credits could expire or otherwise become unavailable to offset future income tax liabilities. As described below in “Comprehensive tax reform legislation could adversely affect our business and financial condition,” the Tax Cuts and Jobs Act of 2017, or the Tax Act, as amended by the Coronavirus Aid, Relief, and Economic Security Act, or the CARES Act, includes changes to U.S. federal tax rates and the rules governing net operating losses that may significantly impact our ability to utilize our net operating losses to offset taxable income in the future. At the state level, there may also be periods during which the use of net operating losses or business tax credits is suspended or otherwise limited, which could accelerate or permanently increase state taxes owed. In addition, state net operating losses generated in one state cannot be used to offset income generated in another state. For these reasons, we may not be able to realize a tax benefit from the use of our net operating losses or tax credits, even if we attain profitability.</w:t>
      </w:r>
    </w:p>
    <w:p>
      <w:pPr>
        <w:spacing w:after="0" w:line="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achieve the cost savings and benefits expected of our portfolio prioritization and strategic restructuring, our business prospects and our financial condition may be adversely affected. Further, the prioritization and restructuring could result in disruptions to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2023, we announced a portfolio prioritization and strategic restructuring intended to support potential near-term value drivers and long-term growth. The actual savings or benefits from the prioritization and restructuring may be less than expected or substantially less than expected. The restructuring activities may also result in a loss of continuity, accumulated knowledge and inefficiency. In addition, internal prioritization and restructuring can require a significant amount of time and focus from management and other employees, which may divert attention from operations. Further, the prioritization and restructuring may result in unexpected expenses or liabilities and/or write-offs. If the prioritization and restructuring fails to achieve some or all of the expected cost-savings and benefits, our cash resources may not last as long as estimated and our business, results of operations and financial condition could be materially and adversely affected.</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We are focused on developing potentially curative medicines utilizing base editing technology. Although there have been significant advances in the field of gene therapy, which typically involves introducing a copy of a gene into a patient’s cell, and gene editing in recent years, base editing technologies are new and largely unproven. The technologies that we have licensed and are developing have not yet completed any clinical trials. The scientific evidence to support the feasibility of developing product candidates based on these technologies is both preliminary and limited, and base editing and delivery modalities for it are novel. Successful development of product candidates by us will require solving a number of issues, including safely delivering a therapeutic into target cells within the human body or in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setting, optimizing the efficiency and specificity of such product candidates, and ensuring the therapeutic selectivity of such product candidates. Several biological steps are required for delivery of base editing medicines to translate into therapeutically active medicines. These processing steps may differ between individuals and differ based on the targeted tissue. These differences could lead to variable levels of therapeutic protein, variable activity, immunogenicity, or variable distribution to tissues further increasing the risk inherent in the development of base editing medicines. There can be no assurance we will be successful in solving any or all of these issues, or that we will be able to progress our preclinical studies or clinical trials in accordance with anticipated timelines.</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only recently brought therapeutics to the clinic, and our future success is highly dependent on the successful development of base editing technologies, cellular delivery methods and therapeutic applications of that technology. While other gene editing technologies have progressed through clinical trials, they continue to suffer from various limitations, and such limitations may affect our future success. We may decide to alter or abandon our initial programs as new data become available and we gain experience in developing base editing therapeutics. For example, in November 2022, we announced that we have decided to optimize our direct correction, “Makassar” approach, alongside our HPFH approach, for Wave 2 and Wave 3 of our sickle cell disease programs. We cannot be sure that our technologies will yield satisfactory products that are safe and effective, scalable or profitable in our initial indications or any other indication we pursue.</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Development activities in the field of base editing are currently subject to a number of risks related to the ownership and use of certain intellectual property rights that are subject to patent interference proceedings in the United States and opposition proceedings in Europe. For additional information regarding the risks that may apply to our and our licensors’ intellectual property rights, see the section entitled “—Risks related to our intellectual property”.</w:t>
      </w:r>
    </w:p>
    <w:p>
      <w:pPr>
        <w:spacing w:after="0" w:line="6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and develop potential product candidates. If these efforts are unsuccessful, we may never become a commercial stage company or generate any revenues.</w:t>
      </w:r>
    </w:p>
    <w:p>
      <w:pPr>
        <w:spacing w:after="0" w:line="5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 xml:space="preserve">The success of our business depends primarily upon our ability to identify, develop, and commercialize product candidates based on our gene editing platform. Some of our product development programs are still in the research or preclinical stage of development. Our research programs may fail to identify potential product candidates for clinical development for a number of reasons. Our research methodology may be unsuccessful in identifying potential product candidates, our potential product candidates may be shown to have harmful side effects in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or animal model studies, they may not show promising signals of therapeutic effect in such experiments or studies or they may have other characteristics that may make the product candidates impractical to manufacture, unmarketable, or unlikely to receive marketing approval.</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although we believe base editing will position us to rapidly expand our portfolio of product candidates beyond our current product candidates we may develop after only minimal changes to the product candidate construct, we have not yet successfully developed any product candidate and our ability to expand our portfolio may never materialize.</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research or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 which would be costly and time-consuming.</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54" w:name="page55"/>
    <w:bookmarkEnd w:id="54"/>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gene editing field is relatively new and is evolving rapidly. We are focusing our research and development efforts primarily on gene editing using base editing technology, but other gene editing technologies may be discovered that provide significant advantages over base editing, which could materially harm our business.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focus our research and development efforts primarily on gene editing technologies using base editing. Other companies are also engaged in the research and development of gene editing technologies using zinc finger nucleases, engineered meganucleases, transcription activator-like effector nucleases, Cas9 nucleases, transposon editing, prime editing, “gene writing,” programmable addition via site-specific targeting elements, and others. There can be no certainty that base editing technology will lead to the development of genetic medicines or that other gene editing technologies will not be considered better or more attractive for the development of medicines. Moreover, if we decide to focus primarily on gene editing technologies other than those involving base editing, we cannot be certain we will be able to obtain rights to such technologies. Although all of our founders who currently provide consulting and advisory services to us in the area of base editing technologies have assignment of inventions obligations to us with respect to the services they perform for us, these assignment of inventions obligations are subject to limitations and do not extend to their work in other fields or to the intellectual property arising from their employment with their respective academic and research institutions. To obtain intellectual property rights assigned by these founders to such institutions, we would need to enter into license agreements with such institutions, which may not be available on commercially reasonable terms or at all. Further, while our three founders have non-competition clauses in their respective consulting agreements, the non-competition obligation is limited to the field of base editing for human therapeutics, and our founders have developed and may in the future develop new technologies that are outside of the field of their non-competition obligations but may be competitive to our business. For example, David Liu, Feng Zhang and their respective groups at MIT and the Broad Institute have developed novel gene editing technologies, including transposon editing, base editing and prime editing technologies, outside of the field of their non-competition obligations that may be used to develop products that compete with our business. Any of these factors could reduce or eliminate our commercial opportunity, and could have a material adverse effect on our business, financial condition, results of operations, and prospects.</w:t>
      </w:r>
    </w:p>
    <w:p>
      <w:pPr>
        <w:spacing w:after="0" w:line="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product candidates are still in preclinical development or early clinical development and it will be many years before we or our collaborators commercialize a product candidate, if ever. If we are unable to advance our product candidates to and through clinical development, obtain regulatory approval and ultimately commercialize our product candidates, or experience significant delays in doing so, our business will be materially harmed.</w:t>
      </w:r>
    </w:p>
    <w:p>
      <w:pPr>
        <w:spacing w:after="0" w:line="7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are early in our development efforts and our future success depends heavily on the successful development of our base editing product candidates and the results of our clinical trials, none of which have yet been completed. Our ability to generate product revenue, which we do not expect will occur for many years, if ever, will depend heavily on the successful development and, if approved, eventual commercialization of our product candidates, which may never occur. We currently generate no revenue from sales of any product, and we may never be able to develop or commercialize a marketable product.</w:t>
      </w:r>
    </w:p>
    <w:p>
      <w:pPr>
        <w:spacing w:after="0" w:line="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our investigational new drug applications, or INDs, and finalizing the trial design based on discussions with the FDA and other regulatory authorities. The FDA has in the past and may again in the future require us to complete additional preclinical studies and satisfy other FDA requests for our clinical trials, causing the start or progress of such trials to be delayed. For example, in July 2022 the FDA informed us that the BEAM-201 IND was placed on clinical hold. We subsequently received a formal clinical hold letter from the FDA, in which the FDA requested additional control data for preclinical studies and further analyses of certain off-target editing experiments. We submitted our response to the FDA in November 2022 and in December 2022, we announced that the FDA had lifted the clinical hold.</w:t>
      </w:r>
    </w:p>
    <w:p>
      <w:pPr>
        <w:spacing w:after="0" w:line="7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Similarly, in the European Union, or EU, a CTA must be obtained from each member state’s national competent authority where the study is conducted, and a positive opinion of an independent ethics committee. Once the CTA has been granted and a positive ethics committee opinion obtained, the clinical trials may proceed in that specific member state. In the event that a European national competent authority, or other regulatory authority requires us to complete additional preclinical studies or we are required to satisfy other requests from a European national competent authority or other regulatory authority prior to commencing clinical trials, the start of such clinical trials may be delayed a European national competent authority or other regulatory authority may not permit us to proceed into clinical development of for such product candidates.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Even after we receive and incorporate guidance from these regulatory authorities, the FDA, European national competent authority, or other regulatory authorities could disagree that we have satisfied their requirements to commence our clinical trial or change their position on the acceptability of our data, trial design or the clinical endpoints selected, which may require us to complete additional preclinical studies or clinical trials or impose stricter requirements for approval than we currently expect.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5" w:name="page56"/>
    <w:bookmarkEnd w:id="55"/>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Further, in January 2022, the new Clinical Trials Regulation (EU) No 536/2014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 Member State will only be required to submit a single application for approval. The submission will be made through the Clinical Trials Information System, a clinical trials portal overseen by the European Medicines Agency, or EMA, and available to clinical trial sponsors, competent authorities of the EU Member States and the public.</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Commercialization of our product candidates we may develop will require additional preclinical and clinical development; regulatory and marketing approval in any jurisdictions where our product candidates would be marketed, including by the FDA for the U.S. market and the European Commission upon a positive benefit/risk assessment provided by the EMA in the EEA; obtaining or creating manufacturing supply, capacity and expertise; building of a commercial organization; and significant marketing efforts. The success of product candidates we identify and develop will depend on many factors, including the following:</w:t>
      </w:r>
    </w:p>
    <w:p>
      <w:pPr>
        <w:spacing w:after="0" w:line="75"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IND/CTA-enabling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 of IND applications, CTAs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 in accordance with all applicable current Good Clinical Practice guidelines, or GCPs, current Good Laboratory Practice guidelines adopted by the International Conference on Harmonization of Technical Requirements for Pharmaceuticals for Human Use, or ICH, and other regulatory requirements from foreign regulatory authorities;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and, where required, pricing and reimbursement decisions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for clinical supply and commercial manufacturing and, where applicable, commercial manufacturing capabilities;</w:t>
      </w:r>
    </w:p>
    <w:p>
      <w:pPr>
        <w:spacing w:after="0" w:line="53"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internal manufacturing processes and transfer to larger-scale facilities operated by either a contract manufacturing organization, or CMO, or by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non-patent exclusivity for our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medicines,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the medicines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and proprietary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supplying the product at a price that is acceptable to the pricing or reimbursement authorities in different countries.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we do not successfully achieve one or more of these activities in a timely manner or at all, we could experience significant delays or an inability to successfully commercialize any product candidates we may develop, which would materially harm our business. If we do not receive regulatory approvals for our product candidates, we may not be able to continue our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6" w:name="page57"/>
    <w:bookmarkEnd w:id="56"/>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the product candidates we may develop, or the delivery modalities we rely on to administer them,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completed human clinical trials of any of our product candidates. Moreover, there have been only a limited number of clinical trials involving the use of base editing technology similar to our technology. It is impossible to predict when or if any product candidates we develop will prove safe in humans. In the genetic medicine field, there have been several significant adverse events from gene therapy treatments in the past, including reported cases of leukemia, serious blood disorders and death. There can be no assurance that base editing technologies, or components of our product candidates or methods of delivery, will not cause undesirable side effects, as improper editing of a patient’s DNA and other effects could lead to lymphoma, leukemia, or other cancers, other serious conditions or syndromes or other aberrantly functioning cells.</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significant risk in any base editing product candidate is that “off-target” edits may occur, which could cause serious adverse events, undesirable side effects or unexpected characteristics. For example, Erwei Zuo et al. reported that cytosine base editors generated substantial off-target edits, that is, edits in unintended locations on the DNA, when tested in mouse embryos. Such unintended edits are referred to as “spurious deamination.” We cannot be certain that off-target editing will not occur in any of our planned or future clinical studies, and the lack of observed side effects in preclinical studies does not guarantee that such side effects will not occur in human clinical studies. We have developed assays that can detect off-target edits, even when such edits occur at very low frequencies. Using these assays, we have observed off-target edits in our base editing product candidates. As the sensitivity of these assays increases, it is possible that we will continue to detect more such off-target edits. While we do not believe that the off-target edits we have observed to date have had a material adverse impact on the safety or benefit of our product candidates, if, in the future, we detect off-target edits for a product candidate that negatively impact safety or efficacy, our ability to develop the product candidate as a therapeutic could be adversely affected.</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is also the potential risk of delayed adverse events following exposure to base editing therapy due to the permanence of edits to DNA or due to other components of product candidates used to carry the genetic material. Further, because base editing makes a permanent change, the therapy cannot be withdrawn, even after a side effect is observed. In addition, Rees et al. and Grunewald et al. have reported that the deaminases we currently use in our C base editors and our A base editors for use in DNA base editing also cause unintended mutations in RNA for as long as the editor is present in the cell.</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Although we and others have demonstrated the ability to engineer base editors to improve the specificity of their edits in a laboratory setting, we cannot be sure that our engineering efforts will be effective in any product candidates that we may develop. For example, we might not be able to engineer an editor to make the desired change or a by-stander edit could diminish the effectiveness of an edit that we make.</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certain of our programs, we plan to use LNPs to deliver our base editors. LNPs have been shown to induce oxidative stress in the liver at certain doses, as well as initiate systemic inflammatory responses that can be fatal in some cases. While we aim to continue to optimize our LNPs, there can be no assurance that our LNPs will not have undesired effects. Our LNPs could contribute, in whole or in part, to one or more of the following: immune reactions; infusion reactions; complement reactions; opsonization reactions; antibody reactions including IgA, IgM, IgE or IgG or some combination thereof; or reactions to the polyethylene glycol from some lipids or polyethylene glycol otherwise associated with the LNP. Certain aspects of our investigational medicines may induce immune reactions from either the mRNA or the lipid as well as adverse reactions within liver pathways or degradation of the mRNA or the LNP, any of which could lead to significant adverse events in one or more of our current or future clinical trials. Many of these types of side effects have been seen for legacy LNPs. There may be uncertainty as to the underlying cause of any such adverse event, which would make it difficult to accurately predict side effects in future clinical trials and would result in significant delays in our programs.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viral vectors that we may use in certain of our base editing programs, including AAV or lentiviruses, which are relatively new approaches used for disease treatment, also have known side effects, and for which additional risks could develop in the future. In past clinical trials that were conducted by others with non-AAV viral vectors, several significant side effects were caused by gene therapy treatments, including reported cases of leukemia and death. For example, in February 2021, bluebird bio reported a suspected unexpected serious adverse reaction, or SUSAR, of acute myeloid leukemia, and a SUSAR of myelodysplastic syndrome in its Phase 1/2 clinical trial of LentiGlobin, a gene therapy using a lentiviral vector for the treatment of sickle cell disease, which resulted in the FDA placing a temporary clinical hold on the trial and the temporary suspension of the conditional marketing authorization by the EMA of ZYNTEGLO (beti-cel), which also uses a lentiviral vector, for patients 12 years and older with transfusion-dependent beta thalassemia who do not have a β0/β0 genotype, for whom HSC transplantation is appropriate, but HLA related HSC donor is not available. Other potential side effects of viral vectors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the vectors we use demonstrate a similar side effect, or other adverse events, we may be required to halt or delay further clinical development of any potential product candidates using such technology. Furthermore, the FDA has stated that lentiviral vectors possess characteristics that may pose high risks of delayed adverse events. Such delayed adverse events may occur in other viral vectors, including AAV vectors, at a lower rate.</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7" w:name="page58"/>
    <w:bookmarkEnd w:id="57"/>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In addition to side effects and adverse events caused by our product candidates, the conditioning administration process or related procedures used in BEAM-101 and potentially other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product candidates also can cause adverse side effects and adverse events. Additionally, we are developing alternative conditioning regimes and we cannot predict if such regimes will be compatible with our product candidates. If in the future we are unable to demonstrate that such adverse events were not caused by the conditioning regimens used, or administration process or related procedure, the FDA, the European Commission, EMA or other regulatory authorities could order us to cease further development of, or deny or limit approval of, our product candidates using such regimens, processes or procedures for any or all target indications. Even if we are able to demonstrate that adverse events are not related to the product candidate or the administration of such product candidate, such occurrences could affect patient recruitment, the ability of enrolled patients to complete the clinical trial, or the commercial viability of any product candidates that obtain regulatory approval.</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in the future we are unable to demonstrate that any of the above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8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If we successfully develop a product candidate and it receives marketing approval, we are required to present a comprehensive, concise, and critical analysis of new or emerging information on the risks of the approved product and on its benefit in approved indications, to enable an appraisal of benefit-risk profile in a Periodic Benefit Risk Evaluation Report, or PBRER, according to an internationally harmonized standard. Additionally, the FDA or a comparable regulatory authority such as the EMA could require us to adopt a Risk Evaluation and Mitigation Strategy, or REMS, or similar requirement such as Risk Management Plan, or RMP,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FDA, EMA, or other comparable regulatory authorities may require specific post-approval trials to be carried out to further characterize the clinical efficacy and/or safety of the product candidate. Furthermore, if we or others later identify undesirable side effects caused by any product candidate that we develop, several potentially significant negative consequences could result, including:</w:t>
      </w:r>
    </w:p>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the approved use of such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any product candidates we may identify and develop and could have a material adverse effect on our business, financial condition, and results of operations.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58" w:name="page59"/>
    <w:bookmarkEnd w:id="58"/>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tested many of our proposed delivery modalities and product candidates in clinical trials and any favorable preclinical results are not predictive of results that may be observed in clinical trials.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not tested many of our proposed delivery modalities in clinical trials. For example, in certain of our base editing programs we intend to use LNPs to deliver some of our base editors. While LNPs have been used in certain approved therapeutics, they have not been used in any approved gene editing therapy, such as base editors. Furthermore, as with many viral-mediated gene therapy approaches, certain clinical trial patients’ immune systems might prohibit the successful delivery, thereby potentially limiting treatment outcomes of these patients. Even if initial clinical trials in any of our product candidates are successful, these product candidates may fail to show the desired safety and efficacy in later stages of clinical development despite having successfully advanced through preclinical studies and initial clinical trials.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and the FDA, EMA, or other regulatory authorities may disagree with our interpretations, which may delay, limit, or prevent regulatory approval. In addition, regulatory delays or rejections may be encountered as a result of many factors, including changes in regulatory policy during the period of product development.</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such adverse events may cause us to delay, limit, or terminate ongoing or planned clinical trials, any of which would have a material adverse effect on our business, financial condition, results of operations, and prospects.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results of preclinical studies or clinical trials may not be predictive of the results of later preclinical studies or clinical trials. Such results will not ensure that later preclinical studies or clinical trials will demonstrate similar results. Similarly, even if initial clinical trials in any of our current and future product candidates are successful, they may fail to generate the desired safety, purity, and efficacy data in later stages of clinical development despite having successfully advanced through preclinical studies and initial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or treatment of patients in clinical trials, our receipt of necessary regulatory approvals could be delayed or prevented.</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product candidates we identify or develop if we are unable to locate, enroll, and treat a sufficient number of eligible patients in these trials as required by the FDA, the EMA or other analogous regulatory authorities outside the United States, or as needed to provide appropriate statistical power for a given trial. Enrollment may be particularly challenging for some of the rare genetically defined diseases we are targeting in our most advanced programs, as well as for some of our product candidates for pediatric populations, due to a number of factors, including small patient populations as well as screening and testing requirements that limit patient eligibility. In addition, if patients are unwilling to participate in our base editing trials because of negative publicity from adverse events related to the biotechnology, gene therapy, or gene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 some of our competitors currently and may in the future have ongoing clinical trials for product candidates that treat the same indications as product candidates we are developing and may develop in the future, and patients who would otherwise be eligible for our clinical trials may instead enroll in clinical trials of our competitors’ product candidates. Treatment of enrolled patients may also be delayed or prevented due to a number of factors, including the complexity of our trials. For example, our BEACON clinical trial requires patients to undergo mobilization procedures to harvest stem cells for editing and transplant. Patients have in the past and may in the future require multiple rounds of mobilization, which would delay treatment. Furthermore, due to the requirement to include sentinel cohorts and staggered treatment protocols in certain of our trials, such as our BEACON trial, any delay in treating one patient may cause delays in treating others.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patient enrollment is also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informed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9" w:name="page60"/>
    <w:bookmarkEnd w:id="59"/>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base editing as a therapeutic approach;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especially for those conditions which have small patient pools.</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ability to successfully initiate, enroll, and complete a clinical trial in any foreign country is subject to numerous risks unique to conducting business in foreign countries, including:</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contract research organizations, or CROs, and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standard-of-care for patients with a particular disease;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locating qualified local consultants, physicians, and partners;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burden of complying with a variety of foreign laws, medical standards, and regulatory requirements, including the regulation of pharmaceutical and biotechnology products and treatment and of gene editing technologies.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Enrollment or treatment delays in our clinical trials may result in increased development costs for any product candidates we may develop, which would cause the value of our company to decline and limit our ability to obtain additional financing. If we or our collaborators have difficulty enrolling or treating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6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any product candidates we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candidates we identify and develop, we must complete preclinical development and then conduct extensive clinical trials to demonstrate their safety and efficacy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and our collaborators may experience numerous unforeseen events during, or as a result of, clinical trials that could delay or prevent our ability to receive marketing approval or commercialize any product candidates we identify and develop, including:</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regulators on trial design and endpoints;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independent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clinical trial contracts or clinical trial protocols with prospective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selecting endpoints for diseases that have not been well-studied and for which the natural history and course of the disease is poorly understood;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0" w:name="page61"/>
    <w:bookmarkEnd w:id="60"/>
    <w:p>
      <w:pPr>
        <w:ind w:left="1020" w:right="20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any product candidates we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require that we or our investigators suspend or terminate clinical research or clinical trials of any product candidates we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product candidates we may develop may be greater than we anticipate;</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any product candidates we may develop or other materials necessary to conduct clinical trials of any product candidates we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any product candidates we may develop that are viewed to outweigh their potential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the operations of the FDA, EMA or other relevant regulatory authority;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otherwise complying with additional requirements.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or our collaborators are required to conduct additional clinical trials or other testing of any product candidates we develop beyond those that we currently contemplate, if we or our collaborators are unable to successfully complete clinical trials or other testing of any product candidates we develop, or if the results of these trials or tests are not positive or are only modestly positive or if there are safety concerns, we or our collaborators may:</w:t>
      </w:r>
    </w:p>
    <w:p>
      <w:pPr>
        <w:spacing w:after="0" w:line="6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any such product candidates we may develop or 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REMS or through modification to an existing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1" w:name="page62"/>
    <w:bookmarkEnd w:id="61"/>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Because we have limited financial, scientific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in October 2023, we implemented a strategic restructuring to prioritize development of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sickle cell disease programs, including BEAM-101, our ESCAPE conditioning strategy,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to hematopoietic stem cells program, as well as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editor BEAM-302 in development for the treatment of alpha-1 antitrypsin deficiency. We also announced plans to explore partnership opportunities for continued development of select programs, including BEAM-201 and other potential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CAR-T therapies. While we may identify new collaboration partners who can progress some of these programs, we may not be successful in doing so in a timely manner, on acceptable terms or at all. We may otherwise fail to raise sufficient additional capital in order to progress these programs ourselves or we may determine, for internal resource allocation purposes or for other reasons, to abandon development of these programs. As a result, we could miss valuable opportunities to capitalize on the potential of the programs. We may also allocate internal resources to a product candidate in a therapeutic area in which it would have been more advantageous to enter into a collaboration or that does not prove to have viable commercial opportunities. Any failure to use our financial and human resources efficiently could harm our business and operations.</w:t>
      </w:r>
    </w:p>
    <w:p>
      <w:pPr>
        <w:spacing w:after="0" w:line="8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clinical trials at sites outside the United States. The FDA may not accept data from trials conducted in such locations, and the conduct of trials outside the United States could subject us to additional delays and expense.</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plan to conduct one or more clinical trials with one or more trial sites that are located outside the United States. The acceptance by the FDA or other regulatory authorities of trial data from clinical trials conducted outside their jurisdiction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8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clinical trials outside the U.S. also exposes us to additional risks, including risks associated with:</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trials resulting from geopolitical events, such as war or terrorism.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2" w:name="page63"/>
    <w:bookmarkEnd w:id="62"/>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 product candidate we develop in the United States or any other jurisdiction, and any such approval may be for a narrower indication than we seek.</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any product candidates we may develop meet their safety and efficacy endpoints in clinical trials, the regulatory authorities may not complete their review processes in a timely manner, or we may not be able to obtain regulatory approval. Additional delays may result if an FDA Advisory Committee, EMA’s Committee for Medicinal Products for Human Use, or CHMP,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7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or a REMS or an RMP.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Marketing approval by the FDA in the United States, or by the EMA in the EEA,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8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commercial success of any of our product candidates we may develop will depend upon its degree of market acceptance by physicians, patients, third-party payors, and others in the medical community. Ethical, social, and legal concerns about genetic medicines generally and base editing technologies specifically could result in additional regulations restricting or prohibiting the marketing of our product candidates we may develop.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to our targeted patient population and limitations or warnings contained in approved labeling by the FDA, EMA, or other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medicines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 the EMA, or other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attitudes regarding genetic medicine generally and gene editing and base editing technologies specifically;</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novel therapies and of physicians to prescribe these therapies, as well as their willingness to accept a therapeutic intervention that involves the editing of the patient’s gene;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European Commission, the EMA, or other regulatory authorities, including any limitations or warnings contained in a product’s approved labeling;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63" w:name="page64"/>
    <w:bookmarkEnd w:id="63"/>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Even if any of our product candidates we may develop are approved, such products may not achieve an adequate level of acceptance, we may not generate significant product revenues, and we may not become profitable.</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do not have a sales or marketing infrastructure and do not have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we develop if and when they are approved.</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we may develop on our own include:</w:t>
      </w:r>
    </w:p>
    <w:p>
      <w:pPr>
        <w:spacing w:after="0" w:line="117" w:lineRule="exact"/>
        <w:rPr>
          <w:sz w:val="20"/>
          <w:szCs w:val="20"/>
          <w:color w:val="auto"/>
        </w:rPr>
      </w:pPr>
    </w:p>
    <w:p>
      <w:pPr>
        <w:ind w:left="1020" w:right="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 candidates we may develop to segments of the patient population;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we may develop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 we may develop.</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6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base editing and delivery technology fields are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There are several other companies utilizing CRISPR/Cas9 nuclease technology, including Caribou Biosciences, Editas Medicine, CRISPR Therapeutics, Intellia Therapeutics, Arbor Biotechnologies and Metagenomi. Several additional companies utilize other nuclease-based gene editing technologies, including Zinc Fingers, Arcuses, and TAL Nucleases, including Sangamo Biosciences, Precision BioSciences, bluebird bio, Allogene Therapeutics, Mammoth Biosciences and Cellectis. Additionally, newer gene editing modalities are emerging, including from Prime Medicine, Tessera Therapeutics, Scribe Therapeutics, Tome Biosciences, Life Edit (an ElevateBio company), PerkinElmer (formerly Horizon Discovery) and Intellia Therapeutics. PerkinElmer, Metagenomi, Revvity, and Intellia Therapeutics are developing base editing technology and Tessera Therapeutics is utilizing mobile genetic elements for gene editing. In addition, we face competition from companies utilizing various gene therapy, epigenetic modulation, oligonucleotide, and CAR-T therapeutic approaches.</w:t>
      </w:r>
    </w:p>
    <w:p>
      <w:pPr>
        <w:spacing w:after="0" w:line="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we may develop. This may include other types of therapies, such as small molecule, antibody, and/or protein therapies.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EMA,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7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candidates that we may develop and commercialize.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5" w:name="page66"/>
    <w:bookmarkEnd w:id="65"/>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public perception of genetic medicines, and gene editing and base editing in particular, may negatively impact regulatory approval of, and/or demand for, our potential products.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potential therapeutic products involve editing the human genome. The clinical and commercial success of our potential products will depend in part on public understanding and acceptance of the use of gene editing therapy for the prevention or treatment of human diseases. Public attitudes may be influenced by claims that gene editing is unsafe, unethical, or immoral, and, consequently, our product candidates may not gain the acceptance of the public or the medical community. For example, a public backlash developed against gene therapy following the death of a patient in 1999 during a gene therapy clinical trial. The death of the clinical trial subject was due to complications related to AAV vector administration. In addition, in 2020, three patients in Audentes Therapeutics’ clinical trial investigating AT132 (a gene therapy product candidate which was being delivered via AAV administration) for X-linked myotubular myopathy (XLMTM) died. The immediate cause of death in two cases was sepsis and in a third case was gastrointestinal bleeding, each of which followed progressive liver dysfunction that occurred within the first 4-6 weeks following AT132 dosing, and which did not respond to standard treatment.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gene editing technology is subject to public debate and heightened regulatory scrutiny due to ethical concerns relating to the application of gene editing technology to human embryos or the human germline. For example, academic scientists in several countries, including the United States, have reported on their attempts to edit the gene of human embryos as part of basic research. In addition, in November 2018, Dr. Jiankui He, a Chinese biophysics researcher who was an associate professor in the Department of Biology of the Southern University of Science and Technology in Shenzhen, China, reportedly claimed he had created the first human genetically edited babies, twin girls. This claim, and another that Dr. He had helped create a second gene-edited pregnancy, was subsequently confirmed by Chinese authorities and was negatively received by the public, in particular those in the scientific community. In the wake of the claim, the World Health Organization established a new advisory committee to create global governance and oversight standards for human gene editing and announced plans for a new global registry to track research on human gene editing. The Alliance for Regenerative Medicine also released principles for the use of gene editing in therapeutic applications endorsed by a number of companies that use gene editing technologies.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Regulation of gene editing technology varies across jurisdictions. In the United States, germline editing for clinical application has been expressly prohibited since enactment of a December 2015 FDA ban on such activity. Prohibitions are also in place in the U.K., across most of Europe, in China, and many other countries around the world. In the United States, the NIH has announced that the agency would not fund any use of gene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U.K. prohibit genetically modified embryos from being implanted into women, except that mitochondrial replacement therapy has been permitted in the U.K. since 2016. Separately, embryos can be altered in the U.K. in research labs under license from the Human Fertilisation and Embryology Authority. Research on embryos is more tightly controlled in some other European countries.</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Moreover, in an annual worldwide threat assessment report delivered to the U.S. Congress in February 2016, the U.S. Director of National Intelligence stated that research into gene editing that is conducted under different regulatory standards than those of Western countries probably increases the risk of the creation of potentially harmful biological agents or products, including weapons of mass destruction. He noted that given the broad distribution, low cost, and accelerated pace of development of gene editing technology, its deliberate or unintentional misuse could have far-reaching economic and national security implications.</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do not use our technologies to edit human embryos or the human germline,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 candidates we may develop. Adverse events in our preclinical studies or clinical trials or those of our competitors or of academic researchers utilizing gene editing technologies, even if not ultimately attributable to product candidates we may identify and develop, and the gene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gene editing technology by a third party or government to develop biological agents or products that threaten U.S. national security could similarly result in such negative impacts to us.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6" w:name="page67"/>
    <w:bookmarkEnd w:id="66"/>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or might even prevent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we may develop, even if any product candidates we may develop obtain marketing approval.</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medicines successfully also will depend in part on the extent to which reimbursement for these medicines and related treatments will be available from government authorities or healthcare program, private health plans, and other organizations. Government authorities and third-party payors, such as private health plans,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For example, the Inflation Reduction Act of 2022, or IRA, includes several provisions that may impact our business, including provisions that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We cannot yet predict the effect the IRA will have on our business and the healthcare industry in general.</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also challenging the prices charged for medical products and requiring that drug companies provide them with predetermined discounts from list prices. Novel medical products, if covered at all, may be subject to enhanced utilization management controls designed to ensure that the products are used only when medically necessary. Such utilization management controls may discourage the prescription or use of a medical product by increasing the administrative burden associated with its prescription or creating coverage uncertainties for prescribers and patients. We cannot be sure that reimbursement will be available for any medicine that we commercialize and, if reimbursement is available, that the level of reimbursement will be adequate.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8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medicines, and coverage may be more limited than the purposes for which the medicine is approved by the FDA, the EMA or other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w:t>
      </w:r>
    </w:p>
    <w:p>
      <w:pPr>
        <w:spacing w:after="0" w:line="3"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78" w:lineRule="exact"/>
        <w:rPr>
          <w:sz w:val="20"/>
          <w:szCs w:val="20"/>
          <w:color w:val="auto"/>
        </w:rPr>
      </w:pPr>
    </w:p>
    <w:p>
      <w:pPr>
        <w:ind w:right="7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7" w:name="page68"/>
    <w:bookmarkEnd w:id="67"/>
    <w:p>
      <w:pPr>
        <w:ind w:right="100"/>
        <w:spacing w:after="0" w:line="256" w:lineRule="auto"/>
        <w:rPr>
          <w:sz w:val="20"/>
          <w:szCs w:val="20"/>
          <w:color w:val="auto"/>
        </w:rPr>
      </w:pPr>
      <w:r>
        <w:rPr>
          <w:rFonts w:ascii="Times New Roman" w:cs="Times New Roman" w:eastAsia="Times New Roman" w:hAnsi="Times New Roman"/>
          <w:sz w:val="18"/>
          <w:szCs w:val="18"/>
          <w:color w:val="auto"/>
        </w:rPr>
        <w:t>We expect the cost of a single administration of genetic medicines,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Moreover, the downward pressure on healthcare costs in general, particularly prescription drugs and surgical procedures and other treatments, has become intense. As a result, increasingly high barriers are being erected to the entry of new product candidates such as ours. If we are unable to obtain adequate levels of reimbursement, our ability to successfully market and sell any product candidates we may develop will be harmed.</w:t>
      </w:r>
    </w:p>
    <w:p>
      <w:pPr>
        <w:spacing w:after="0" w:line="6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candidates we may develop are smaller than we believe they are, our potential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focus a substantial portion of our research and product development on treatments for rare genetically defined diseases. Many of our product candidates we may develop are expected to target a single mutation; as a result, the relevant patient population may therefore be small.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candidates we may develop, or may become increasingly difficult to identify or gain access to, all of which would adversely affect our business, financial condition, results of operations, and prospects. Additionally, because of the potential that any product candidates we develop could cure a target disease, we may not receive recurring revenues from patients and may deplete the patient population prevalence through curative therapy.</w:t>
      </w:r>
    </w:p>
    <w:p>
      <w:pPr>
        <w:spacing w:after="0" w:line="7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68" w:lineRule="exact"/>
        <w:rPr>
          <w:sz w:val="20"/>
          <w:szCs w:val="20"/>
          <w:color w:val="auto"/>
        </w:rPr>
      </w:pPr>
    </w:p>
    <w:p>
      <w:pPr>
        <w:ind w:left="1020" w:right="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any product candidates may be adversely affected if we are unable to appropriately select patients for enrollment in our clinical trials; and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8" w:name="page69"/>
    <w:bookmarkEnd w:id="68"/>
    <w:p>
      <w:pPr>
        <w:ind w:right="140"/>
        <w:spacing w:after="0" w:line="258" w:lineRule="auto"/>
        <w:rPr>
          <w:sz w:val="20"/>
          <w:szCs w:val="20"/>
          <w:color w:val="auto"/>
        </w:rPr>
      </w:pPr>
      <w:r>
        <w:rPr>
          <w:rFonts w:ascii="Times New Roman" w:cs="Times New Roman" w:eastAsia="Times New Roman" w:hAnsi="Times New Roman"/>
          <w:sz w:val="18"/>
          <w:szCs w:val="18"/>
          <w:color w:val="auto"/>
        </w:rPr>
        <w:t>Any product candidates we develop may require use of a companion diagnostic to identify patients who are likely to benefit from therapy.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5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medicines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medicines that we may develop.</w:t>
      </w:r>
    </w:p>
    <w:p>
      <w:pPr>
        <w:spacing w:after="0" w:line="11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4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Further, while we carry biological or hazardous waste insurance coverage, such insurance coverage may not be adequate to cover losses,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9" w:name="page70"/>
    <w:bookmarkEnd w:id="69"/>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6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In addition, our product candidates we may develop will require complicated delivery modalities, such as electroporation, LNPs, or viral vectors, each of which will introduce additional complexities in the manufacturing process.</w:t>
      </w:r>
    </w:p>
    <w:p>
      <w:pPr>
        <w:spacing w:after="0" w:line="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Furthermore, we intend to use novel viral technologies to deliver the base editor and guide RNA constructs of product candidates, however scientific evidence to support the feasibility of developing product candidates based on these technologies is both preliminary and limited.</w:t>
      </w:r>
    </w:p>
    <w:p>
      <w:pPr>
        <w:spacing w:after="0" w:line="54"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 parties to manufacture components of our product candidates we may develop, conduct our clinical trials and some aspects of our research and preclinical testing, and those third parties may not perform satisfactorily, including failing to meet deadlines for the completion of such trials, research, or testing.</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rely on and expect to continue to rely on third parties, such as CMOs, CROs, clinical data management organizations, medical institutions, and clinical investigators, to conduct some aspects of our research and preclinical testing, to manufacture components of our product candidates and to conduct our clinical trials. Any of these third parties may terminate their engagements with us at any time under certain criteria. If we need to enter into alternative arrangements, it may delay our product development activities.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we design the clinical trials for our product candidates, we rely on and expect to continue to rely on CROs to conduct some or all of the clinical trials. As a result, many important aspects of our development programs, including their conduct and timing, will be outside of our direct control. Our reliance on third parties to conduct preclinical studies and clinical trials also results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5"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7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and supply of materials for our research programs, preclinical studies and clinical trial and expect to continue to do so for at least a portion of our future research programs, preclinical studies and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rely on third-parties for the manufacture and supply of materials for a portion of our preclinical studies and clinical trials, and may continue to do so for future research programs, preclinical studies, clinical testing and for commercial supply of any product candidates that we may develop and for which we or our collaborators obtain marketing approval. We do not have a long-term supply agreement with any of the third-party suppliers, and we purchase our required supply on an order-by-order basis.</w:t>
      </w:r>
    </w:p>
    <w:p>
      <w:pPr>
        <w:spacing w:after="0" w:line="70"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While we have built a manufacturing facility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oncology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non-viral delivery programs for liver diseases in Research Triangle Park, North Carolina, we cannot be certain that we will be able to maintain cGMP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expand our internal manufacturing capacity, or meet the planned manufacturing needs of our programs.</w:t>
      </w:r>
    </w:p>
    <w:p>
      <w:pPr>
        <w:spacing w:after="0" w:line="6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may be unable to establish long-term supply agreements with third-party suppliers or to do so on acceptable terms. Even if we are able to establish long-term supply agreements with third-parties, reliance on third-parties entails additional risks, including:</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1" w:name="page72"/>
    <w:bookmarkEnd w:id="71"/>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or supply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of third-party suppliers to supply and/or transport materials, components and products to us in a timely manner as a result of disruptions to the global supply chain or other factors.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Third-party suppliers may not be able to comply with cGMP regulations or other regulatory requirements outside the United States. Our failure, or the failure of third-party suppliers,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example, we rely on various CROs to obtain non-human primates, or NHPs, for use in preclinical development work. In February 2023, Charles River Laboratories, or Charles River, one of our primary suppliers of NHPs, announced it received a subpoena from the United States Department of Justice with respect to its importation of NHPs from Cambodia. Charles River further announced that it has voluntarily suspended NHP shipments from Cambodia at this time. While we believe we currently have access to a supply of NHPs adequate to meet our near-term needs, such supply may nevertheless be adversely affected by supply chain limitations. If we are unable to secure adequate supply of NHPs from Charles River or other CROs, or the shortage of NHPs causes the price of NHPs to rise substantially, certain of our preclinical development efforts will be delayed, and the cost of conducting discovery projects and preclinical development activities may substantially increase. Such delays or cost increases could materially adversely affect our discovery and preclinical development activities and our business.</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medicines that we develop may compete with other product candidates and products for access to manufacturing facilities or supplies. There are a limited number of manufacturers that operate under cGMP regulations and that might be capable of manufacturing drug components and drug product necessary for gene editing. Any performance failure on the part of our existing or future suppliers could delay preclinical or clinical development or marketing approval. We do not currently have arrangements in place for redundant supply of all drug components and drug products necessary for our gene editing product candidates. If any one of our current contract manufacturers or suppliers cannot perform as agreed, we may be required to replace that manufacturer or supplier. Although we believe that there are several potential alternative suppliers to support any product candidates we may develop, we may incur added costs and delays in identifying and qualifying any such replacement.</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spacing w:after="0" w:line="50" w:lineRule="exact"/>
        <w:rPr>
          <w:sz w:val="20"/>
          <w:szCs w:val="20"/>
          <w:color w:val="auto"/>
        </w:rPr>
      </w:pPr>
    </w:p>
    <w:p>
      <w:pPr>
        <w:jc w:val="both"/>
        <w:ind w:right="2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As our drug development pipeline increases and matures, the increased demand for clinical supplies from our facilities and third parties may impact our ability to operate. We will require increased capacity across our entire supply chain. Furthermore, we rely on many service providers, including those that provide manufacturing or testing services, all of whom have inherent risks in their operations that may adversely impact our operations.</w:t>
      </w:r>
    </w:p>
    <w:p>
      <w:pPr>
        <w:spacing w:after="0" w:line="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if approved, at commercial-scale. We have limited experience manufacturing any of our product candidates in the volumes that are necessary to support clinical trials and no experience manufacturing at volumes that are necessary to support commercial sales. Efforts to establish these capabilities may not meet initial expectations as to scheduling, scale-up, reproducibility, yield, purity, cost, potency or quality. In addition, other companies, many with substantial resources, compete with us for access to the materials needed to manufacture our product candidates.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utilize, and expect to continue to utilize, third parties to, among other things, manufacture raw materials, components, parts, and consumables, and to perform quality testing. If the field of base editing and other genetic medicines continues to expand, we may encounter increasing competition for these materials and services. Demand for third-party manufacturing or testing facilities may grow at a faster rate than their existing capacity, which could disrupt our ability to find and retain third-party manufacturers capable of producing sufficient quantities of such raw materials, components, parts, and consumables required to manufacture our product candidates. The use of service providers and suppliers could expose us to risks, including, but not limited to:</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supply and service agreements with third parties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these suppliers and service providers caused by conditions unrelated to our business or operations, including the bankruptcy of the supplier or service provider; and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2" w:name="page73"/>
    <w:bookmarkEnd w:id="72"/>
    <w:p>
      <w:pPr>
        <w:ind w:left="1020" w:right="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third-party facilities by regulatory authorities that could have a negative outcome and result in delays to or termination of their ability to supply our requirements.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reliance on third-party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product candidates on a clinical and, if approved, a commercial scale, replacement of a manufacturer may be expensive and time-consuming and may cause interruptions in the production of our product candidates. A third-party manufacturer may also encounter difficulties in production. These problems may include:</w:t>
      </w:r>
    </w:p>
    <w:p>
      <w:pPr>
        <w:spacing w:after="0" w:line="75"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 up and yields;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supplies;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strictly enforced federal, state and foreign regulations that vary in each country where products might be sold;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any delay or interruption could have a material adverse effect on our business, financial condition, or results of operations.</w:t>
      </w:r>
    </w:p>
    <w:p>
      <w:pPr>
        <w:spacing w:after="0" w:line="11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enter into collaborations with third parties for the research, development, and commercialization of certain of the product candidates we develop. If any such collaborations are not successful, we may not be able to capitalize on the market potential of those product candidates.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and may in the future seek third-party collaborators for the research, development, and commercialization of certain of the product candidates we develop. Under the agreements we have entered into and any agreements we may enter into in the future with any third parties, we have and will likely have limited control over the amount and timing of resources that our collaborators dedicate to the development or commercialization of any product candidates we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our research programs or any product candidates we may develop pose numerous risks to us, including the following:</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medicines or product candidates we develop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medicines may not commit sufficient resources to the marketing and distribution of such medicine or medicines.</w:t>
      </w:r>
    </w:p>
    <w:p>
      <w:pPr>
        <w:spacing w:after="0" w:line="175"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3" w:name="page74"/>
    <w:bookmarkEnd w:id="73"/>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we may develop.</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Furthermore, even if we receive such payments, they will likely result in payment obligations under license agreements with our licensors, which could be substantial. If we do not receive the funding we expect under these collaboration agreements, or if the funding is substantially offset by payment obligations to our licensors,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may develop we or our collaborators may develop, we may not be able to realize the benefit of such transactions if we are unable to successfully integrate them with our existing operations and company culture.</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our product candidates we may develop.</w:t>
      </w:r>
    </w:p>
    <w:p>
      <w:pPr>
        <w:spacing w:after="0" w:line="7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development and commercialization plans.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4" w:name="page75"/>
    <w:bookmarkEnd w:id="74"/>
    <w:p>
      <w:pPr>
        <w:ind w:right="480"/>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if approved, delay its potential commercialization or reduce the scope of any sales or marketing activities, or increase our expenditures and undertake development or, if approved, commercialization activities at our own expense. If we elect to increase our expenditures to fund development or, if approved,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helped launch a new company, Orbital Therapeutics, Inc., and are exposed to risks associated with the launch of the new company, including that we may not realize the advantages we expect from it.</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2022, we helped launch Orbital Therapeutics Inc., or Orbital, in collaboration with ARCH Venture Partners, with a goal of advancing ribonucleic acid, or RNA, medicines. In connection with the Orbital launch, we entered into a license and collaboration agreement, or the Orbital Agreement, with Orbital pursuant to which we and Orbital each granted the other licenses to certain technology controlled by it necessary or reasonably useful for the non-viral delivery or the design or manufacture of RNA for the prevention, treatment or diagnosis of human disease. In addition, concurrently with our entry into the Orbital Agreement, Orbital issued us 75 million shares of its common stock. ARCH Venture Partners is also a stockholder of Orbital, two of our directors affiliated with ARCH Venture Partners, Kristina Burow and John Maraganore, as well as John Evans, our Chief Executive Officer, are members of the board of directors of Orbital, and our President, Dr. Giuseppe Ciaramella, is the interim chief executive officer of Orbital and is a member of its board of directors.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of our minority ownership in Orbital, we have a lesser degree of control over its business operations, thereby potentially subjecting us to additional financial, legal, operational and compliance risks. In addition, the controlling shareholders or management of Orbital may have business interests, strategies or goals that are inconsistent with ours. These risks include the possibility that Orbital or such other stockholders have economic or business interests or goals that are or become inconsistent with our economic or business interests or goals; are in a position to take action contrary to our instructions, requests, policies or objectives; subject us to unexpected liabilities or risks; take actions that reduce our return on investment; act in a manner that compromises our key licensed rights, or important intellectual or other rights that we own or license; or take actions that harm our reputation or restrict our ability to run our business. Furthermore, as a result of our ownership in Orbital, we may in the future be required to include Orbital’s financial information in our consolidated financial results. We have not previously included a minority-owned subsidiary in our financial statements and we would therefore be subject to increased risk in accurately representing and incorporating Orbital financial statements into our own, which could result in delayed filings with the SEC and the finding of a material or significant weakness, among others. This could result in harmful consequences to our business, including an adverse reaction in the financial markets due to a loss of confidence in the reliability of our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any product candidates we develop and for our platform technologies, or if the scope of the patent and other intellectual property protection obtained is not sufficiently broad, our competitors could develop and commercialize products and technology similar or identical to ours, and our ability to successfully commercialize any product candidates we may develop, and our platform technologies may be adversely affected.</w:t>
      </w:r>
    </w:p>
    <w:p>
      <w:pPr>
        <w:spacing w:after="0" w:line="7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trademark, trade secret and other intellectual property protection of our base editing platform technology, product candidates and other technology, including delivery platform technology methods used to manufacture them and methods of treatment, as well as successfully defending our patent and other intellectual property rights against third-party challenges. It is difficult and costly to protect our base editing platform technology and protect candidates, and we may not be able to ensure their protection. Our ability to stop unauthorized third parties from making, using, selling, offering to sell, importing or otherwise commercializing our product candidates we may develop is dependent upon the extent to which we have rights under valid and enforceable patents or trade secrets that cover these activities.</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seek to protect our proprietary position by in-licensing intellectual property relating to our platform technology and filing patent applications in the United States and abroad related to our base editing platform technology, delivery platform technology and product candidates that are important to our business. If we or our licensors are unable to obtain or maintain patent protection with respect to our base editing platform technology, delivery platform technology and product candidates we may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5" w:name="page76"/>
    <w:bookmarkEnd w:id="75"/>
    <w:p>
      <w:pPr>
        <w:ind w:right="20"/>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any licensed patents or pending patent applications, or that we or our licensors were the first to file for patent protection of such inventions.</w:t>
      </w:r>
    </w:p>
    <w:p>
      <w:pPr>
        <w:spacing w:after="0" w:line="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The field of gene editing, especially in the area of base editing technology, has been the subject of extensive patenting activity and litigation. As a result, the issuance, scope, validity, enforceability, and commercial value of our patent rights are highly uncertain, and we may become involved in complex and costly litigation. Our pending and future patent applications may not result in patents being issued which protect our base editing platform technology, delivery platform technology and product candidates we may develop, or which effectively prevent others from commercializing competitive technologies and product candidates.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 consistent policy regarding the scope of claims allowable in the field of gene editing, including base editing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enforce and defend our intellectual property rights and, more generally, could affect the value of our intellectual property or narrow the scope of our owned and licensed patent rights. With respect to both in-licensed and owned intellectual property, we cannot predict whether the patent applications we and our licensors are currently pursuing will issue as patents in any particular jurisdiction or whether the claims of any issued patents will be valid and enforceable and provide sufficient protection from competitors.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any of our platform advances and product candidates we may develop will be protectable or remain protected by valid and enforceable patents. Our competitors or other third parties may be able to circumvent our patents by developing similar or alternative technologies or products in a non-infringing manner.</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by us with third parties. For example, a patent application directed to our potential HBG1 and HBG2 product candidates is co-owned by us, the President and Fellows of Harvard College, or Harvard, and Broad Institute. At present, we do not have a license to the ownership interest of Harvard or Broad Institute. If we are unable to obtain an exclusive license to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base editing platform technology and product candidates are subject, in part, to the terms and conditions of licenses granted to us by others.</w:t>
      </w:r>
    </w:p>
    <w:p>
      <w:pPr>
        <w:spacing w:after="0" w:line="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6" w:name="page77"/>
    <w:bookmarkEnd w:id="76"/>
    <w:p>
      <w:pPr>
        <w:ind w:right="40"/>
        <w:spacing w:after="0" w:line="254" w:lineRule="auto"/>
        <w:rPr>
          <w:sz w:val="20"/>
          <w:szCs w:val="20"/>
          <w:color w:val="auto"/>
        </w:rPr>
      </w:pPr>
      <w:r>
        <w:rPr>
          <w:rFonts w:ascii="Times New Roman" w:cs="Times New Roman" w:eastAsia="Times New Roman" w:hAnsi="Times New Roman"/>
          <w:sz w:val="18"/>
          <w:szCs w:val="18"/>
          <w:color w:val="auto"/>
        </w:rPr>
        <w:t>We have licensed and are dependent on certain patent rights and proprietary technology from third parties that are important or necessary to the development of our base editing technology and product candidates. For example, we are a party to license agreements with Broad Institute, Editas, Harvard, and Bio Palette, and others, pursuant to which we in-license key patents and patent applications for our base editing platform technology and product candidates (the Broad License Agreement, the Editas License Agreement, the Harvard License Agreement and the Bio Palette License Agreement, respectively). These license agreements impose various diligence, milestone payment, royalty, insurance, and other obligations on us. If we fail to comply with these obligations, our licensors may have the right to terminate our license, in which event we would not be able to develop or market our base editing platform or any other technology or product candidates covered by the intellectual property licensed under these agreements. For example, under the Harvard License Agreement, we are required to meet certain development milestones for the development of a licensed product covered by certain sub-categories of licensed patents. If we fail to meet such milestones, our rights with respect to the sub-category of licensed patents will terminate.</w:t>
      </w:r>
    </w:p>
    <w:p>
      <w:pPr>
        <w:spacing w:after="0" w:line="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These and other licenses may not provide exclusive rights to use such intellectual property and technology in all relevant fields of use and in all territories in which we may wish to develop or commercialize our base editing platform technology and product candidates in the future. Some licenses granted to us are expressly subject to certain preexisting rights held by the licensor or certain third parties. As a result, we may not be able to prevent competitors from developing and commercializing competitive products in certain territories or fields. For example, certain licensed patents developed by employees of the Howard Hughes Medical Institute, or HHMI, and subsequently assigned to Harvard and licensed to us under the Harvard License Agreement remain subject to a non-exclusive license between Harvard and HHMI. The Editas License Agreement provides that our field of use excludes the use of certain gene editing technologies for the diagnosis, treatment, and prevention of human cancers through certain engineered T-cells, which are licensed to Juno Therapeutics, Inc. (a subsidiary of Bristol-Myers Squibb Company). If we determine that rights to such excluded field are necessary to commercialize any of our product candidates or maintain our competitive advantage, we may need to obtain a license from such third party in order to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Broad License Agreement, rights granted to us include certain patent applications directed to Cas12b or Cas13 that are limited to the United States. The co-owners of these patent applications include Broad Institute, Harvard, MIT, the State University of New Jersey, or Rutgers, Skolkovo Institute of Science and Technology, or Skoltech, and the NIH. At present, we do not have a license to the ownership interest of Rutgers, Skoltech, or the NIH. If we are unable to obtain an exclusive license to Rutgers, Skoltech, and the NIH’s interest in such patent applications, Rutgers, Skoltech, and the NIH may be able to license its rights to other third parties, including our competitors, and such third parties could market competing products and technology. In addition, we may need the cooperation of Rutgers, Skoltech, or the NIH in order to enforce patents issuing from these patent applications against third parties, and such cooperation may not be provided to us. Any of the foregoing could have a material adverse effect on our competitive position, business, financial conditions, results of operations, and prospects.</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pursuant to our license agreement with Broad Institute and our license agreement with Harvard, under certain specific circumstances (in each case), Broad Institute or Harvard (as applicable) may grant a license to the patents that are the subject of such license agreement to a third party in the same field as such patents are licensed to us. Such third party may then have full rights that are the subject of the Broad License Agreement or the Harvard License Agreement (as applicable), which could impact our competitive position and enable a third party to commercialize products similar to our potential future product candidates and technology. Any grant of rights to a third party in this scenario would narrow the scope of our exclusive rights to the patents and patent applications we have in-licensed from Broad Institute and/or Harvard, as applicable.</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do not have complete control in the preparation, filing, prosecution, maintenance, enforcement, and defense of patents and patent applications covering the technology that we license from third parties. For example, pursuant to each of our intellectual property licenses with Broad Institute, Harvard, Editas and Bio Palette, our licensors retain control of preparation, filing, prosecution, and maintenance, and, in certain circumstances, enforcement and defense of their patents and patent applications.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Furthermore, inventions contained within some of our in-licensed patents and patent applications were made using U.S. government funding. We rely on our licensors to ensure compliance with applicable obligations arising from such funding, such as timely reporting, an obligation associated with our in-licensed patents and patent applications. The failure of our licensors to meet their obligations may lead to a loss of rights or the unenforceability of relevant patents. For example, the U.S. government could have certain rights in such in-licensed patents,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w:t>
      </w:r>
    </w:p>
    <w:p>
      <w:pPr>
        <w:spacing w:after="0" w:line="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event any of our third-party licensors determine that, in spite of our efforts, we have materially breached a license agreement or have failed to meet certain obligations thereunder, it may elect to terminate the applicable license agreement or, in some cases, one or more licenses under the applicable license agreement and such termination would result in us no longer having the ability to develop and commercialize product candidates and technology covered by that license agreement or license. In the event of such termination of a third-party in-license, or if the underlying patents under a third-party in-license fail to provide the intended exclusivity, competitors would have the freedom to seek regulatory approval of, and to market, products identical to ours. Any of these events could have a material adverse effect on our competitive position, business, financial conditions, results of operations, and prospects.</w:t>
      </w:r>
    </w:p>
    <w:p>
      <w:pPr>
        <w:spacing w:after="0" w:line="7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platform technologies, our product candidates and our future product candidates or result in any competitive advantage.</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in-licensed a number of issued U.S. patents and patent applications that cover base editing and gene targeting technologies, as well as our delivery platform technology. We have applied for provisional patent applications or Patent Cooperation Treaty, or PCT, applications intended to specifically cover our base editing platform technology and uses with respect to treatment of particular diseases and conditions, and currently own three issued U.S. patents. We have applied for provisional patent applications or PCT applications intended to specifically cover our delivery platform technology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technology, delivery platform technology or our product candidates, or that such patents will not be challenged, narrowed, circumvented, invalidated or held unenforceable. Any failure to obtain or maintain patent protection with respect to our base editing platform technology, delivery platform technology and product candidates could have a material adverse effect on our business, financial condition, results of operations and growth prospects.</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owned patents and patent applications and our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8" w:name="page79"/>
    <w:bookmarkEnd w:id="78"/>
    <w:p>
      <w:pPr>
        <w:spacing w:after="0" w:line="252"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patents and patent applications we own or the patents and patent applications we in-license with respect to our base editing platform technology, delivery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delivery platform technology or product candidates. In addition, some patent applications in the United States may be 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 the EPO, Opposition Division, or the EPO Opposition Division, has revoked our optioned Broad Institute patent European Patent No. EP2771468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9" w:name="page80"/>
    <w:bookmarkEnd w:id="79"/>
    <w:p>
      <w:pPr>
        <w:spacing w:after="0" w:line="255" w:lineRule="auto"/>
        <w:rPr>
          <w:sz w:val="20"/>
          <w:szCs w:val="20"/>
          <w:color w:val="auto"/>
        </w:rPr>
      </w:pPr>
      <w:r>
        <w:rPr>
          <w:rFonts w:ascii="Times New Roman" w:cs="Times New Roman" w:eastAsia="Times New Roman" w:hAnsi="Times New Roman"/>
          <w:sz w:val="18"/>
          <w:szCs w:val="18"/>
          <w:color w:val="auto"/>
        </w:rPr>
        <w:t>Likewise, our currently owned patents and patent applications, if issued as patents, and in-licensed patents and patent applications, if issued as patents, directed to our proprietary base editing technologies and our product candidates are expected to expire from 2034 through 2044,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 right to exclude others from practicing these inventions. The expiration of these patents could also have a similar material adverse effect on our business, financial condition, results of operations and prospects.</w:t>
      </w:r>
    </w:p>
    <w:p>
      <w:pPr>
        <w:spacing w:after="0" w:line="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owned patents and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of the U.S. patents and one U.S. patent application to which we hold an option are co-owned by Broad Institute and MIT, and in some cases co-owned by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spacing w:after="0" w:line="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24, 2019, the PTAB declared an interference (U.S. Interference No. 106,115) between ten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result of the declaration of interference, an adversarial proceeding in the USPTO before the PTAB has been initiated, which is declared to ultimately determine priority, specifically and which party was first to invent the claimed subject matter.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The ten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On February 28, 2022, the PTAB issued a decision that the Boston Licensing Parties have priority of invention over University of California with respect to a single RNA CRISPR-Cas9 system that functions in eukaryotic cells. This decision is being appealed. There can be no assurance that the U.S. interference will be resolved in favor of the Boston Licensing Parties on appeal. If the U.S. interference resolves in favor of University of California, or if the Boston Licensing Parties’ patents and patent application are narrowed, invalidated, or held unenforceable, we may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0" w:name="page81"/>
    <w:bookmarkEnd w:id="80"/>
    <w:p>
      <w:pPr>
        <w:ind w:right="60"/>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similar interferences in the future with the same risks as described above. For example, on December 14, 2020, the PTAB declared an interference (U.S. Interference No. 106,126) between 14 U.S. patents and two U.S. patent applications (U.S. Patent Nos. 8,697,359; 8,771,945; 8,795,965; 8,865,406; 8,871,445; 8,889,356; 8,889,418; 8,895,308; 8,906,616; 8,932,814; 8,945,839; 8,993,233; 8,999,641; and 9,840,713, and U.S. Serial Nos. 14/704,551 and 15/330,876) that are co-owned by the Boston Licensing Parties, which we have an option to under the Editas License Agreement, and one U.S. patent application (U.S. Serial Nos. 14/685,510) that is owned by Toolgen, Inc, or Toolgen. In the declared interference, the Boston Licensing Parties have been designated as the junior party and Toolgen has been designated as the senior party. In March 2021, the PTAB issued an order on preliminary motions, granting, in part, and denying, in part, certain motions proposed by the Boston Licensing Parties and Toolgen. An oral hearing in the priority phase of U.S. Interference No. 106,126 was held on September 12, 2022. On September 28, 2022, the PTAB issued a decision on preliminary motions denying or dismissing certain motions proposed by the Boston Licensing Parties and Toolgen and issued an order suspending proceedings in the priority phase of the interference. We cannot predict with any certainty when a decision will be made. The 14 U.S. patents and two U.S. patent applications co-owned by the Boston Licensing Parties involved in U.S. Interference No. 106,126 generally relate to CRISPR/Cas9 systems or eukaryotic cells comprising CRISPR/Cas9 systems having fused or covalently linked RNA and the use thereof in eukaryotic cells.</w:t>
      </w:r>
    </w:p>
    <w:p>
      <w:pPr>
        <w:spacing w:after="0" w:line="8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On June 21, 2021, the PTAB declared an interference (U.S. Interference No. 106,133) between the same 14 U.S. patents and two U.S. patent applications (U.S. Patent Nos. 8,697,359; 8,771,945; 8,795,965; 8,865,406; 8,871,445; 8,889,356; 8,889,418; 8,895,308; 8,906,616; 8,932,814; 8,945,839; 8,993,233; 8,999,641; and 9,840,713, and U.S. Serial Nos. 14/704,551 and 15/330,876, co-owned by the Boston Licensing Parties) as named in the interference with Toolgen, and one U.S. patent application (U.S. Serial Nos. 15/456,204) that is owned by Sigma-Aldrich Co., LLC, or Sigma-Aldrich. In the declared interference, the Boston Licensing Parties have been designated as the junior party and Sigma-Aldrich has been designated as the senior party. In September 2021, the PTAB issued an order on preliminary motions, granting, deferring, dismissing, or denying, certain motions proposed by the Boston Licensing Parties and Sigma-Aldrich. An oral hearing in the priority phase of U.S. Interference No. 106,133 was held on November 21, 2022. On December 14, 2022, the PTAB issued a decision on preliminary motions denying or dismissing certain motions proposed by the Boston Licensing Parties and Sigma-Aldrich and issued an order suspending proceedings in the priority phase of the interference. We cannot predict with any certainty when a decision will be made.</w:t>
      </w:r>
    </w:p>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or our licensors may also be subject to claims that former employees, collaborators, or other third parties have an interest in our owned patents or patent applications or in-licensed patents or patent applications or other intellectual property as an inventor or co-inventor. If we are unable to obtain an exclusive license to any such third-party co-owners’ interest in such patents or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1" w:name="page82"/>
    <w:bookmarkEnd w:id="81"/>
    <w:p>
      <w:pPr>
        <w:ind w:right="12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ind w:right="800" w:firstLine="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including base editing technology, delivery platform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each of our license agreements, we are generally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or base editing platform technology, delivery platform technology or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spacing w:after="0" w:line="80"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to third parties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As a result, any termination of or disputes over our intellectual property licenses could result in the loss of our ability to develop and commercialize our base editing platform, delivery platform, or other product candidates or we could lose other significant rights, any of which could have a material adverse effect on our business, financial conditions, results of operations, and prospects. It is also possible that a third party could be granted limited licenses to some of the same technology, in certain circumstances.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acquiring or in-licensing necessary rights to key technologies or any product candidates we may develop.</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currently have rights to intellectual property, through licenses from third parties, to identify and develop product candidates, and we expect to seek to expand our product candidate pipeline in part by in-licensing the rights to key technologies. The future growth of our business will depend in part on our ability to in-license or otherwise acquire the rights to additional product candidates and technologies. Although we have succeeded in licensing technologies from third party licensors, including Harvard, Broad Institute, Editas, and Bio Palette in the past, we cannot assure you that we will be able to in-license or acquire the rights to any product candidates or technologies from third parties on acceptable terms or at all.</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example, our agreements with certain of our third-party licensors provide that our field of use excludes particular fields, for example, the use of certain gene editing technologies for the diagnosis, treatment, and prevention of human cancers through certain engineered T-cells, which are licensed exclusively or non-exclusively to a third-party licensee. If we determine that rights to such fields are necessary to commercialize our drug candidates or maintain our competitive advantage, we may need to obtain a license from such third party in order to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there has been extensive patenting activity in the fields of gene editing and delivery technologies, and pharmaceutical companies, biotechnology companies, and academic institutions are competing with us or are expected to compete with us in the fields of gene editing and delivery technologies and filing patent applications potentially relevant to our business and we are aware of certain third-party patents, as well as patent applications that, if issued, may allow the third party to circumvent our patent rights. For example, we are aware of several third-party patents, and patent applications that, if issued, may be construed to cover our base editing technology, delivery technology and product candidates. In order to market our product candidates, we may find it necessary or prudent to obtain licenses from such third-party intellectual property holders. However, we may be unable to secure such licenses or otherwise acquire or in-license any compositions, methods of use, processes, or other intellectual property rights from third parties that we identify as necessary for product candidates we may develop and base editing and delivery technologies. We may also require licenses from third parties for additional non-base editing technologies, including additional delivery methods that we are evaluating for use with product candidates we are developing and may develop in the future. In addition, some of our owned patents and patent applications and in-licensed patents and patent applications are co-owned with third parties. With respect to any patents co-owned with third parties, we may require licenses to such co-owners’ interest to such patents.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3" w:name="page84"/>
    <w:bookmarkEnd w:id="83"/>
    <w:p>
      <w:pPr>
        <w:ind w:right="200"/>
        <w:spacing w:after="0" w:line="282" w:lineRule="auto"/>
        <w:rPr>
          <w:sz w:val="20"/>
          <w:szCs w:val="20"/>
          <w:color w:val="auto"/>
        </w:rPr>
      </w:pPr>
      <w:r>
        <w:rPr>
          <w:rFonts w:ascii="Times New Roman" w:cs="Times New Roman" w:eastAsia="Times New Roman" w:hAnsi="Times New Roman"/>
          <w:sz w:val="18"/>
          <w:szCs w:val="18"/>
          <w:color w:val="auto"/>
        </w:rPr>
        <w:t>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8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6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field of gene editing, especially in the area of base editing technology, is still in its infancy, and no base editing product candidates have reached the market. Due to the intense research and development that is taking place by several companies, including us and our competitors, in this field and in the field of delivery technology,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delivery platform technology and any product candidates we may develop, including interference proceedings,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the biotechnology and pharmaceutical industries expand and more patents are issued, the risk increases that our base editing platform technology, delivery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patents and patent applications that, if issued, may be construed to cover our base editing technology, delivery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4" w:name="page85"/>
    <w:bookmarkEnd w:id="84"/>
    <w:p>
      <w:pPr>
        <w:ind w:right="40"/>
        <w:spacing w:after="0" w:line="251" w:lineRule="auto"/>
        <w:rPr>
          <w:sz w:val="20"/>
          <w:szCs w:val="20"/>
          <w:color w:val="auto"/>
        </w:rPr>
      </w:pPr>
      <w:r>
        <w:rPr>
          <w:rFonts w:ascii="Times New Roman" w:cs="Times New Roman" w:eastAsia="Times New Roman" w:hAnsi="Times New Roman"/>
          <w:sz w:val="18"/>
          <w:szCs w:val="18"/>
          <w:color w:val="auto"/>
        </w:rPr>
        <w:t>Numerous third-party U.S. and foreign issued patents and pending patent applications exist in the fields in which we are developing product candidates. Our product candidates make use of CRISPR-based technology, which is a field that is highly active for patent filings.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 to gene editing. The University of California portfolio includes, for example, U.S. Patent Nos. 10,266,850; 10,227,611; 10,000,772; 10,113,167; 10,301,651; 10,308,961; 10,337,029; 10,351,878; 10,407,697; 10,358,659; 10,358,658; 10,385,360; 10,400,253; 10,421,980; 10,415,061; 10,428,352; 10,443,076; 10,487,341; 10,513,712; 10,519,467; 10,526,619; 10,533,190; 10,550,407; 10,563,227; 10,570,419; 10,577,631; 10,597,680; 10,612,045; 10,626,419; 10,640,791; 10,669,560; 10,676,759; 10,752,920; 10,774,344; 10,793,878; 10,900,054; 10,982,230; 10,982,231; 10,988,780; 10,988,782; 11,001,863; 11,008,589; 11,008,590; 11,028,412; 11,186,849; 11,242,543; 11,274,318; 11,293,034; 11,332,761; 11,401,532; 11,473,108; 11,479,794; 11,549,127; 11,634,730; 11,674,159; 11,814,645, which are expected to expire around March 2033, excluding any additional term for patent term adjustment, or PTA, or patent term extension, or PTE, and any disclaimed term for terminal disclaimers. The University of California portfolio also includes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are being opposed in Europe by multiple parties. For example, the EPO Opposition Division has initiated opposition proceedings against European Patent Nos. EP2,800,811 B1, and EP3,241,902 B1and EP3,401,400 B1, which are estimated to expire in March 2033 (excluding any patent term adjustments or extensions).</w:t>
      </w:r>
    </w:p>
    <w:p>
      <w:pPr>
        <w:spacing w:after="0" w:line="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Most of the claims of European patent EP2,800,811 B1 were maintained without amendment by the Opposition Division, but this decision is being appealed. In April 2021, the claims of European patent EP3,241,902 B1 were revoked in their entirety, and that decision is not being appealed. In February 2022, the claims of European patent EP3,401,400 B1 were maintained in amended form by the Opposition Division, and this decision is being appealed.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Numerous other patents and patent applications have been filed by other third parties directed to gene editing, guide nucleic acids, PAM sequence variants, split inteins, Cas12b or gene editing in the context of immune therapy or chimeric antigen receptors.</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5" w:name="page86"/>
    <w:bookmarkEnd w:id="85"/>
    <w:p>
      <w:pPr>
        <w:ind w:right="20"/>
        <w:spacing w:after="0" w:line="252" w:lineRule="auto"/>
        <w:rPr>
          <w:sz w:val="20"/>
          <w:szCs w:val="20"/>
          <w:color w:val="auto"/>
        </w:rPr>
      </w:pPr>
      <w:r>
        <w:rPr>
          <w:rFonts w:ascii="Times New Roman" w:cs="Times New Roman" w:eastAsia="Times New Roman" w:hAnsi="Times New Roman"/>
          <w:sz w:val="18"/>
          <w:szCs w:val="18"/>
          <w:color w:val="auto"/>
        </w:rPr>
        <w:t>Our ability to commercialize our product candidates in the United States and abroad may be adversely affected if we cannot obtain a license on commercially reasonable terms to relevant third-party patents that cover our product candidates, delivery platform technology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future patents or the patents of our licensors, which could be expensive, time consuming, and unsuccessful and could result in a finding that such patents are unenforceable or invalid.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future patents or the patents of our licensing partners, or we may be required to defend against claims of infringement. In addition, our patents, future patents or the patents of our licensing partners also are, and may in the future become, involved in inventorship, priority, validity or enforceability disputes. Countering or defending against such claims can be expensive and time consuming. In an infringement proceeding, a court may decide that a patent owned or in-licensed by us is invalid or unenforceable,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interference proceedings, derivation proceedings, and equivalent proceedings in foreign jurisdictions (e.g., opposition proceedings).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licensors,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technology and/or product candidates. Defense of these types of claims, regardless of their merit, would involve substantial litigation expense and would be a substantial diversion of employee resources from our business.</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Conversely, we may choose to challenge the patentability of claims in a third party’s U.S. patent by requesting that the USPTO review the patent claims in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We are currently challenging, and in the future may choose to challenge, third party patents in patent opposition proceedings in the EPO or another foreign patent office. Even if</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6" w:name="page87"/>
    <w:bookmarkEnd w:id="86"/>
    <w:p>
      <w:pPr>
        <w:ind w:right="320"/>
        <w:spacing w:after="0" w:line="266" w:lineRule="auto"/>
        <w:rPr>
          <w:sz w:val="20"/>
          <w:szCs w:val="20"/>
          <w:color w:val="auto"/>
        </w:rPr>
      </w:pPr>
      <w:r>
        <w:rPr>
          <w:rFonts w:ascii="Times New Roman" w:cs="Times New Roman" w:eastAsia="Times New Roman" w:hAnsi="Times New Roman"/>
          <w:sz w:val="18"/>
          <w:szCs w:val="18"/>
          <w:color w:val="auto"/>
        </w:rPr>
        <w:t>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base editing platform technology, delivery platform technology or other or proprietary technologies.</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example, as discussed above, elements of the University of California patent portfolio are being opposed in Europe by multiple parties and we are participating in the opposition proceedings. The EPO Opposition Division, or the Opposition Division, has initiated opposition proceedings against European patents estimated to expire in March 2033 (excluding any patent term adjustments or extensions) and co-owned by the University of California.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these European patents.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w:t>
      </w:r>
    </w:p>
    <w:p>
      <w:pPr>
        <w:spacing w:after="0" w:line="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In certain circumstances, we rely on our licensing partners to pay these fees due to U.S. and non-U.S. patent agencies.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platform technologies and product candidates.</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7" w:name="page88"/>
    <w:bookmarkEnd w:id="87"/>
    <w:p>
      <w:pPr>
        <w:spacing w:after="0" w:line="252"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could increase the uncertainties and costs surrounding the prosecution of patent applications and the enforcement or defense of our issued patents.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 a new post-grant review system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Because of a lower evidentiary standard in USPTO proceedings compared to the evidentiary standard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effects of some of these changes are currently unclear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Assoc. for Molecular Pathology v. Myriad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Genetics, Inc., </w:t>
      </w:r>
      <w:r>
        <w:rPr>
          <w:rFonts w:ascii="Times New Roman" w:cs="Times New Roman" w:eastAsia="Times New Roman" w:hAnsi="Times New Roman"/>
          <w:sz w:val="18"/>
          <w:szCs w:val="18"/>
          <w:color w:val="auto"/>
        </w:rPr>
        <w:t>the U.S. Supreme Court held that certain claims to DNA molecules are not patentable. We cannot predict how this and future decisions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PTE and data exclusivity for any product candidates we may develop, our business may be materially harmed.</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 parties, to protect our confidential and proprietary information, especially where we do not believe patent protection is appropriate or obtainable.</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9" w:name="page90"/>
    <w:bookmarkEnd w:id="89"/>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asserted and may in the future assert that we, our employees, consultants, or advisors have wrongfully used or disclosed confidential information or misappropriated trade secrets.</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In addition, we regularly enter into non-disclosure and confidentiality agreements to protect the proprietary positions of third parties, such as research institutions, outside scientific collaborators, CROs, third-party manufacturers, consultants, advisors, potential partners and other third parties in order to evaluate technology for potential development. Although we try to ensure that we and our employees, consultants, and advisors do not use the proprietary information or know-how of others, we have received and may in the future be subject to claims that we or these individuals have inadvertently or otherwise wrongfully used or disclosed intellectual property, including trade secrets or other proprietary information, of third parties, including any such individual’s current or former employer. Also, we have in the past and may in the future be subject to claims that these individuals are violating non-compete agreements with their former employers. We may then have to pursue litigation to defend against any of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example, we received correspondence from a research institution regarding a confidentiality agreement between such institution and us. The confidentiality agreement related to certain technology that we evaluated for development in connection with certain of our programs. The correspondence alleges that we breached the terms of the confidentiality agreement, misappropriated trade secret and other confidential information of such institution, engaged in unfair and deceptive trade practices, and were unjustly enriched in connection with developing our therapeutics, including BEAM-302. The research institution claims that it is entitled to monetary damages (including damages for the apportioned value of our company and enhanced damages for an alleged willful violation) and certain ongoing royalty and/or milestone payments related to the technology that is the subject of the alleged breaches of contract, among other possible remedies. We have engaged in, and expect to continue to engage in, settlement negotiations with the research institution. We cannot predict whether we will be able to reach a settlement relating to such claims or whether we would prevail in any litigation or action related to them. Moreover, any litigation may result in negative publicity, regardless of its outcome, and may subject us to significant liability for monetary damages and have a material adverse effect on our business, financial position, and results of operations. For further information, see Note 6 of the notes to our consolidated financial statements included elsewhere in this Annual Report on Form 10-K.</w:t>
      </w:r>
    </w:p>
    <w:p>
      <w:pPr>
        <w:spacing w:after="0" w:line="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may develop will eventually become commercially available in generic or biosimilar product forms;</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0" w:name="page91"/>
    <w:bookmarkEnd w:id="90"/>
    <w:p>
      <w:pPr>
        <w:ind w:left="1020" w:right="2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any product candidates we may develop or utilize similar base editing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may fail to meet our obligations to the U.S. government regarding any in-licensed patents and patent applications funded by U.S. government grants, leading to the loss or unenforceability of patent rights;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or parts of our owned or in-licensed patents;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unenforceable, or narrowed in scope,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312" w:lineRule="auto"/>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31" w:lineRule="exact"/>
        <w:rPr>
          <w:rFonts w:ascii="Times New Roman" w:cs="Times New Roman" w:eastAsia="Times New Roman" w:hAnsi="Times New Roman"/>
          <w:sz w:val="17"/>
          <w:szCs w:val="17"/>
          <w:color w:val="auto"/>
        </w:rPr>
      </w:pPr>
    </w:p>
    <w:p>
      <w:pPr>
        <w:ind w:left="1020" w:right="7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or</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1" w:name="page92"/>
    <w:bookmarkEnd w:id="91"/>
    <w:p>
      <w:pPr>
        <w:ind w:right="80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licensed and regulated as biologics may face competition from biosimilars approved through an abbreviated regulatory pathway.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was enacted as part of the Patient Protection and Affordable Care Act, as amended by the Health Care and Education Affordability Reconciliation Act, or collectively,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w:t>
      </w:r>
    </w:p>
    <w:p>
      <w:pPr>
        <w:spacing w:after="0" w:line="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any of the product candidates we develop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Nonetheless, the approval of a biosimilar to our product candidates may have a material adverse impact on our business due to increased competition and pricing pressure.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other legal compliance matters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genetic medicines, and in particular any novel genetic medicines we may develop, have changed frequently and may continue to change in the future.</w:t>
      </w:r>
    </w:p>
    <w:p>
      <w:pPr>
        <w:spacing w:after="0" w:line="5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Regulatory requirements governing genetic and cellular medicines, and in particular any novel genetic medicine products we may develop, have changed frequently and may continue to change in the future. We are aware of a limited number of genetic medicines that have received marketing authorization from the FDA and EMA. Even with respect to more established products in the genetic medicine field, the regulatory landscape is still developing. For example, the FDA has established the Office of Tissues and Advanced Therapies (formerly the Office of Cellular, Tissue and Gene Therapies) within CBER to consolidate the review of genetic medicines and related products, and the Cellular, Tissue and Gene Therapies Advisory Committee to advise CBER on its review. Genetic medicine clinical trials conducted at institutions that receive funding for recombinant DNA research from the NIH also are potentially subject to review by the Office of Biotechnology Activities’ Recombinant DNA Advisory Committee, or the RAC; however, the NIH announced that the RAC will only publicly review clinical trials if the trials cannot be evaluated by standard oversight bodies and pose unusual risks.</w:t>
      </w:r>
    </w:p>
    <w:p>
      <w:pPr>
        <w:spacing w:after="0" w:line="6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same applies in the European Union, or EU. The EMA’s Committee for Advanced Therapies, or CAT, is responsible for assessing the quality, safety and efficacy of advanced-therapy medicinal products. The role of the CAT is to prepare a draft opinion on an application for marketing authorization for a genetic medicinal candidate that is submitted to the CHMP before CHMP adopts its final opinion. In the EU, the development and evaluation of a genetic medicinal product must be considered in the context of the relevant EU guidelines. The EMA may issue new guidelines concerning the development and marketing authorization for genetic medicinal products and require that we comply with these new guidelines. As a result, the procedures and standards applied to genetic medicines and cell therapy products may be applied to any product candidates we may develop, but that remains uncertain at this point.</w:t>
      </w:r>
    </w:p>
    <w:p>
      <w:pPr>
        <w:spacing w:after="0" w:line="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As we advance any product candidates we may develop, we will be required to consult with these regulatory and advisory groups and comply with applicable guidelines. If we fail to do so, we may be required to delay or discontinue development of these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2" w:name="page93"/>
    <w:bookmarkEnd w:id="92"/>
    <w:p>
      <w:pPr>
        <w:spacing w:after="0" w:line="255" w:lineRule="auto"/>
        <w:rPr>
          <w:sz w:val="20"/>
          <w:szCs w:val="20"/>
          <w:color w:val="auto"/>
        </w:rPr>
      </w:pPr>
      <w:r>
        <w:rPr>
          <w:rFonts w:ascii="Times New Roman" w:cs="Times New Roman" w:eastAsia="Times New Roman" w:hAnsi="Times New Roman"/>
          <w:sz w:val="18"/>
          <w:szCs w:val="18"/>
          <w:color w:val="auto"/>
        </w:rPr>
        <w:t>Although the FDA decides whether individual genetic medicine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IBC as well as its IRB would need to review the proposed clinical trial to assess the safety of the trial. In addition, adverse developments in clinical trials of genetic medicine products conducted by others may cause the FDA or other oversight bodies to change the requirements for approval of any product candidates we may develop. Similarly, the EMA may issue new guidelines concerning the development and marketing authorization for genetic medicine products and require that we comply with these new guidelines.</w:t>
      </w:r>
    </w:p>
    <w:p>
      <w:pPr>
        <w:spacing w:after="0" w:line="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we are initially seeking to identify and develop product candidates to treat diseases using novel technologies, there is heightened risk that the FDA, the EMA or other regulatory authority may not consider the clinical trial endpoints that we propose to provide clinically meaningful results. Even if the endpoints are deemed clinically meaningful, we may not achieve these endpoints to a degree of statistical significance, particularly because many of the diseases we are targeting with our platform, including T-cell acute lymphoblastic leukemia, glycogen storage disorder and Stargardt disease, have small patient populations, making development of large and rigorous clinical trials more difficult.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 and only a limited number of gene therapy products have received marketing authorization or marketing approval from the European Commission or the FDA. Some of these products have taken years to register and have had to address significant issues in their post-marketing experience.</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Adverse developments in post-marketing experience or in clinical trials conducted by others of genetic medicines or cell therapy products may cause the FDA, the EMA, and other regulatory bodies to revise the requirements for development or approval of any product candidates we may develop or limit the use of products utilizing non-viral genetic medicinal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non-viral genetic medicine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8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ethical, social and legal concerns about genetic medicine,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any product candidates we may develop are unsafe or pose a hazard could prevent us from commercializing any products. New government requirements may be established that could delay or prevent regulatory approval of any product candidates we may develop under development. It is impossible to predict whether legislative changes will be enacted, regulations, policies or guidance changed, or interpretations by agencies or courts changed, or what the impact of such changes, if any, may be.</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we advance any product candidates we develop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7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93" w:name="page94"/>
    <w:bookmarkEnd w:id="93"/>
    <w:p>
      <w:pPr>
        <w:ind w:right="100"/>
        <w:spacing w:after="0" w:line="253" w:lineRule="auto"/>
        <w:rPr>
          <w:sz w:val="20"/>
          <w:szCs w:val="20"/>
          <w:color w:val="auto"/>
        </w:rPr>
      </w:pPr>
      <w:r>
        <w:rPr>
          <w:rFonts w:ascii="Times New Roman" w:cs="Times New Roman" w:eastAsia="Times New Roman" w:hAnsi="Times New Roman"/>
          <w:sz w:val="18"/>
          <w:szCs w:val="18"/>
          <w:color w:val="auto"/>
        </w:rPr>
        <w:t>Any product candidates we may develop and the activities associated with their development and commercialization, including their design, testing, manufacture, recordkeeping, labeling, storage, approval, advertising, promotion, sale, import, export, and distribution, are subject to comprehensive regulation by the FDA, the EMA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 parties to assist us in this process. Securing regulatory approval requires the submission of extensive preclinical and clinical data and supporting information to the various regulatory authorities for each therapeutic indication to establish the biological product candidate’s safety, purity, and potency. Securing regulatory approval also requires the submission of extensive information about the product manufacturing process,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under the Pediatric Research Equity Act, or PREA,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Pediatric Investigation Plan approved by the Pediatric Committee of the EMA or to obtain a waiver or deferral from the conduct of these studies by this Pediatric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5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market and sell any product candidates we may develop in the EU and other foreign jurisdictions, we or our third-party collaborators must obtain separate marketing approvals (a single one for the EU)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4" w:name="page95"/>
    <w:bookmarkEnd w:id="94"/>
    <w:p>
      <w:pPr>
        <w:ind w:right="80"/>
        <w:spacing w:after="0" w:line="253"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U.K. as a result of the withdrawal of the U.K. from the EU, commonly referred to as Brexit. The U.K. is no longer part of the European Single Market and EU Customs Union. As of January 1, 2021, the Medicines and Healthcare products Regulatory Agency, or MHRA, became responsible for supervising medicines and medical devices in Great Britain, or GB, comprising England, Scotland and Wales under domestic law, whereas under the terms of the Northern Ireland Protocol, Northern Ireland is currently subject to EU rules. The U.K. and EU have however agreed to the Windsor Framework which fundamentally changes the existing system under the Northern Ireland Protocol, including with respect to the regulation of medicinal products in the U.K. Once implemented, the changes introduced by the Windsor Framework will see the MHRA be responsible for approving all medicinal products destined for the U.K. market (i.e., GB and Northern Ireland), and the EMA will no longer have any role in approving medicinal products destined for Northern Ireland. Any delay in obtaining, or an inability to obtain, any marketing authorizations, as a result of Brexit or otherwise, may force us to restrict or delay efforts to seek regulatory approval in the U.K. for our product candidates, which could significantly and materially harm our business.</w:t>
      </w:r>
    </w:p>
    <w:p>
      <w:pPr>
        <w:spacing w:after="0" w:line="86" w:lineRule="exact"/>
        <w:rPr>
          <w:sz w:val="20"/>
          <w:szCs w:val="20"/>
          <w:color w:val="auto"/>
        </w:rPr>
      </w:pPr>
    </w:p>
    <w:p>
      <w:pPr>
        <w:ind w:firstLine="45"/>
        <w:spacing w:after="0" w:line="255"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7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any of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5" w:name="page96"/>
    <w:bookmarkEnd w:id="95"/>
    <w:p>
      <w:pPr>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7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 The FDA may also impose requirements for costly post-marketing studies or clinical trials and surveillance to monitor the safety or efficacy of a product.</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73"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6" w:name="page97"/>
    <w:bookmarkEnd w:id="96"/>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Finally, our ability to develop and market new drug products may be impacted by ongoing litigation challenging the FDA’s approval of mifepristone. Specifically, on April 7, 2023, the U.S. District Court for the Northern District of Texas stayed the approval by the FDA of mifepristone, a drug product which was originally approved in 2000 and whose distribution is governed by various conditions adopted under a REMS. In reaching that decision, the district court made a number of findings that may negatively impact the development, approval and distribution of drug products in the U.S. Among other determinations, the district court held that plaintiffs were likely to prevail in their claim that FDA had acted arbitrarily and capriciously in approving mifepristone without sufficiently considering evidence bearing on whether the drug was safe to use under the conditions identified in its labeling. Further, the district court read the standing requirements governing litigation in federal court as permitting a plaintiff to bring a lawsuit against the FDA in connection with its decision to approve an NDA or establish requirements under a REMS based on a showing that the plaintiff or its members would be harmed to the extent that FDA’s drug approval decision effectively compelled the plaintiffs to provide care for patients suffering adverse events caused by a given drug.</w:t>
      </w:r>
    </w:p>
    <w:p>
      <w:pPr>
        <w:spacing w:after="0" w:line="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April 12, 2023, the district court decision was stayed, in part, by the U.S. Court of Appeals for the Fifth Circuit. Thereafter, on April 21, 2023, the U.S. Supreme Court entered a stay of the district court’s decision, in its entirety, pending disposition of the appeal of the district court decision in the Court of Appeals for the Fifth Circuit and the disposition of any petition for a writ of certiorari to or the Supreme Court. The Court of Appeals for the Fifth Circuit held oral argument in the case on May 17, 2023 and, on August 16, 2023, issued its decision. The court declined to order the removal of mifepristone from the market, finding that a challenge to the FDA’s initial approval in 2000 is barred by the statute of limitations. But the court did hold that plaintiffs were likely to prevail in their claim that changes allowing for expanded access of mifepristone that FDA authorized in 2016 and 2021 were arbitrary and capricious. On September 8, 2023, the Justice Department and a manufacturer of mifepristone filed petitions for a writ of certiorari, requesting that asked the U.S. Supreme Court to review the decision of the Court of Appeals for the Fifth Circuit. On December 13, 2023, the Supreme Court granted these petitions for writ of certiorari for the appeals court decision.</w:t>
      </w:r>
    </w:p>
    <w:p>
      <w:pPr>
        <w:spacing w:after="0" w:line="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7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breakthrough, or regenerative medicine advanced therapy designation by the FDA may not actually lead to a faster development or regulatory review or approval process and does not assure FDA approval of any product candidates we may develop.</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FDA’s fast track, breakthrough, and regenerative medicine advanced therapy, or RMAT, programs are intended to expedite the development of certain qualifying products intended for the treatment of serious diseases and conditions. If a product candidate is intended for the treatment of a serious or life-threatening condition and preclinical or clinical data demonstrate the product’s potential to address an unmet medical need for this condition, the sponsor may apply for FDA fast track designation. A product candidate may be designated as a breakthrough therapy if it is intended to treat a serious or life-threatening condition and preliminary clinical evidence indicates that the product candidate may demonstrate substantial improvement over existing therapies on one or more clinically significant endpoints. A product candidate may receive RMAT designation if it is a regenerative medicine therapy that is intended to treat, modify, reverse or cure a serious or life-threatening condition, and preliminary clinical evidence indicates that the product candidate has the potential to address an unmet medical need for such condition. While we may seek fast track, breakthrough, and/or RMAT designation, there is no guarantee that we will be successful in obtaining any such designation. Even if we do obtain such designation, we may not experience a faster development process, review or approval compared to conventional FDA procedures. A fast track, breakthrough, or RMAT designation does not ensure that the product candidate will receive marketing approval or that approval will be granted within any particular timeframe. In addition, the FDA may withdraw fast track, breakthrough, or RMAT designation if it believes that the designation is no longer supported by data from our clinical development program. Fast track, breakthrough, and/or RMAT designation alone do not guarantee qualification for the FDA’s priority review procedures.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7" w:name="page98"/>
    <w:bookmarkEnd w:id="97"/>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8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our product candidates,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the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where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Disruptions at the FDA, EMA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In addition, disruptions may also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emergency related disruption occurs, it could significantly impact the ability of the FDA to timely review and process our regulatory submissions, which could have a material adverse effect on our business. Future emergency-related disruptions could also affect other government agencies such as the SEC, which may also impact our business by delaying review of our public filings, to the extent such review is necessary, and our ability to access the public markets.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8" w:name="page99"/>
    <w:bookmarkEnd w:id="98"/>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drug designation, in particular if the product is sufficiently profitable so that market exclusivity is no longer justified.</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FDA’s standards for granting orphan drug exclusivity in the gene therapy context are unclear and evolving. For example,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will determine whether two vectors from the same viral class are the same on a case-by-case basis and may consider additional key features in assessing sameness. In addition, in order for the FDA to grant orphan drug exclusivity to one of our product candidates, the agency must find that the product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Orphan drug exclusivity may also be lost if the FDA or EMA determines that the request for designation was materially defective or if the manufacturer is unable to assure sufficient quantity of the product to meet the needs of the patients with the rare disease or condition. In addition, even after an orphan drug is approved, the FDA can subsequently approve the same drug for the same condition if the FDA concludes that the later product candidate is clinically superior in that it is shown to be safer, more effective or makes a major contribution to patient care compared with the product that has orphan exclusivity.</w:t>
      </w:r>
    </w:p>
    <w:p>
      <w:pPr>
        <w:spacing w:after="0" w:line="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Further, under Omnibus legislation signed in December 2020, the requirement for a product to show clinical superiority applies to drugs and biologics that received orphan drug designation before enactment of FDARA in 2017, but have not yet been approved or licensed by the FDA.</w:t>
      </w:r>
    </w:p>
    <w:p>
      <w:pPr>
        <w:spacing w:after="0" w:line="7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This may be particularly true in light of a decision from the Court of Appeals for the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Circuit in September 2021 finding that, for the purpose of determining the scope of exclusivity, the term “same disease or condition” means the designated “rare disease or condition” and could not be interpreted by the agency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 We do not know if, when, or how the FDA or Congress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9" w:name="page100"/>
    <w:bookmarkEnd w:id="99"/>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including certain laws and regulations applicable only if we have marketed products, include the following:</w:t>
      </w:r>
    </w:p>
    <w:p>
      <w:pPr>
        <w:spacing w:after="0" w:line="75" w:lineRule="exact"/>
        <w:rPr>
          <w:sz w:val="20"/>
          <w:szCs w:val="20"/>
          <w:color w:val="auto"/>
        </w:rPr>
      </w:pPr>
    </w:p>
    <w:p>
      <w:pPr>
        <w:ind w:left="1020" w:right="18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67"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020" w:right="100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under the Healthcare Reform Act,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spacing w:after="0" w:line="71"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also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6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00" w:name="page101"/>
    <w:bookmarkEnd w:id="100"/>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and any future collaborators to obtain marketing approval of and commercialize our product candidates and affect the prices we, or they, may obtain.</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any product candidates we may develop,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March 2010, the United States Congress enacted the 2010 Patient Protection and Affordable Care Act, or the PPACA. 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7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Other legislative changes have been adopted since the PPACA was enacted, including aggregate reductions to Medicare payments to providers of up to 2% per fiscal year, which went into effect in April 2013 and will remain in effect through 2031. Under current legislation, the actual reductions in Medicare payments may vary up to 4%. The Consolidated Appropriations Act, or CAA, which was signed into law by President Biden in December 2022, made several changes to sequestration of the Medicare program. Section 1001 of the CAA delays the 4% Statutory Pay-As-You-Go Act of 2010, or PAYGO, sequester for two years, through the end of calendar year 2024. Triggered by the enactment of the American Rescue Plan Act of 2021, the 4% cut to the Medicare program would have taken effect in January 2023. The CAA’s health care offset title includes Section 4163, which extends the 2% Budget Control Act of 2011 Medicare sequester for six months into fiscal year 2032 and lowers the payment reduction percentages in fiscal years 2030 and 2031.</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Act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spacing w:after="0" w:line="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January 2021, a new executive order directed federal agencies to reconsider rules and other policies that limit Americans’ access to healthcare and consider actions that will protect and strengthen that access. Under this order, federal agencies are directed to re-examine: policies that undermine protections for people with pre-existing conditions; demonstrations and waivers under Medicaid and the PPACA that may reduce coverage or undermine the programs, including work requirements; policies that undermine the Health Insurance Marketplace or other markets for health insurance; policies that make it more difficult to enroll in Medicaid and under the PPACA; and policies that reduce affordability of coverage or financial assistance, including for dependents.</w:t>
      </w:r>
    </w:p>
    <w:p>
      <w:pPr>
        <w:spacing w:after="0" w:line="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the EU,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01" w:name="page102"/>
    <w:bookmarkEnd w:id="101"/>
    <w:p>
      <w:pPr>
        <w:spacing w:after="0" w:line="254"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Nine states (Colorado, Florida, Maine, New Hampshire, New Mexico, North Dakota, Texas, Vermont and Wisconsin) have passed laws allowing for the importation of drugs from Canada. Certain of these states have submitted Section 804 Importation Program proposals and are awaiting FDA approval. On January 5, 2023, the FDA approved Florida’s plan for Canadian drug importation.</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IRA further delayed implementation of this rule to January 1, 2032.</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Infrastructure Investment and Jobs Act to January 1, 2026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2026 by the Infrastructure Investment and Jobs Act.</w:t>
      </w:r>
    </w:p>
    <w:p>
      <w:pPr>
        <w:spacing w:after="0" w:line="8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In September 2021, acting pursuant to an executive order signed by President Biden,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2" w:name="page103"/>
    <w:bookmarkEnd w:id="102"/>
    <w:p>
      <w:pPr>
        <w:ind w:right="80"/>
        <w:spacing w:after="0" w:line="255" w:lineRule="auto"/>
        <w:rPr>
          <w:sz w:val="20"/>
          <w:szCs w:val="20"/>
          <w:color w:val="auto"/>
        </w:rPr>
      </w:pPr>
      <w:r>
        <w:rPr>
          <w:rFonts w:ascii="Times New Roman" w:cs="Times New Roman" w:eastAsia="Times New Roman" w:hAnsi="Times New Roman"/>
          <w:sz w:val="18"/>
          <w:szCs w:val="18"/>
          <w:color w:val="auto"/>
        </w:rPr>
        <w:t>More recently, 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Pharmaceutical Research and Manufacturers of America, Novo Nordisk, Inc., Janssen Pharmaceuticals, Inc., Novartis AG, AstraZeneca plc and Boehringer Ingelheim International GMBH, also filed lawsuits in various courts with similar constitutional claims against HHS and CMS. We expect that litigation involving these and other provisions of the IRA will continue, with unpredictable and uncertain results.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the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of 1980.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7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103" w:name="page104"/>
    <w:bookmarkEnd w:id="103"/>
    <w:p>
      <w:pPr>
        <w:ind w:right="40"/>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markets outside of the United States and the EU, reimbursement and healthcare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5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Similarly, the U.K. Bribery Act 2010 has extra-territorial effect for companies and individuals having a connection with the U.K.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04" w:name="page105"/>
    <w:bookmarkEnd w:id="104"/>
    <w:p>
      <w:pPr>
        <w:spacing w:after="0" w:line="253"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subject to a wide variety of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EU and U.K. and other countries around the world.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 In addition, these laws and regulations may impose additional costs on our business activities, including costs of contracting with vendors and other business partners and the costs of identifying appropriate patients for clinical trials or subsequent treatment.</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individually identifiable health information, we could be found to have breached our contracts. Further, if we fail to comply with applicable privacy laws, we could face civil and criminal penalties or other enforcement risks related to our business. In addition to these potential penalties,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present new risks and challenges to our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If any of these events were to occur or we otherwise fail to comply with applicable regulations, we could incur liability, face restrictive regulatory actions or incur other harm to our business including quick and irreversible damage to our reputation, brand image and goodwill.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information technology</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acquire businesses or technologies, and if we do not successfully do so, or otherwise fail to integrate any new businesses or technologies into our operations, we may have limited growth opportunities and it could result in significant impairment charges or other adverse financial consequences.</w:t>
      </w:r>
    </w:p>
    <w:p>
      <w:pPr>
        <w:spacing w:after="0" w:line="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continuing to seek to acquire businesses or technologies that we believe are a strategic fit with our business strategy. Future acquisitions, however, may entail numerous operational and financial risks, including:</w:t>
      </w:r>
    </w:p>
    <w:p>
      <w:pPr>
        <w:spacing w:after="0" w:line="54"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our current financial resources;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 and in connection with future milestone payment obligations under such acquisition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development activities for those acquired or in-licensed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customer base and diversion of our management’s time and attention to develop acquired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not have sufficient resources to identify and execute the acquisition businesses and technologies and integrate them into our current infrastructure. In particular, we may compete with larger biotechnology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 candidates and the companies which we acquire that may create conflicts in relationships or other commitments detrimental to the integrated businesses. Additionally, the time between our expenditures to acquire or in-license new technologies or businesses and the subsequent generation of revenues from those acquired technologies or businesses (or the timing of revenue recognition related to licensing agreements and/or strategic collaborations) could cause fluctuations in our financial performance from period to period. Finally, if we devote resources to potential acquisition opportunities that are never completed, or if we fail to realize the anticipated benefits of those efforts, we could incur significant impairment charges or other adverse financial consequences.</w:t>
      </w:r>
    </w:p>
    <w:p>
      <w:pPr>
        <w:spacing w:after="0" w:line="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Chief Executive Officer, President and other key executives and to attract, retain, and motivate qualified personnel.</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highly dependent on John Evans, our Chief Executive Officer, and Dr. Giuseppe Ciaramella, our President, as well as the other principal members of our management and scientific teams. Mr. Evans, Dr. Ciaramella and such other principal members are employed “at will,” meaning we or they may terminate their employment at any time. We do not maintain “key person” insurance for any of our executives or other employees. The loss of the services of any of these persons could impede the achievement of our research, development, and commercialization objectives.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6" w:name="page107"/>
    <w:bookmarkEnd w:id="106"/>
    <w:p>
      <w:pPr>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Our recently announced portfolio prioritization and strategic restructuring will result in the loss of personnel with deep institutional or technical knowledge. Further, the transition could potentially disrupt our operations and relationships with employees, suppliers and partners due to added costs, operational inefficiencies, decreased employee morale and productivity and increased turnover. Furthermore, these personnel changes may increase our dependency on the other members of our leadership team and other employees that remain with us, who are not contractually obligated to remain employed with us and may leave at any time. Any such departure could be particularly disruptive and, to the extent we experience additional turnover, competition for top talent is high such that we may be delayed in identifying and hiring candidates that meet our requirements. Our competitors may seek to use these transitions and the related potential disruptions to gain a competitive advantage over us. There is currently a shortage of highly qualified personnel in our industry, which is likely to continue. Additionally, this shortage of highly qualified personnel is particularly acute in the area where we are located.</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7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growth and advancement of our pipeline, we expect to increase the number of our employees and the scope of our operations in the areas of drug development, regulatory affairs, and sales and marketing. To manage our anticipated future growth in these areas,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an early-stage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any future growth,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 and subject us to securities class action litigation.</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your initial purchase price. The market price for our common stock may be influenced by many factors, including:</w:t>
      </w:r>
    </w:p>
    <w:p>
      <w:pPr>
        <w:spacing w:after="0" w:line="72"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for any product candidates that we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7" w:name="page108"/>
    <w:bookmarkEnd w:id="107"/>
    <w:p>
      <w:pPr>
        <w:ind w:left="1020" w:right="2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changing views regarding the use of genetic medicines, including those that involve gene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clinical development programs, or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any future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pandemics and public health emergencies;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Maintaining adequate internal financial and accounting controls and procedures to ensure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To comply with the requirements of being a public company, we have undertaken certain actions, such as documenting, reviewing and improving our internal controls and procedures for compliance with Section 404 of the Sarbanes-Oxley Act of 2002, or SOX, which requires annual management assessment of the effectiveness of our internal control over financial reporting and an annual report on and attestation to such assessment by our registered public accounting firm. Notwithstanding such actions, we may not be effective in maintaining the adequacy of our internal controls, and any failure to maintain that adequacy, or consequent inability to produce accurate financial statements on a timely basis, or any disagreement with our auditors on whether we have maintained such adequacy, could increase our operating costs and harm our business. In addition, investors’ perceptions that our internal controls are inadequate or that we are unable to produce accurate financial statements on a timely basis may harm our common stock price and make it more difficult for us to effectively market and sell our service to new and existing customers.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8" w:name="page109"/>
    <w:bookmarkEnd w:id="108"/>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towards maintaining compliance with these requirements. These requirements have increased our legal and financial compliance costs and make some activities more time-consuming and costly. For example, as a public company it is more difficult and more expensive for us to maintain director and officer liability insurance, which could make it more difficult for us to attract and retain qualified members of our board of directors.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 unless they sell our common stock for a price higher than which they paid for it.</w:t>
      </w:r>
    </w:p>
    <w:p>
      <w:pPr>
        <w:spacing w:after="0" w:line="51"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w:t>
      </w:r>
    </w:p>
    <w:p>
      <w:pPr>
        <w:spacing w:after="0" w:line="5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fourth amended certificate of incorporation, our second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fourth amended certificate of incorporation, or our certificate of incorporate, and our second amended and restated by-laws, or our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certificate of incorporation and by-laws include provisions that:</w:t>
      </w:r>
    </w:p>
    <w:p>
      <w:pPr>
        <w:spacing w:after="0" w:line="72" w:lineRule="exact"/>
        <w:rPr>
          <w:sz w:val="20"/>
          <w:szCs w:val="20"/>
          <w:color w:val="auto"/>
        </w:rPr>
      </w:pPr>
    </w:p>
    <w:p>
      <w:pPr>
        <w:ind w:left="1020" w:right="44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authorized our board of directors to make, alter, amend or repeal our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certificate of incorporation and by-laws.</w:t>
      </w:r>
    </w:p>
    <w:p>
      <w:pPr>
        <w:spacing w:after="0" w:line="117"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for shares of our common stock, thereby depressing the market price of our common stock.</w:t>
      </w:r>
    </w:p>
    <w:p>
      <w:pPr>
        <w:spacing w:after="0" w:line="5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General Corporation Law of the State of Delaware,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9" w:name="page110"/>
    <w:bookmarkEnd w:id="109"/>
    <w:p>
      <w:pPr>
        <w:ind w:right="120"/>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6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certificate of incorporation or our by-laws, (4) any action to interpret, apply, enforce or determine the validity of our certificate of incorporation or our by-laws or (5) any other action asserting a claim against us that is governed by the internal affairs doctrine. Furthermore, our by-laws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and by-laws described above. These choice of forum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or by-laws inapplicable to, or unenforceable in respect of, one or more of the specified types of actions or proceedings, we may incur additional costs associated with resolving such matters in other jurisdictions, which could adversely affect our business and financial condition. For example, the Court of Chancery of the State of Delaware recently determined that a provision stating that federal district courts of the United States are the exclusive forum for resolving any complaint asserting a cause of action under the Securities Act is not enforceable. However, this decision may be reviewed and ultimately overturned by the Delaware Supreme Court.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emergencies or epidemics could adversely impact our business.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Public health emergencies or epidemics could materially and adversely affect our business and our financial results and could cause a disruption to the development of our product candidates. The extent to any such public health emergency may impact our business, results of operations and future growth prospects will depend on a variety of factors, including the duration, scope and severity of the emergency, the existence and extent of travel restrictions and social distancing in the U.S. and other countries, business closures or business disruptions, the effectiveness of actions taken in the U.S. and other countries, and the availability of therapeutic interventions.</w:t>
      </w:r>
    </w:p>
    <w:p>
      <w:pPr>
        <w:spacing w:after="0" w:line="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Some factors from public health emergencies that could delay or otherwise adversely affect the completion of our preclinical and clinical activities and, depending on the duration of the outbreak, the initiation of any future clinical trials, as well as our business generally, include:</w:t>
      </w:r>
    </w:p>
    <w:p>
      <w:pPr>
        <w:spacing w:after="0" w:line="54" w:lineRule="exact"/>
        <w:rPr>
          <w:sz w:val="20"/>
          <w:szCs w:val="20"/>
          <w:color w:val="auto"/>
        </w:rPr>
      </w:pPr>
    </w:p>
    <w:p>
      <w:pPr>
        <w:ind w:left="1020" w:right="320" w:hanging="503"/>
        <w:spacing w:after="0" w:line="258"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sites and other important agencies and contractors;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availability of preclinical and clinical trial sites, researchers and investigators, regulatory agency personnel, and materials;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business operations by local, state, or the federal government that could impact our ability to conduct our preclinical and clinical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hinder our timelines;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shipping affecting the transport of key materials;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key materials from our CMOs due to staffing shortages, production slowdowns or stoppages, increased demand from third parties for key materials and disruptions in delivery systems;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third-party suppliers, including through the effects of facility closures, reductions in operating hours, staggered shifts and other social distancing efforts, labor shortages, decreased productivity and unavailability of materials or components.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0" w:name="page111"/>
    <w:bookmarkEnd w:id="110"/>
    <w:p>
      <w:pPr>
        <w:ind w:right="120"/>
        <w:spacing w:after="0" w:line="266" w:lineRule="auto"/>
        <w:rPr>
          <w:sz w:val="20"/>
          <w:szCs w:val="20"/>
          <w:color w:val="auto"/>
        </w:rPr>
      </w:pPr>
      <w:r>
        <w:rPr>
          <w:rFonts w:ascii="Times New Roman" w:cs="Times New Roman" w:eastAsia="Times New Roman" w:hAnsi="Times New Roman"/>
          <w:sz w:val="18"/>
          <w:szCs w:val="18"/>
          <w:color w:val="auto"/>
        </w:rPr>
        <w:t>Public health emergencies may also have the effect of heightening many of the other risks described in this section titled “Item 1A. Risk Factors,” such as risks related to our need to raise additional funding, fluctuation of our quarterly financial results, and our ability to obtain and maintain regulatory approvals.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Recent changes or future changes in tax law may adversely affect our business or financial condition. On December 22, 2017, the Tax Act was signed into law. The Tax Act, as amended by the CARES Act, among other things, contains significant changes to corporate taxation, including the reduction of the corporate tax rate from a top marginal rate of 35% to a flat rate of 21% and the limitation of the deduction for net operating losses to 80% of current year taxable income in respect of net operating losses generated during or after 2018. Any federal net operating loss incurred in 2018 and in future years may now be carried forward indefinitely pursuant to the Tax Act, but can no longer be carried back. Similar rules and limitations may apply for state income tax proposes.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Tax Act, as part of Congress’ response to the COVID-19 pandemic, economic relief legislation was enacted in 2020 and 2021 containing tax provisions, including the CARES Act and the Inflation Reduction Act, or the IRA, which was signed into law in August 2022, introduced a number of new tax provisions. The IRA in particular includes a one percent excise tax imposed on certain stock repurchases by publicly traded companies, which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Regulatory guidance under the Tax Act and such additional legislation is and continues to be forthcoming, and such guidance could ultimately increase or lessen the impact of these laws on our business and financial condition. In addition, it is uncertain if and to what extent various states will conform to the Tax Act and this additional tax legislation.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disruptions impacting global supply, the conflict between Russia and Ukraine and related sanctions against Russia, increasing inflation rates and interest rate changes.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111" w:name="page112"/>
    <w:bookmarkEnd w:id="111"/>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through our information security program and relevant contractual agreements with our business partners, if such an event were to occur and cause interruptions in our operations, it could result in a disruption of our development programs and our business operations, whether due to a loss of our trade secrets or other proprietary information or other disruptions, including the possible loss of personal data. For example, the loss of clinical trial data from future clinical trials could result in delays in our regulatory approval efforts and significantly increase our costs to recover or reproduce the data, as well as subject us to obligations and risks related to the potential loss of personal data. If we were to experience a significant cybersecurity breach of our information systems or data, the costs associated with the investigation, remediation and potential notification of the breach to counterparties and data subjects could be material, in addition to potential costs related to regulatory investigations in the United States or other countries.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overall risk management program/information technology function and are designed to help protect our information assets and operations from internal and external cyber threats, protect employee and clinical trial information from unauthorized access or attack, as well as secure our networks and systems. Such processes include physical, procedural and technical safeguards, response plans, regular tests on our systems, incident simulations and routine review of our policies and procedures to identify risks and enhance our practices. We engage certain external parties, including consultants, independent privacy assessors, computer security firms and risk management, peer companies, industry groups and governance experts, to enhance our cybersecurity oversight. We consider the internal risk oversight programs of third-party service providers before engaging them in order to help protect our company from any related vulnerabilities.</w:t>
      </w:r>
    </w:p>
    <w:p>
      <w:pPr>
        <w:spacing w:after="0" w:line="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do not believe that there are currently any known risks from cybersecurity threats that are reasonably likely to materially affect our company or our business strategy, results of operations or financial condition.</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provides direct oversight over cybersecurity risk, and provides updates to the board of directors regarding such oversight. The Audit Committee receives updates quarterly from management regarding cybersecurity matters, and is notified between such updates regarding significant new cybersecurity threats or incidents.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Vice President of Information Security, or the VP, IS, leads the operational oversight of company-wide cybersecurity strategy, policy, standards and processes and works across relevant departments to assess and help prepare us and our employees and third-party service providers to address cybersecurity risks. The VP, IS’s cybersecurity training includes 25 years of experience building and maintaining cybersecurity programs, and he obtained his certified information systems security professional, or CISSP, certification from the International Information System Security Certification Consortium, or ISC2, and his Cybersecurity and Infrastructure Security Agency, or CISA, certification from ISACA.</w:t>
      </w:r>
    </w:p>
    <w:p>
      <w:pPr>
        <w:spacing w:after="0" w:line="7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an effort to deter and detect cyber threats, we annually provide all employees, including part-time and temporary employees, with a data protection, cybersecurity and incident response and prevention training and compliance program, which covers timely and relevant topics, including social engineering, phishing, password protection, confidential data protection, asset use and mobile security, and educate employees on the importance of reporting all incidents immediately. We also use technology-based tools to mitigate cybersecurity risks and to bolster our employee-based cybersecurity programs.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leased approximately 38,203 square feet of office and laboratory space in Cambridge, Massachusetts under a lease that expires in 2028 and approximately 130,258 square feet of office and laboratory space in Cambridge, Massachusetts under a lease that expires in 2034. Additionally, we entered into a lease agreement with Alexandria Real Estate Equities, Inc. pursuant to which we built a 100,000 square foot manufacturing facility in Research Triangle Park, North Carolina intended to support a broad range of clinical programs. The lease will expire on the fifteenth anniversary of our occupancy of the facility, which occurred in December 2022, and we have an option to extend the lease term for two five-year terms. We believe that our facilities are sufficient to meet our current needs and that suitable additional space will be available as and when needed.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subject to various legal proceedings and claims that arise in the ordinary course of our business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13" w:name="page114"/>
    <w:bookmarkEnd w:id="11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6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“BEAM” since February 6, 2020. Prior to that time, there was no public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February 20, 2024, there were approximately 33 holders of record of our common stock. This number does not include beneficial owners whose shares are held by nominees in street name.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2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08" w:right="6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shares of common stock between February 6, 2020 (the date of our initial public offering) and December 31, 2023, with the cumulative total return of (a) the Nasdaq Biotechnology Index and (b) the Nasdaq Composite Index, over the same period. This graph assumes the investment of $100 on February 6, 2020 in our common stock, the Nasdaq Biotechnology Index and the Nasdaq Composite Index and assumes the reinvestment of dividends, if any. The graph uses the closing sales price of our common stock of $18.75 per share on February 6, 2020 as the initial value of our common stock and not the initial offering price to the public of $17.00 per share. The comparisons shown in the graph below are based upon historical data.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172200" cy="511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2200" cy="511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6"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Neither we nor any affiliated purchaser or anyone acting on our behalf or on behalf of an affiliated purchaser made any purchases of shares of our common stock during the fourth quarter of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6" w:right="3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Information pertaining to fiscal year 2021 was included in our Annual Report on Form 10-K for the year ended December 31, 2022 on pages 120 through 126 under Part II, Item 7, “Management’s Discussion and Analysis of Financial Position and Results of Operations,” which was filed with the Securities and Exchange Commission (the “SEC”) on February 28,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w:t>
      </w:r>
    </w:p>
    <w:p>
      <w:pPr>
        <w:spacing w:after="0" w:line="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w:t>
      </w:r>
    </w:p>
    <w:p>
      <w:pPr>
        <w:spacing w:after="0" w:line="2" w:lineRule="exact"/>
        <w:rPr>
          <w:sz w:val="20"/>
          <w:szCs w:val="20"/>
          <w:color w:val="auto"/>
        </w:rPr>
      </w:pPr>
    </w:p>
    <w:p>
      <w:pPr>
        <w:ind w:right="20" w:firstLine="8"/>
        <w:spacing w:after="0" w:line="252"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with the potential to dramatically increase the impact of gene editing. We are also pursuing a suite of both delivery modalities, including both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approaches, depending on tissue type. The elegance of the base editing approach, combined with a tissue specific delivery modality,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the basis for a targeted, efficient, precise, and highly versatile gene editing system that is designed to be capable of gene correction, gene silencing or gene activation, gene modification, and/or multiplex editing of several genes simultaneously.</w:t>
      </w:r>
    </w:p>
    <w:p>
      <w:pPr>
        <w:spacing w:after="0" w:line="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Our goal is to advance a broad, diversified portfolio of base editing programs against distinct, genetically validated editing targets, as well as an innovative, platform business model that will expand the reach of our programs to more patients. Overall, we are seeking to build the leading integrated platform for precision genetic medicine, which may have broad therapeutic applicability and the potential to transform the field of precision genetic medicines.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 xml:space="preserve">Due to the critical importance of high-quality manufacturing and control of production timing and know-how, we have established a 100,000 square foot manufacturing facility in Research Triangle Park, North Carolina intended to support a broad range of clinical programs. The facility, which initiated cGMP operations in late 2023, is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and liver-mediated diseases, with the capability to scale-up to support potential commercial supply. For our initial clinical trials, we expect to rely primarily on our internal manufacturing capabilities, along with CMOs with relevant manufacturing experience in genetic medicines. We believe this investment will maximize the value of our portfolio and capabilities, the probability of technical success of our programs, and the speed at which we can provide potentially life-long cures to patients.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February 2021, we acquired Guide Therapeutics, Inc., or Guide, for upfront consideration in an aggregate amount of $120.0 million, excluding customary purchase price adjustments, in shares of our common stock, based upon the volume-weighted average price of the common stock over the ten trading-day period ending on February 19, 2021. In addition, Guide’s former stockholders and optionholders are eligible to receive up to an additional $100.0 million in technology milestone payments and $220.0 million in product milestone payments, payable in our common stock.</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were founded in January 2017 and began operations in July 2017.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To date, we have financed our operations primarily through the sales of our redeemable convertible preferred stock, proceeds from offerings of our common stock and payments received under collaboration and license agreements.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an early-stage company, and the majority of our programs are at a preclinical or early clinical stage of development. To date, we have not generated any revenue from product sales and do not expect to generate revenue from the sale of products for the foreseeable future. Our revenue to date has been primarily derived from license and collaboration agreements with partners. Since inception we have incurred significant operating losses. Our net losses for the years ended December 31, 2023, 2022 and 2021 were $132.5 million, $289.1 million and $370.6 million, respectively. As of December 31, 2023, we had an accumulated deficit of $1.2 billion. We expect to continue to incur significant expenses and increasing operating losses in connection with ongoing development activities related to our internal programs and collaborations as we continue our preclinical and clinical development of product candidates; advance additional product candidates toward clinical development; operate our cGMP facility in North Carolina; further develop our base editing platform; continue to make investments in delivery technology for our base editors, including the LNP technology we acquired through our acquisition of Guide; conduct research activities as we seek to discover and develop additional product candidates; maintain, expand, enforce, defend and protect our intellectual property portfolio; and continue to hire research and development, clinical, technical operations and commercial personnel. In addition, we expect to continue to incur the costs associated with operating as a public company.</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of these anticipated expenditures, we will need to raise additional capital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capital to support our operations, or, if such capital is available to us, that such additional capital will be sufficient to meet our needs for the short or long term.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April 2019, we entered into a collaboration and license agreement, or the Verve Agreement, with Verve Therapeutics, Inc., or Verve, a company focused on gene editing for cardiovascular disease treatments. In June 2021, we entered into a research collaboration agreement, or the Apellis Agreement, with Apellis Pharmaceuticals, Inc., or Apellis, focused on the use of certain of our base editing technology to discover new treatments for complement system-driven diseases. In October 2021, we entered into an option and license agreement, or the Sana Agreement, with Sana Biotechnology, Inc., or Sana, pursuant to which we granted Sana non-exclusive research and development and commercial rights to our CRISPR Cas12b technology to perform nuclease editing for certain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engineered cell therapy programs. In December 2021, we entered into a four-year research collaboration agreement, or the Pfizer Agreement, with Pfizer Inc., or Pfizer, focused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three targets for rare genetic diseases of the liver, muscle and central nervous system. In September 2022, we entered into a License and Research Collaboration Agreement, or the Orbital Agreement, with Orbital Therapeutics, Inc., or Orbital, a newly formed entity focused on advancing non-viral delivery and RNA technologies. In October 2023, we entered into a Transfer and Delegation Agreement, or the Lilly Agreement, with Eli Lilly and Company, or Lilly, pursuant to which Lilly acquired certain assets and other rights under our amended collaboration and license agreement, or the Verve Agreement, with Verve Therapeutics, Inc., or Verve, including our opt-in rights to co-develop and co-commercialize Verve’s base editing programs for cardiovascular disease.</w:t>
      </w:r>
    </w:p>
    <w:p>
      <w:pPr>
        <w:spacing w:after="0" w:line="109"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We have not generated any revenue to date from product sales and do not expect to do so in the near future. During the years ended December 31, 2023, 2022, and 2021, we recognized $377.7 million, $60.9 million and $51.8 million respectively, of revenue from our license and collaboration agreements.</w:t>
      </w:r>
    </w:p>
    <w:p>
      <w:pPr>
        <w:spacing w:after="0" w:line="3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see Note 2 and Note 11 of the notes to our audited consolidated financial statements included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which include:</w:t>
      </w:r>
    </w:p>
    <w:p>
      <w:pPr>
        <w:spacing w:after="0" w:line="117" w:lineRule="exact"/>
        <w:rPr>
          <w:sz w:val="20"/>
          <w:szCs w:val="20"/>
          <w:color w:val="auto"/>
        </w:rPr>
      </w:pPr>
    </w:p>
    <w:p>
      <w:pPr>
        <w:ind w:left="5500" w:right="80" w:hanging="4983"/>
        <w:spacing w:after="0" w:line="532" w:lineRule="auto"/>
        <w:tabs>
          <w:tab w:leader="none" w:pos="103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clinical trials, including contract research organization costs and costs related to study preparation;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18" w:name="page119"/>
    <w:bookmarkEnd w:id="118"/>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materials for use in our preclinical studies, IND-enabling studies and clinical trials;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investments in delivery technology for our base editors, including the LNP technology we acquired through our acquisition of Guide;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obtain licenses to intellectual property, such as those with Harvard University, or Harvard, The Broad Institute, Inc., or Broad Institute, Editas Medicine, Inc., or Editas, and Bio Palette Co., Ltd., or Bio Palette, and related future payments should certain success, development and regulatory milestones be achieved;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building of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regulatory filings;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external research and development expenses support our various preclinical and clinical programs. Our internal research and development expenses consist of employee-related expenses, facility-related expenses, and other indirect research and development expenses incurred in support of overall research and development. 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early phases of development, our research and development costs are often devoted to product platform and proof-of-concept preclinical studies that are not necessarily allocable to a specific target.</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through their planned preclinical and clinical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intellectual property, business development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our increased research and development activities. We also expect to continue to incur costs associated with being a public company and maintaining controls over financial reporting, including costs of accounting, audit, legal, regulatory and tax-related services associated with maintaining compliance with Nasdaq and SEC requirements, director and officer insurance costs, and investor and public relations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expenses consist of the following items:</w:t>
      </w:r>
    </w:p>
    <w:p>
      <w:pPr>
        <w:spacing w:after="0" w:line="115" w:lineRule="exact"/>
        <w:rPr>
          <w:sz w:val="20"/>
          <w:szCs w:val="20"/>
          <w:color w:val="auto"/>
        </w:rPr>
      </w:pPr>
    </w:p>
    <w:p>
      <w:pPr>
        <w:ind w:left="1020" w:right="20" w:hanging="503"/>
        <w:spacing w:after="0" w:line="267"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derivative liabilities </w:t>
      </w:r>
      <w:r>
        <w:rPr>
          <w:rFonts w:ascii="Times New Roman" w:cs="Times New Roman" w:eastAsia="Times New Roman" w:hAnsi="Times New Roman"/>
          <w:sz w:val="18"/>
          <w:szCs w:val="18"/>
          <w:color w:val="auto"/>
        </w:rPr>
        <w:t>consists primarily of remeasurement gains or losses associated with changes in success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associated with our license agreement with Harvard, dated as of June 27, 2017, as amended, or the Harvard License Agreement, and the license agreement with The Broad Institute, as amended, dated as of May 9, 2018, or the Broad License Agreement.</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non-controlling equity investments </w:t>
      </w:r>
      <w:r>
        <w:rPr>
          <w:rFonts w:ascii="Times New Roman" w:cs="Times New Roman" w:eastAsia="Times New Roman" w:hAnsi="Times New Roman"/>
          <w:sz w:val="18"/>
          <w:szCs w:val="18"/>
          <w:color w:val="auto"/>
        </w:rPr>
        <w:t>consists of changes in the fair value of our investments in equity securities.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4"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contingent consideration liabilities </w:t>
      </w:r>
      <w:r>
        <w:rPr>
          <w:rFonts w:ascii="Times New Roman" w:cs="Times New Roman" w:eastAsia="Times New Roman" w:hAnsi="Times New Roman"/>
          <w:sz w:val="18"/>
          <w:szCs w:val="18"/>
          <w:color w:val="auto"/>
        </w:rPr>
        <w:t>consists of remeasurement of the fair market value of the technology and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liabilities related to the acquisition of Guide.</w:t>
      </w:r>
    </w:p>
    <w:p>
      <w:pPr>
        <w:spacing w:after="0" w:line="50" w:lineRule="exact"/>
        <w:rPr>
          <w:rFonts w:ascii="Times New Roman" w:cs="Times New Roman" w:eastAsia="Times New Roman" w:hAnsi="Times New Roman"/>
          <w:sz w:val="18"/>
          <w:szCs w:val="18"/>
          <w:color w:val="auto"/>
        </w:rPr>
      </w:pPr>
    </w:p>
    <w:p>
      <w:pPr>
        <w:ind w:left="1020" w:right="360" w:hanging="503"/>
        <w:spacing w:after="0" w:line="284"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other income (expense), net </w:t>
      </w:r>
      <w:r>
        <w:rPr>
          <w:rFonts w:ascii="Times New Roman" w:cs="Times New Roman" w:eastAsia="Times New Roman" w:hAnsi="Times New Roman"/>
          <w:sz w:val="18"/>
          <w:szCs w:val="18"/>
          <w:color w:val="auto"/>
        </w:rPr>
        <w:t>consists primarily of interest income from our investments in fixed income securities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related to our equipment financings.</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discussion of 2022 results and comparison with 2021 results, refer to Part II, Item 7, “Management’s Discussion and Analysis of Financial Condition and Results of Operations” in our Annual Report on Form 10-K for the fiscal year ended December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377,709</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60,920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316,789</w:t>
            </w: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437,381</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311,594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125,787</w:t>
            </w:r>
          </w:p>
        </w:tc>
        <w:tc>
          <w:tcPr>
            <w:tcW w:w="0" w:type="dxa"/>
            <w:vAlign w:val="bottom"/>
          </w:tcPr>
          <w:p>
            <w:pPr>
              <w:spacing w:after="0"/>
              <w:rPr>
                <w:sz w:val="1"/>
                <w:szCs w:val="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116,813</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87,805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29,008</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554,194</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399,399</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154,795</w:t>
            </w:r>
          </w:p>
        </w:tc>
        <w:tc>
          <w:tcPr>
            <w:tcW w:w="0" w:type="dxa"/>
            <w:vAlign w:val="bottom"/>
          </w:tcPr>
          <w:p>
            <w:pPr>
              <w:spacing w:after="0"/>
              <w:rPr>
                <w:sz w:val="1"/>
                <w:szCs w:val="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(176,485 )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(338,479 )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161,994</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23,900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(16,400 )</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(18,592 )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20,200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(38,792 )</w:t>
            </w:r>
          </w:p>
        </w:tc>
        <w:tc>
          <w:tcPr>
            <w:tcW w:w="0" w:type="dxa"/>
            <w:vAlign w:val="bottom"/>
          </w:tcPr>
          <w:p>
            <w:pPr>
              <w:spacing w:after="0"/>
              <w:rPr>
                <w:sz w:val="1"/>
                <w:szCs w:val="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9,740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18,904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(9,164 )</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46,676</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15,297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31,379</w:t>
            </w:r>
          </w:p>
        </w:tc>
        <w:tc>
          <w:tcPr>
            <w:tcW w:w="0" w:type="dxa"/>
            <w:vAlign w:val="bottom"/>
          </w:tcPr>
          <w:p>
            <w:pPr>
              <w:spacing w:after="0"/>
              <w:rPr>
                <w:sz w:val="1"/>
                <w:szCs w:val="1"/>
                <w:color w:val="auto"/>
              </w:rPr>
            </w:pPr>
          </w:p>
        </w:tc>
      </w:tr>
      <w:tr>
        <w:trPr>
          <w:trHeight w:val="237"/>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45,324</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78,301</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(32,977 )</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(131,161 )</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(260,178 )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129,017</w:t>
            </w:r>
          </w:p>
        </w:tc>
        <w:tc>
          <w:tcPr>
            <w:tcW w:w="0" w:type="dxa"/>
            <w:vAlign w:val="bottom"/>
          </w:tcPr>
          <w:p>
            <w:pPr>
              <w:spacing w:after="0"/>
              <w:rPr>
                <w:sz w:val="1"/>
                <w:szCs w:val="1"/>
                <w:color w:val="auto"/>
              </w:rPr>
            </w:pPr>
          </w:p>
        </w:tc>
      </w:tr>
      <w:tr>
        <w:trPr>
          <w:trHeight w:val="237"/>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(25,500 )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25,500</w:t>
            </w:r>
          </w:p>
        </w:tc>
        <w:tc>
          <w:tcPr>
            <w:tcW w:w="0" w:type="dxa"/>
            <w:vAlign w:val="bottom"/>
          </w:tcPr>
          <w:p>
            <w:pPr>
              <w:spacing w:after="0"/>
              <w:rPr>
                <w:sz w:val="1"/>
                <w:szCs w:val="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(132,527 )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(289,088 )</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156,561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-1765300</wp:posOffset>
            </wp:positionV>
            <wp:extent cx="939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-1765300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-831215</wp:posOffset>
            </wp:positionV>
            <wp:extent cx="93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-831215</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-504825</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-504825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License and collaboration revenue was approximately $377.7 million for the year ended December 31, 2023 compared to approximately $60.9 million for the year ended December 31, 2022, an increase of $316.8 million. License and collaboration revenue recorded in 2023 represents revenue recorded under the Lilly, Pfizer, Apellis, Orbital and Verve Agreements. In 2022, we recorded $60.9 million of license revenue related to the Pfizer Agreement as well as revenue related to the Apellis and Verve Agreements. The increase in revenue reflects $216.4 million from the transaction with Lilly (see Note 11), and increases in revenue recognized related to the Pfizer and Apellis transactions as a result of services performed in 2023 as compared to 2022. Revenue for Pfizer and Apellis, which relates to nonrefundable up-front payments, are recognized based upon a measure of progress using total actual costs incurred as compared to total estimated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$437.4 million and $311.6 million for the years ended December 31, 2023 and 2022, respectively. The following table summarizes our research and development expenses for the years ended December 31, 2023 and December 31, 2022, together with the changes in those items in dollars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154,178</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111,831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Facility and IT related expenses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54,048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437,381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311,594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-187960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$125.8 million was primarily due to the following:</w:t>
      </w:r>
    </w:p>
    <w:p>
      <w:pPr>
        <w:spacing w:after="0" w:line="117" w:lineRule="exact"/>
        <w:rPr>
          <w:sz w:val="20"/>
          <w:szCs w:val="20"/>
          <w:color w:val="auto"/>
        </w:rPr>
      </w:pPr>
    </w:p>
    <w:p>
      <w:pPr>
        <w:ind w:left="1020" w:hanging="503"/>
        <w:spacing w:after="0" w:line="258"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$42.4 million increase in external research and development expenses driven by a $45.6 million increase in outsourced services, driven primarily by clinical and manufacturing expenses for our clinical stage programs and IND enabling activities for our lead liver programs as well as animal studies conducted to further our collaboration programs and LNP platform. Partially offsetting the rise in external research and development expenses is a decrease of $3.2 million in lab supplies due primarily to the movement of our lead programs beyond research and process development activities;</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$42.0 million in other expenses primarily due to increases of accrued liabilities for estimated license fees associated with our transaction with Lilly;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0" w:name="page121"/>
    <w:bookmarkEnd w:id="120"/>
    <w:p>
      <w:pPr>
        <w:ind w:left="1020" w:right="40" w:hanging="503"/>
        <w:spacing w:after="0" w:line="261"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$20.3 million of employee related expenses and $15.3 million of facility and information technology (IT) related costs, including depreciation, due to the annualized impact of the higher number of research and development employees prior to our strategic restructuring in October 2023, the severance related to the restructuring and the expense allocated to research and development related to our leased facilities; and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$5.8 million in stock-based compensation from additional stock options and restricted stock units granted during the year.</w:t>
      </w:r>
    </w:p>
    <w:p>
      <w:pPr>
        <w:spacing w:after="0" w:line="11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expected to continue to increase as we advance clinical trials for BEAM-101, BEAM-201, BEAM-302, and BEAM-301, continue our current research programs, initiate new research programs, continue the preclinical and clinical development of our product candidates, conduct any future preclinical studies, and begin to enroll patients in and conduct clinical trials for any of our product candidates.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$116.8 million and $87.8 million for the years ended December 31, 2023 and 2022, respectively. The increase of $29.0 million was primarily due to the following:</w:t>
      </w:r>
    </w:p>
    <w:p>
      <w:pPr>
        <w:spacing w:after="0" w:line="54"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$8.5 million in stock-based compensation from additional stock options and restricted stock units granted during the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$14.1 million in legal expenses;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$3.9 million in personnel related costs and $3.0 million of facility and IT related costs, including depreciation, due to costs associated with our strategic restructuring in October 2023, as well as the expense allocated to general and administrative expenses related to our leased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 the following:</w:t>
      </w:r>
    </w:p>
    <w:p>
      <w:pPr>
        <w:spacing w:after="0" w:line="117"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$0.5 million of other expenses driven primarily by reduced insurance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recorded $7.5 million of other income related to the change in fair value of the success payment liabilities as compared to $23.9 million for the year ended December 31, 2022, driven by the decline in the price of our common stock. A portion of the success payments was paid in June 2021; the remaining success payment obligations are still outstanding as of December 31, 2023 and will continue to be revalued at each reporting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non-controlling equity investments</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2022,we recorded other expense of $18.6 million and other income of $20.2 million, respectively, as a result of changes in the fair value of our investments in Verve and Prime Medicine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contingent consideration liabilities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we recorded $9.7 million and $18.9 million, respectively, of other income related to the change in fair value of the Guide technology and product contingent consideration liabilities as a result of an update in project timelines and the expected probability of achievement of the milestones.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11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Interest and other income (expense), net was $46.7 million and $15.3 million of other income for the years ended December 31, 2023 and December 31, 2022, respectively. The increase was primarily due to increases in interest income driven by increased market rates and growth of our investment portfolio.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recorded income tax provision of $1.4 million and $3.4 million for the years ended December 31, 2023 and 2022, respectively, which reflects that we generated taxable income that was not fully offset by the use of tax operating loss carryforwards and tax credits Our taxable income includes income recognized in the year ended December 31, 2023 related to the Lilly Agreement and in the year ended December 31, 2022 income recognized related to collaboration agreements with Apellis and Pfizer, which were deferred in 2021 for tax purposes. In addition, taxable income is higher than book expenses due to the requirement under the Tax Cuts and Jobs Act of 2017 for taxpayers to capitalize and amortize research and development expenditures over five or fifteen years.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Loss from equity method investment</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we recorded a loss from equity method investment of $25.5 million in association with a basis difference attributable to Orbital's in-process research and development with no alternative future use, which was immediately expensed as of the date of this investment. As of December 31, 2022 the investment had been written down to zero. See Notes 2 and 11 to our consolidated financial statements for more information regarding the equity method of accounting.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Since our inception in January 2017, we have not generated any revenue from product sales, have generated only limited revenue from our license and collaboration agreements, and have incurred significant operating losses and negative cash flows from our operations. We expect to incur significant expenses and operating losses for the foreseeable future as we advance the preclinical and the clinical development of our product candidates.</w:t>
      </w:r>
    </w:p>
    <w:p>
      <w:pPr>
        <w:spacing w:after="0" w:line="5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April 2021, we filed a universal automatic shelf registration statement on Form S-3 with the SEC, or the 2021 Shelf, to register for sale an indeterminate amount of our common stock, preferred stock, debt securities, warrants and/or units in one or more offerings, which became effective upon filing with the SEC (File No. 333-254946).</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April 2021, we entered into an at the market, or ATM, sales agreement, or the Sales Agreement, with Jefferies LLC, or Jefferies, pursuant to which we were entitled to offer and sell, from time to time at prevailing market prices, shares of our common stock having aggregate gross proceeds of up to $300.0 million. We agreed to pay Jefferies a commission of up to 3.0% of the aggregate gross sale proceeds of any shares sold by Jefferies under the Sales Agreement. As of December 31, 2023, we have sold 2,908,009 shares of our common stock under the Sales Agreement at an average price of $103.16 per share for aggregate gross proceeds of $300.0 million, before deducting commissions and offering expenses payable by us.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July 2021 and May 2023, we and Jefferies entered into amendments to the Sales Agreement to provide for increases in the aggregate offering amount under the Sales Agreement, such that as of May 10, 2023, we may offer and sell shares of common stock having an aggregate offering price of an additional $800.0 million. As of December 31, 2023, we have sold 10,860,992 additional shares of our common stock under the amended Sales Agreement at an average price of $51.93 per share for aggregate gross proceeds of $564.0 million, before deducting commissions and offering expenses payable by us.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we entered into the Lilly Agreement, with Eli Lilly and Company, or Lilly, pursuant to which Lilly acquired certain assets and other rights under our amended collaboration and license agreement, or the Verve Agreement, with Verve, including our opt-in rights to co-develop and co-commercialize Verve’s base editing programs for cardiovascular disease. We received a $200.0 million upfront payment and are eligible to receive up to $350.0 million in potential future development-stage payments upon the completion of certain clinical, regulatory and alliance events. In connection with the Lilly Agreement, we and Lilly entered into a Stock Purchase Agreement providing for the sale and issuance of 2,004,811 shares of our common stock to Lilly for an aggregate purchase price of $50.0 million. We received the consideration under the Stock Purchase Agreement of $50.0 million in October 2023 and the upfront payment of $200.0 million in November 2023. We have accrued approximately $43.3 million of contingent obligations that may be due associated with payments received under the Lilly Agreement for which discussions are continuing related to the potential applicability to such payments of the terms of license agreements.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$1.2 billion in cash, cash equivalents, and marketable securities.</w:t>
      </w:r>
    </w:p>
    <w:p>
      <w:pPr>
        <w:spacing w:after="0" w:line="11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required to make success payments to Harvard and Broad Institute based on increases in the per share fair market value of our common stock. The amounts due may be settled in cash or shares of our common stock, at our discretion. We may owe Harvard and Broad Institute success payments of up to an additional $90.0 million each.</w:t>
      </w:r>
    </w:p>
    <w:p>
      <w:pPr>
        <w:spacing w:after="0" w:line="6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have not yet commercialized any of our product candidates, and we do not expect to generate revenue from the sale of our product candidates for the foreseeable future. We anticipate that we may need to raise additional capital in order to continue to fund our research and development, including our planned preclinical studies and clinical trials, maintaining and operating our commercial-scale cGMP manufacturing facility, and new product development, as well as to fund our general operations. As necessary, we will seek to raise additional capital through various potential sources, such as equity and debt financings or through corporate collaboration and license agreements. We can give no assurances that we will be able to secure such additional sources of capital to support our operations, or, if such funds are available to us, that such additional financing will be sufficient to meet our needs.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(149,195 )</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(66,268 )</w:t>
            </w: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(461,336 )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(294,144 )</w:t>
            </w:r>
          </w:p>
        </w:tc>
      </w:tr>
      <w:tr>
        <w:trPr>
          <w:trHeight w:val="243"/>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276,448</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111,590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756,141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199,093</w:t>
            </w:r>
          </w:p>
        </w:tc>
        <w:tc>
          <w:tcPr>
            <w:tcW w:w="140" w:type="dxa"/>
            <w:vAlign w:val="bottom"/>
          </w:tcPr>
          <w:p>
            <w:pPr>
              <w:spacing w:after="0"/>
              <w:rPr>
                <w:sz w:val="20"/>
                <w:szCs w:val="20"/>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(327,219 )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395,729</w:t>
            </w:r>
          </w:p>
        </w:tc>
        <w:tc>
          <w:tcPr>
            <w:tcW w:w="100" w:type="dxa"/>
            <w:vAlign w:val="bottom"/>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-187960</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$149.2 million including, $216.4 million of cash received under the Lilly transaction, increases in accrued expenses and other liabilities of $67.7 million, as well as noncash items consisting of stock-based compensation expense of $98.6 million, a decrease in the fair value of non-controlling equity investments of $18.6 million, depreciation and amortization expense of $20.0 million and changes in operating lease ROU assets of $9.5 million.</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sources of cash were offset in part by our net loss of $132.5 million, a decrease in deferred revenue of $159.6 million, a decrease in operating lease liabilities of $10.2 million, decreases in accounts payable of $7.6 million, other long-term liabilities of $0.2 million, increases in prepaid expenses and other current assets of $6.5 million and collaborations receivables of $0.1 million, as well as noncash items including amortization of investment discounts and premiums of $29.7 million, decreases in the fair value of derivative liabilities of $7.5 million and a change in the fair value of contingent consideration liabilities of $9.7 million.</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2022 was $22.5 million, consisting primarily of the collection of collaboration receivables of $300.0 million related to the Pfizer Agreement, an increase in operating lease liabilities of $12.4 million and an increase in accounts payable of $2.4 million, as well as noncash items consisting of stock-based compensation expense of $84.3 million, a loss from an equity method investment of $25.5 million, depreciation and amortization expense of $14.1 million and changes in operating lease ROU assets of $8.4 million.</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sources of cash were offset in part by our net loss of $289.1 million, a decrease in deferred revenue of $35.9 million, net of the $25.0 million First Anniversary Payment collected from Apellis during the year ended December 31, 2022, decreases in accrued expenses and other liabilities of $16.9 million, an increase in prepaid expenses and other current assets of $7.8 million and a decrease in other long-term liabilities of $2.6 million, as well as noncash items including a decrease in the fair value of derivative liabilities of $23.9 million, an increase in the fair value of non-controlling equity investments of $20.2 million, a change in the fair value of contingent consideration liabilities of $18.9 million and amortization of investment discounts and premiums of $9.4 million.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cash provided by investing activities of $71.8 million was primarily the net result of maturities of marketable securities partially offset by purchases of marketable securities, in addition to purchases of property and equipment of $33.7 million.</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cash used in investing activities was primarily the net result of purchases of marketable securities partially offset by maturities of marketable securities of $412.4 million, in addition to purchases of property and equipment of $49.0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of $276.4 million consisted primarily of proceeds from equity offerings of $236.6 million, net of sales commissions, proceeds from the issuance of shares from the Lilly Agreement of $33.6 million, $6.1 million of proceeds from the exercise of stock options, and $3.0 million of proceeds from the issuance of common stock under our Employee Stock Purchase Plan, offset in part by net repayments of equipment financing liabilities of $2.3 million and payment of equity offering costs of $0.6 million.</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consisted primarily of proceeds from equity offerings of $108.3 million, net of sales commissions, $3.1 million of proceeds from the issuance of common stock under our Employee Stock Purchase Plan, and $2.7 million of proceeds from the exercise of stock options, offset in part by repayments of equipment financing liabilities of $2.3 million and payment of equity offering costs of $0.2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have increased and are expected to continue to increase substantially as we continue to advance our portfolio of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our expenses will increase if and as we:</w:t>
      </w:r>
    </w:p>
    <w:p>
      <w:pPr>
        <w:spacing w:after="0" w:line="11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programs and our preclinical development of product candidates from our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additional product candidates we identify and develop;</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medicines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medicines and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that our cash, cash equivalents, and marketable securities at December 31, 2023 will enable us to fund our current and planned operating expenses and capital expenditures for at least the next 12 months from the date of issuance of our accompanying consolidated financial statements.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licenses for the delivery modalities that will be used with our product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agreements and our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are a party to or may become a party to, including our agreement with Guide;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success liabilities to Harvard and Broad Institute pursuant to the respective terms of the Harvard License Agreement and the Broad Institute License Agreement, should we choose to pay in cash;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savings or benefits we realize from our recent portfolio prioritization and strategic restructuring;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4" w:name="page125"/>
    <w:bookmarkEnd w:id="124"/>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and expanding our manufacturing capacity;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conditions, as well as the prevailing level of macro-economic, business, and operational uncertainty, including as a result of geopolitical events or other global or regional events.</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w:t>
      </w:r>
    </w:p>
    <w:p>
      <w:pPr>
        <w:spacing w:after="0" w:line="6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capital. We have historically relied on equity issuances to fund our capital needs and will likely rely on equity issuances in the future. Debt financing, if available, may involve agreements that include covenants limiting or restricting our ability to take specific actions, such as incurring additional debt, making capital expenditures, or declaring dividends.</w:t>
      </w:r>
    </w:p>
    <w:p>
      <w:pPr>
        <w:spacing w:after="0" w:line="75" w:lineRule="exact"/>
        <w:rPr>
          <w:sz w:val="20"/>
          <w:szCs w:val="20"/>
          <w:color w:val="auto"/>
        </w:rPr>
      </w:pPr>
    </w:p>
    <w:p>
      <w:pPr>
        <w:ind w:firstLine="4"/>
        <w:spacing w:after="0" w:line="256" w:lineRule="auto"/>
        <w:rPr>
          <w:sz w:val="20"/>
          <w:szCs w:val="20"/>
          <w:color w:val="auto"/>
        </w:rPr>
      </w:pPr>
      <w:r>
        <w:rPr>
          <w:rFonts w:ascii="Times New Roman" w:cs="Times New Roman" w:eastAsia="Times New Roman" w:hAnsi="Times New Roman"/>
          <w:sz w:val="18"/>
          <w:szCs w:val="18"/>
          <w:color w:val="auto"/>
        </w:rPr>
        <w:t>If we raise capital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capital through equity or debt financings when needed, we may be required to delay, limit, reduce, or terminate our product development or, if approved,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lease certain assets under noncancelable operating leases, which expire through 2037. The leases relate primarily to office space, laboratory and manufacturing space, and equipment. Aggregate future minimum commitments under these office and laboratory leases and equipment leases are $251.4 million as of December 31, 2023, excluding any related common area maintenance charges or real estate taxes.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May 2021, the first success payment measurements under the Harvard License Agreement and Broad License Agreement occurred and success payments to Harvard and Broad Institute were calculated to be $15.0 million and $15.0 million, respectively. We elected to make each payment in shares of our common stock and issued 174,825 shares of our common stock to each of Harvard and Broad Institute to settle these liabilities in June 2021. The remaining success payment obligations are still outstanding as of December 31, 2023. We may additionally owe Harvard and Broad Institute success payments of up to an additional $90.0 million each.</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potentially obligated to pay certain milestone and success fees, non-royalty sublicense income fees, royalty fees, licensing maintenance fees, and reimbursement of patent maintenance costs under agreements we have entered into with certain institutions to license intellectual property.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and success payment milestones. These amounts are contingent upon the occurrence of future events and the timing and likelihood of such potential obligations are not known with certainty.</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we agreed to pay Guide’s former stockholders and optionholders up to an additional $100.0 million in technology milestone payments and $220.0 million in product milestone payments, payable in our common stock valued using the volume-weighted average price of our common stock over the ten-day trading period ending two trading days prior to the date on which the applicable milestone is received. These payments are contingent upon the occurrence of future events and the timing and likelihood of such potential obligations are not known with certainty.</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we enter into contracts in the normal course of business with CROs, CMOs and other vendors to assist in the performance of our research and development activities and other services and products for operating purposes. These contracts generally provide for termination on notice, and therefore are cancelable contracts.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we have prepared in accordance with U.S. generally accepted accounting principles. The preparation of these financial statements requires us to make estimates, judgments and assumptions that affect the reported amounts of assets, liabilities,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 this Annual Report on Form 10-K, we believe that the following accounting policies are those most critical to the judgments and estimates used in the preparation of our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At inception, we determine whether contracts are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or other topics. For contracts that are determined to be within the scope of ASC 606, revenue is recognized when a customer obtains control of promised goods or services. The amount of revenue recognized reflects the consideration to which we expect to be entitled to receive in exchange for these goods and services. To achieve this core principle, we apply the following five steps (i) identify the contract with the customer; (ii) identify the performance obligations in the contract;</w:t>
      </w:r>
    </w:p>
    <w:p>
      <w:pPr>
        <w:spacing w:after="0" w:line="1" w:lineRule="exact"/>
        <w:rPr>
          <w:sz w:val="20"/>
          <w:szCs w:val="20"/>
          <w:color w:val="auto"/>
        </w:rPr>
      </w:pPr>
    </w:p>
    <w:p>
      <w:pPr>
        <w:ind w:right="120" w:firstLine="8"/>
        <w:spacing w:after="0" w:line="255" w:lineRule="auto"/>
        <w:tabs>
          <w:tab w:leader="none" w:pos="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(iv) allocate the transaction price to the performance obligations in the contract; and (v) recognize revenue when the performance obligation is satisfied. We only apply the five-step model to contracts when we determine that collection of substantially all consideration for goods and services that are transferred is probable based on the customer’s intent and ability to pay the promised consideration.</w:t>
      </w:r>
    </w:p>
    <w:p>
      <w:pPr>
        <w:spacing w:after="0" w:line="7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we apply judgment to determine whether promised goods and services are both capable of being distinct and are distinct in the context of the contract. If these criteria are not met, the promised goods and services are accounted for as a combined performance obligation.</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and is discussed in further detail for each of our license and collaboration agreements in Note 11 to our consolidated financial statements in this Annual Report on Form 10-K.</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Determining the standalone selling price requires significant judgment and is discussed in further detail for each of our license and collaboration agreements in Note 11.</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timing of when services are performed and the occurrence of external costs associated with the programs under the collaboration agreements could impact how revenue is recognized in a certain period.</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Licenses of intellectual property, or IP: If the license to our IP is determined to be distinct from the other performance obligations identified in the arrangement, we recognize revenues from consideration allocated to the license when the license is transferred to the customer and the customer can use and benefit from the licenses.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6" w:name="page127"/>
    <w:bookmarkEnd w:id="126"/>
    <w:p>
      <w:pPr>
        <w:spacing w:after="0" w:line="258" w:lineRule="auto"/>
        <w:rPr>
          <w:sz w:val="20"/>
          <w:szCs w:val="20"/>
          <w:color w:val="auto"/>
        </w:rPr>
      </w:pPr>
      <w:r>
        <w:rPr>
          <w:rFonts w:ascii="Times New Roman" w:cs="Times New Roman" w:eastAsia="Times New Roman" w:hAnsi="Times New Roman"/>
          <w:sz w:val="18"/>
          <w:szCs w:val="18"/>
          <w:color w:val="auto"/>
        </w:rPr>
        <w:t>revenue recognition. We generally recognize revenue using the cost incurred to date as compared to the total estimated cost. Changes in estimates of total internal and external costs expected to be incurred and timing of when those costs are expected to be incurred are recognized in the period of change as a cumulative catch-up adjustment. If estimates of the total estimated cost change, or if contract amendments change the scope of the performance obligations, the impacts could be material. Determining the revenue recognition of IP licenses requires significant judgment and is discussed in further detail for each of our license and collaboration agreements in Note 10 and 11</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development or regulatory milestone payments, we evaluate the probability of reaching the milestones and estimate the amount to be included in the transaction price using the most likely amount method. If it is probable that a significant revenue reversal would not occur in the future, the associated milestone value is included in the transaction price. Milestone payments that are not within our control or the licensee’s, such as regulatory approvals, are not considered probable of being achieved until those approvals are received and therefore revenue recognized is constrained as management is unable to assert that a reversal of revenue would not be possible.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 To date, we have not recognized any milestone revenue resulting from any of our agreements.</w:t>
      </w:r>
    </w:p>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Commercial Milestone Payments and Royalties: For arrangements that include sales-based royalties, including milestone payments based on levels of sales, if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agreements.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no performance obligations are required of us, or following the completion of the performance obligation period, amounts are recognized as revenue upon transfer of control of the goods or services to the customer. Generally, all amounts received or due other than sales-based milestones and royalties are classified as license and collaboration revenue.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expected to be recognized within the next twelve months is classified as a current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 Success payments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We are required to make success payments to Harvard and Broad Institute based on increases in the per share fair market value of our common stock. Any amounts due may be settled in cash or shares of our common stock, at our discretion. The success payments are accounted for as a derivative under Accounting Standards Codification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were initially recorded at fair value with a corresponding charge to research and development expense. The liabilities are marked to market at each balance sheet date with all changes in value recognized in interest and other income (expense) in the consolidated statement of operations and other comprehensive loss. We will continue to adjust the liability for changes in fair value until the earlier of the achievement or expiration of the success payment obligation. To determine the estimated fair value of the success payments, we used a Monte Carlo simulation model, which models the value of the liability based on several key variables, including probability of event occurrence, timing of event occurrence, as well as the price per share at the time of success payment. A significant change in our stock price or volatility could have a significant impact on the value of the liability.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prepaid research and development costs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and prepaid research and development costs.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vendors in connection with preclinical development activities and vendors related to development, manufacturing and distribution of product candidate materials.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7" w:name="page128"/>
    <w:bookmarkEnd w:id="127"/>
    <w:p>
      <w:pPr>
        <w:spacing w:after="0" w:line="258" w:lineRule="auto"/>
        <w:rPr>
          <w:sz w:val="20"/>
          <w:szCs w:val="20"/>
          <w:color w:val="auto"/>
        </w:rPr>
      </w:pPr>
      <w:r>
        <w:rPr>
          <w:rFonts w:ascii="Times New Roman" w:cs="Times New Roman" w:eastAsia="Times New Roman" w:hAnsi="Times New Roman"/>
          <w:sz w:val="18"/>
          <w:szCs w:val="18"/>
          <w:color w:val="auto"/>
        </w:rPr>
        <w:t>We base our expenses related to preclinical studies on our estimates of the services received and efforts expended pursuant to contracts with multiple vendors that conduct and manage preclinical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and adjust accordingly.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2023, we had cash, cash equivalents and marketable securities of $1.2 billion, which consisted of cash, money market funds, commercial paper, corporate notes and corporate equity securities.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8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manufacturing and development costs. We believe that inflation has not had a material effect on our financial statements included elsewhere in this Annual Report on Form 10-K. However, our operations may be adversely affected by inflation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The financial statements required to be filed pursuant to this Item 8 are appended to this Annual Report on Form 10-K. An index of those financial statements is found in Item 15, </w:t>
      </w:r>
      <w:r>
        <w:rPr>
          <w:rFonts w:ascii="Times New Roman" w:cs="Times New Roman" w:eastAsia="Times New Roman" w:hAnsi="Times New Roman"/>
          <w:sz w:val="18"/>
          <w:szCs w:val="18"/>
          <w:i w:val="1"/>
          <w:iCs w:val="1"/>
          <w:color w:val="auto"/>
        </w:rPr>
        <w:t>Exhibits and Financial Statement Schedules</w:t>
      </w:r>
      <w:r>
        <w:rPr>
          <w:rFonts w:ascii="Times New Roman" w:cs="Times New Roman" w:eastAsia="Times New Roman" w:hAnsi="Times New Roman"/>
          <w:sz w:val="18"/>
          <w:szCs w:val="18"/>
          <w:color w:val="auto"/>
        </w:rPr>
        <w:t>,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December 31, 2023,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of December 31, 2023, our principal executive officer and principal financial officer concluded that our disclosure controls and procedures as of such date were effective at the reasonable assurance level.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policies and procedures that:</w:t>
      </w:r>
    </w:p>
    <w:p>
      <w:pPr>
        <w:spacing w:after="0" w:line="75" w:lineRule="exact"/>
        <w:rPr>
          <w:sz w:val="20"/>
          <w:szCs w:val="20"/>
          <w:color w:val="auto"/>
        </w:rPr>
      </w:pPr>
    </w:p>
    <w:p>
      <w:pPr>
        <w:ind w:left="760" w:hanging="378"/>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 — Integrated Framework (2013)” issued by the Committee of Sponsoring Organizations of the Treadway Commission. Based on this assessment, our senior management has concluded that the internal control over financial reporting was effective as of December 31, 2023.</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issued an attestation report on our internal control over financial reporting. See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continuously seek to improve the efficiency and effectiveness of our internal controls. This results in refinements to processes throughout our company. There were no changes in our internal control over financial reporting (as defined in Rules 13a-15(f) and 15d-15(f) under the Exchange Act) during the year ended December 31, 2023 that have materially affected, or are reasonably likely to materially affect, our internal control over financial reporting.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129" w:name="page130"/>
    <w:bookmarkEnd w:id="129"/>
    <w:p>
      <w:pPr>
        <w:ind w:right="2500" w:firstLine="2535"/>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Beam Therapeutics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Beam Therapeutics Inc.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27, 2024,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6" w:right="3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table describes for the quarterly period ended December 31, 2023 each trading arrangement for the sale or purchase of Company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Borders>
              <w:right w:val="single" w:sz="8" w:color="auto"/>
            </w:tcBorders>
          </w:tcPr>
          <w:p>
            <w:pPr>
              <w:spacing w:after="0"/>
              <w:rPr>
                <w:sz w:val="18"/>
                <w:szCs w:val="18"/>
                <w:color w:val="auto"/>
              </w:rPr>
            </w:pPr>
          </w:p>
        </w:tc>
        <w:tc>
          <w:tcPr>
            <w:tcW w:w="114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58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Type of Trading</w:t>
            </w:r>
          </w:p>
        </w:tc>
        <w:tc>
          <w:tcPr>
            <w:tcW w:w="278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Nature of Trading Arrangement</w:t>
            </w:r>
          </w:p>
        </w:tc>
        <w:tc>
          <w:tcPr>
            <w:tcW w:w="140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Duration of</w:t>
            </w:r>
          </w:p>
        </w:tc>
        <w:tc>
          <w:tcPr>
            <w:tcW w:w="296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 Securities</w:t>
            </w: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(Title)</w:t>
            </w:r>
          </w:p>
        </w:tc>
        <w:tc>
          <w:tcPr>
            <w:tcW w:w="112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Taken</w:t>
            </w:r>
          </w:p>
        </w:tc>
        <w:tc>
          <w:tcPr>
            <w:tcW w:w="158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2780" w:type="dxa"/>
            <w:vAlign w:val="bottom"/>
            <w:tcBorders>
              <w:right w:val="single" w:sz="8" w:color="auto"/>
            </w:tcBorders>
            <w:shd w:val="clear" w:color="auto" w:fill="D9D9D9"/>
          </w:tcPr>
          <w:p>
            <w:pPr>
              <w:spacing w:after="0"/>
              <w:rPr>
                <w:sz w:val="18"/>
                <w:szCs w:val="18"/>
                <w:color w:val="auto"/>
              </w:rPr>
            </w:pPr>
          </w:p>
        </w:tc>
        <w:tc>
          <w:tcPr>
            <w:tcW w:w="140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2960" w:type="dxa"/>
            <w:vAlign w:val="bottom"/>
            <w:tcBorders>
              <w:right w:val="single" w:sz="8" w:color="auto"/>
            </w:tcBorders>
            <w:shd w:val="clear" w:color="auto" w:fill="D9D9D9"/>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(Date of</w:t>
            </w:r>
          </w:p>
        </w:tc>
        <w:tc>
          <w:tcPr>
            <w:tcW w:w="1580" w:type="dxa"/>
            <w:vAlign w:val="bottom"/>
            <w:tcBorders>
              <w:right w:val="single" w:sz="8" w:color="auto"/>
            </w:tcBorders>
            <w:shd w:val="clear" w:color="auto" w:fill="D9D9D9"/>
          </w:tcPr>
          <w:p>
            <w:pPr>
              <w:spacing w:after="0"/>
              <w:rPr>
                <w:sz w:val="18"/>
                <w:szCs w:val="18"/>
                <w:color w:val="auto"/>
              </w:rPr>
            </w:pPr>
          </w:p>
        </w:tc>
        <w:tc>
          <w:tcPr>
            <w:tcW w:w="2780" w:type="dxa"/>
            <w:vAlign w:val="bottom"/>
            <w:tcBorders>
              <w:right w:val="single" w:sz="8" w:color="auto"/>
            </w:tcBorders>
            <w:shd w:val="clear" w:color="auto" w:fill="D9D9D9"/>
          </w:tcPr>
          <w:p>
            <w:pPr>
              <w:spacing w:after="0"/>
              <w:rPr>
                <w:sz w:val="18"/>
                <w:szCs w:val="18"/>
                <w:color w:val="auto"/>
              </w:rPr>
            </w:pPr>
          </w:p>
        </w:tc>
        <w:tc>
          <w:tcPr>
            <w:tcW w:w="140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2960" w:type="dxa"/>
            <w:vAlign w:val="bottom"/>
            <w:tcBorders>
              <w:right w:val="single" w:sz="8" w:color="auto"/>
            </w:tcBorders>
            <w:shd w:val="clear" w:color="auto" w:fill="D9D9D9"/>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180" w:type="dxa"/>
            <w:vAlign w:val="bottom"/>
            <w:tcBorders>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shd w:val="clear" w:color="auto" w:fill="D9D9D9"/>
          </w:tcPr>
          <w:p>
            <w:pPr>
              <w:spacing w:after="0"/>
              <w:rPr>
                <w:sz w:val="22"/>
                <w:szCs w:val="22"/>
                <w:color w:val="auto"/>
              </w:rPr>
            </w:pPr>
          </w:p>
        </w:tc>
        <w:tc>
          <w:tcPr>
            <w:tcW w:w="112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Action)</w:t>
            </w:r>
          </w:p>
        </w:tc>
        <w:tc>
          <w:tcPr>
            <w:tcW w:w="1580" w:type="dxa"/>
            <w:vAlign w:val="bottom"/>
            <w:tcBorders>
              <w:bottom w:val="single" w:sz="8" w:color="auto"/>
              <w:right w:val="single" w:sz="8" w:color="auto"/>
            </w:tcBorders>
            <w:shd w:val="clear" w:color="auto" w:fill="D9D9D9"/>
          </w:tcPr>
          <w:p>
            <w:pPr>
              <w:spacing w:after="0"/>
              <w:rPr>
                <w:sz w:val="22"/>
                <w:szCs w:val="22"/>
                <w:color w:val="auto"/>
              </w:rPr>
            </w:pPr>
          </w:p>
        </w:tc>
        <w:tc>
          <w:tcPr>
            <w:tcW w:w="2780" w:type="dxa"/>
            <w:vAlign w:val="bottom"/>
            <w:tcBorders>
              <w:bottom w:val="single" w:sz="8" w:color="auto"/>
              <w:right w:val="single" w:sz="8" w:color="auto"/>
            </w:tcBorders>
            <w:shd w:val="clear" w:color="auto" w:fill="D9D9D9"/>
          </w:tcPr>
          <w:p>
            <w:pPr>
              <w:spacing w:after="0"/>
              <w:rPr>
                <w:sz w:val="22"/>
                <w:szCs w:val="22"/>
                <w:color w:val="auto"/>
              </w:rPr>
            </w:pPr>
          </w:p>
        </w:tc>
        <w:tc>
          <w:tcPr>
            <w:tcW w:w="1400" w:type="dxa"/>
            <w:vAlign w:val="bottom"/>
            <w:tcBorders>
              <w:bottom w:val="single" w:sz="8" w:color="auto"/>
              <w:right w:val="single" w:sz="8" w:color="auto"/>
            </w:tcBorders>
            <w:shd w:val="clear" w:color="auto" w:fill="D9D9D9"/>
          </w:tcPr>
          <w:p>
            <w:pPr>
              <w:spacing w:after="0"/>
              <w:rPr>
                <w:sz w:val="22"/>
                <w:szCs w:val="22"/>
                <w:color w:val="auto"/>
              </w:rPr>
            </w:pPr>
          </w:p>
        </w:tc>
        <w:tc>
          <w:tcPr>
            <w:tcW w:w="2960" w:type="dxa"/>
            <w:vAlign w:val="bottom"/>
            <w:tcBorders>
              <w:bottom w:val="single" w:sz="8" w:color="auto"/>
              <w:right w:val="single" w:sz="8" w:color="auto"/>
            </w:tcBorders>
            <w:shd w:val="clear" w:color="auto" w:fill="D9D9D9"/>
          </w:tcPr>
          <w:p>
            <w:pPr>
              <w:spacing w:after="0"/>
              <w:rPr>
                <w:sz w:val="22"/>
                <w:szCs w:val="22"/>
                <w:color w:val="auto"/>
              </w:rPr>
            </w:pPr>
          </w:p>
        </w:tc>
        <w:tc>
          <w:tcPr>
            <w:tcW w:w="80" w:type="dxa"/>
            <w:vAlign w:val="bottom"/>
          </w:tcPr>
          <w:p>
            <w:pPr>
              <w:spacing w:after="0"/>
              <w:rPr>
                <w:sz w:val="22"/>
                <w:szCs w:val="22"/>
                <w:color w:val="auto"/>
              </w:rPr>
            </w:pPr>
          </w:p>
        </w:tc>
      </w:tr>
      <w:tr>
        <w:trPr>
          <w:trHeight w:val="172"/>
        </w:trPr>
        <w:tc>
          <w:tcPr>
            <w:tcW w:w="1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8"/>
                <w:szCs w:val="18"/>
                <w:color w:val="auto"/>
              </w:rPr>
              <w:t>Giuseppe</w:t>
            </w:r>
          </w:p>
        </w:tc>
        <w:tc>
          <w:tcPr>
            <w:tcW w:w="112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8"/>
                <w:szCs w:val="18"/>
                <w:color w:val="auto"/>
              </w:rPr>
              <w:t>Adoption</w:t>
            </w:r>
          </w:p>
        </w:tc>
        <w:tc>
          <w:tcPr>
            <w:tcW w:w="158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8"/>
                <w:szCs w:val="18"/>
                <w:color w:val="auto"/>
              </w:rPr>
              <w:t>Rule 10b5-1</w:t>
            </w:r>
          </w:p>
        </w:tc>
        <w:tc>
          <w:tcPr>
            <w:tcW w:w="278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Sale</w:t>
            </w:r>
          </w:p>
        </w:tc>
        <w:tc>
          <w:tcPr>
            <w:tcW w:w="140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Until June 30,</w:t>
            </w:r>
          </w:p>
        </w:tc>
        <w:tc>
          <w:tcPr>
            <w:tcW w:w="296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Up to 147,603 shares</w:t>
            </w:r>
          </w:p>
        </w:tc>
        <w:tc>
          <w:tcPr>
            <w:tcW w:w="80" w:type="dxa"/>
            <w:vAlign w:val="bottom"/>
          </w:tcPr>
          <w:p>
            <w:pPr>
              <w:spacing w:after="0"/>
              <w:rPr>
                <w:sz w:val="14"/>
                <w:szCs w:val="14"/>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Ciaramella</w:t>
            </w:r>
          </w:p>
        </w:tc>
        <w:tc>
          <w:tcPr>
            <w:tcW w:w="1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(December</w:t>
            </w:r>
          </w:p>
        </w:tc>
        <w:tc>
          <w:tcPr>
            <w:tcW w:w="1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2024, or such</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20, 2023)</w:t>
            </w:r>
          </w:p>
        </w:tc>
        <w:tc>
          <w:tcPr>
            <w:tcW w:w="1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earlier date</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upon which all</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transactions are</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completed or</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expire without</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80" w:type="dxa"/>
            <w:vAlign w:val="bottom"/>
            <w:tcBorders>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execution.</w:t>
            </w:r>
          </w:p>
        </w:tc>
        <w:tc>
          <w:tcPr>
            <w:tcW w:w="296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1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Terry-Ann</w:t>
            </w:r>
          </w:p>
        </w:tc>
        <w:tc>
          <w:tcPr>
            <w:tcW w:w="11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Adoption</w:t>
            </w:r>
          </w:p>
        </w:tc>
        <w:tc>
          <w:tcPr>
            <w:tcW w:w="158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Rule 10b5-1</w:t>
            </w:r>
          </w:p>
        </w:tc>
        <w:tc>
          <w:tcPr>
            <w:tcW w:w="27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Sale</w:t>
            </w:r>
          </w:p>
        </w:tc>
        <w:tc>
          <w:tcPr>
            <w:tcW w:w="14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Until December</w:t>
            </w:r>
          </w:p>
        </w:tc>
        <w:tc>
          <w:tcPr>
            <w:tcW w:w="296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Up to 100,000 shares</w:t>
            </w:r>
          </w:p>
        </w:tc>
        <w:tc>
          <w:tcPr>
            <w:tcW w:w="80" w:type="dxa"/>
            <w:vAlign w:val="bottom"/>
          </w:tcPr>
          <w:p>
            <w:pPr>
              <w:spacing w:after="0"/>
              <w:rPr>
                <w:sz w:val="16"/>
                <w:szCs w:val="16"/>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Burrell</w:t>
            </w:r>
          </w:p>
        </w:tc>
        <w:tc>
          <w:tcPr>
            <w:tcW w:w="1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(December</w:t>
            </w:r>
          </w:p>
        </w:tc>
        <w:tc>
          <w:tcPr>
            <w:tcW w:w="1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 2024, or</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8, 2023)</w:t>
            </w:r>
          </w:p>
        </w:tc>
        <w:tc>
          <w:tcPr>
            <w:tcW w:w="1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such earlier</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 upon</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which all</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transactions are</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completed or</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expire without</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80" w:type="dxa"/>
            <w:vAlign w:val="bottom"/>
            <w:tcBorders>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execution.</w:t>
            </w:r>
          </w:p>
        </w:tc>
        <w:tc>
          <w:tcPr>
            <w:tcW w:w="296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1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Christine</w:t>
            </w:r>
          </w:p>
        </w:tc>
        <w:tc>
          <w:tcPr>
            <w:tcW w:w="11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Adoption</w:t>
            </w:r>
          </w:p>
        </w:tc>
        <w:tc>
          <w:tcPr>
            <w:tcW w:w="158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Rule 10b5-1</w:t>
            </w:r>
          </w:p>
        </w:tc>
        <w:tc>
          <w:tcPr>
            <w:tcW w:w="27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Sale</w:t>
            </w:r>
          </w:p>
        </w:tc>
        <w:tc>
          <w:tcPr>
            <w:tcW w:w="14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Until</w:t>
            </w:r>
          </w:p>
        </w:tc>
        <w:tc>
          <w:tcPr>
            <w:tcW w:w="296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Up to 20,000 shares</w:t>
            </w:r>
          </w:p>
        </w:tc>
        <w:tc>
          <w:tcPr>
            <w:tcW w:w="80" w:type="dxa"/>
            <w:vAlign w:val="bottom"/>
          </w:tcPr>
          <w:p>
            <w:pPr>
              <w:spacing w:after="0"/>
              <w:rPr>
                <w:sz w:val="16"/>
                <w:szCs w:val="16"/>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Bellon</w:t>
            </w:r>
          </w:p>
        </w:tc>
        <w:tc>
          <w:tcPr>
            <w:tcW w:w="1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(December</w:t>
            </w:r>
          </w:p>
        </w:tc>
        <w:tc>
          <w:tcPr>
            <w:tcW w:w="1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November 10,</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(Chief Legal</w:t>
            </w:r>
          </w:p>
        </w:tc>
        <w:tc>
          <w:tcPr>
            <w:tcW w:w="1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12, 2023)</w:t>
            </w:r>
          </w:p>
        </w:tc>
        <w:tc>
          <w:tcPr>
            <w:tcW w:w="1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2024, or such</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earlier date</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upon which all</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transactions are</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completed or</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expire without</w:t>
            </w:r>
          </w:p>
        </w:tc>
        <w:tc>
          <w:tcPr>
            <w:tcW w:w="2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80" w:type="dxa"/>
            <w:vAlign w:val="bottom"/>
            <w:tcBorders>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execution.</w:t>
            </w:r>
          </w:p>
        </w:tc>
        <w:tc>
          <w:tcPr>
            <w:tcW w:w="296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318"/>
        </w:trPr>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tc>
        <w:tc>
          <w:tcPr>
            <w:tcW w:w="1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7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129</w:t>
            </w:r>
          </w:p>
        </w:tc>
        <w:tc>
          <w:tcPr>
            <w:tcW w:w="1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Securities and Exchange Commission, or SEC, with respect to our 2024 Annual Meeting of Stockholders and is incorporated herein by reference.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or Code, that applies to all of our directors, officers and employees, including our principal executive officer, principal financial officer, principal accounting officer or controller, or persons performing similar functions. A current copy of the Code is available on the investor section of our website at investors.beamtx.com. We intend to disclose on our website any amendments to, or waivers from, our Code that are required to be disclosed pursuant to SEC rules.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the section captioned “Executive Compensation" and "Director Compensation” in our definitive proxy statement to be filed with the SEC with respect to our 2024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the sections captioned “Security Ownership of Certain Beneficial Owners and Management” and “Securities Authorized for Issuance under Equity Compensation Plans” in our definitive proxy statement to be filed with the SEC with respect to our 2024 Annual Meeting of Stockholders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the sections captioned “Certain Relationship and Related Person Transactions” and “Director Independence” in our definitive proxy statement to be filed with the SEC with respect to our 2024 Annual Meeting of Stockholders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the sections captioned “Principal Accountant Fees and Services” and “Audit Committee Pre-Approval Policy and Procedures” in our definitive proxy statement to be filed with the SEC with respect to our 2024 Annual Meeting of Stockholders and is incorporated herein by reference.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132" w:name="page133"/>
    <w:bookmarkEnd w:id="1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Financial Statements</w:t>
      </w:r>
    </w:p>
    <w:p>
      <w:pPr>
        <w:spacing w:after="0" w:line="1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For a list of the financial statements included herein, see </w:t>
      </w:r>
      <w:r>
        <w:rPr>
          <w:rFonts w:ascii="Times New Roman" w:cs="Times New Roman" w:eastAsia="Times New Roman" w:hAnsi="Times New Roman"/>
          <w:sz w:val="18"/>
          <w:szCs w:val="18"/>
          <w:i w:val="1"/>
          <w:iCs w:val="1"/>
          <w:color w:val="auto"/>
        </w:rPr>
        <w:t>Index to the Consolidated Financial Statements</w:t>
      </w:r>
      <w:r>
        <w:rPr>
          <w:rFonts w:ascii="Times New Roman" w:cs="Times New Roman" w:eastAsia="Times New Roman" w:hAnsi="Times New Roman"/>
          <w:sz w:val="18"/>
          <w:szCs w:val="18"/>
          <w:color w:val="auto"/>
        </w:rPr>
        <w:t xml:space="preserve"> on page F-1 of this Annual Report on Form 10-K, incorporated into this Item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gridSpan w:val="2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2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Agreement and Plan of Merger, dated February 22, 2021, among Beam</w:t>
              </w:r>
            </w:hyperlink>
          </w:p>
        </w:tc>
        <w:tc>
          <w:tcPr>
            <w:tcW w:w="26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Therapeutics Inc., Galileo Merger Sub I, Inc., Galileo Merger Sub II, LLC,</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Guide Therapeutics, Inc. (“Guide”), Shareholder Representative Services</w:t>
              </w:r>
            </w:hyperlink>
          </w:p>
        </w:tc>
        <w:tc>
          <w:tcPr>
            <w:tcW w:w="1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LLC, and the Guide Holders Signatory thereto</w:t>
              </w:r>
            </w:hyperlink>
          </w:p>
        </w:tc>
        <w:tc>
          <w:tcPr>
            <w:tcW w:w="20" w:type="dxa"/>
            <w:vAlign w:val="bottom"/>
            <w:tcBorders>
              <w:bottom w:val="single" w:sz="8" w:color="0000EE"/>
            </w:tcBorders>
          </w:tcPr>
          <w:p>
            <w:pPr>
              <w:spacing w:after="0"/>
              <w:rPr>
                <w:sz w:val="17"/>
                <w:szCs w:val="17"/>
                <w:color w:val="auto"/>
              </w:rPr>
            </w:pPr>
          </w:p>
        </w:tc>
        <w:tc>
          <w:tcPr>
            <w:tcW w:w="206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Fourth Amended Certificate of Incorporation of Beam Therapeutics Inc.</w:t>
              </w:r>
            </w:hyperlink>
          </w:p>
        </w:tc>
        <w:tc>
          <w:tcPr>
            <w:tcW w:w="22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02/11/2020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Second Amended and Restated By-laws of Beam Therapeutics Inc.</w:t>
              </w:r>
            </w:hyperlink>
          </w:p>
        </w:tc>
        <w:tc>
          <w:tcPr>
            <w:tcW w:w="58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Specimen stock certificate evidencing shares of common stock</w:t>
              </w:r>
            </w:hyperlink>
          </w:p>
        </w:tc>
        <w:tc>
          <w:tcPr>
            <w:tcW w:w="20" w:type="dxa"/>
            <w:vAlign w:val="bottom"/>
            <w:tcBorders>
              <w:bottom w:val="single" w:sz="8" w:color="0000EE"/>
            </w:tcBorders>
          </w:tcPr>
          <w:p>
            <w:pPr>
              <w:spacing w:after="0"/>
              <w:rPr>
                <w:sz w:val="24"/>
                <w:szCs w:val="24"/>
                <w:color w:val="auto"/>
              </w:rPr>
            </w:pPr>
          </w:p>
        </w:tc>
        <w:tc>
          <w:tcPr>
            <w:tcW w:w="88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Amended and Restated Investors’ Rights Agreement, among Beam</w:t>
              </w:r>
            </w:hyperlink>
          </w:p>
        </w:tc>
        <w:tc>
          <w:tcPr>
            <w:tcW w:w="54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Therapeutics Inc. and the investors party thereto, dated November 8, 2018</w:t>
              </w:r>
            </w:hyperlink>
          </w:p>
        </w:tc>
        <w:tc>
          <w:tcPr>
            <w:tcW w:w="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Purchase Agreement, dated as of January 16, 2021, among Beam</w:t>
              </w:r>
            </w:hyperlink>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01/19/2021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Therapeutics Inc. and each purchaser party thereto</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Description of Registered Securities</w:t>
              </w:r>
            </w:hyperlink>
          </w:p>
        </w:tc>
        <w:tc>
          <w:tcPr>
            <w:tcW w:w="20" w:type="dxa"/>
            <w:vAlign w:val="bottom"/>
            <w:tcBorders>
              <w:top w:val="single" w:sz="8" w:color="0000FF"/>
              <w:bottom w:val="single" w:sz="8" w:color="0000EE"/>
            </w:tcBorders>
          </w:tcPr>
          <w:p>
            <w:pPr>
              <w:spacing w:after="0"/>
              <w:rPr>
                <w:sz w:val="24"/>
                <w:szCs w:val="24"/>
                <w:color w:val="auto"/>
              </w:rPr>
            </w:pPr>
          </w:p>
        </w:tc>
        <w:tc>
          <w:tcPr>
            <w:tcW w:w="1000" w:type="dxa"/>
            <w:vAlign w:val="bottom"/>
            <w:tcBorders>
              <w:top w:val="single" w:sz="8" w:color="0000FF"/>
            </w:tcBorders>
            <w:gridSpan w:val="6"/>
          </w:tcPr>
          <w:p>
            <w:pPr>
              <w:spacing w:after="0"/>
              <w:rPr>
                <w:sz w:val="24"/>
                <w:szCs w:val="24"/>
                <w:color w:val="auto"/>
              </w:rPr>
            </w:pPr>
          </w:p>
        </w:tc>
        <w:tc>
          <w:tcPr>
            <w:tcW w:w="1800" w:type="dxa"/>
            <w:vAlign w:val="bottom"/>
            <w:gridSpan w:val="15"/>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333-254946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4/01/2021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Lease, between UP 26 Landsdowne, LLC and Beam Therapeutics Inc.,</w:t>
              </w:r>
            </w:hyperlink>
          </w:p>
        </w:tc>
        <w:tc>
          <w:tcPr>
            <w:tcW w:w="28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dated February 21, 2018</w:t>
              </w:r>
            </w:hyperlink>
          </w:p>
        </w:tc>
        <w:tc>
          <w:tcPr>
            <w:tcW w:w="20" w:type="dxa"/>
            <w:vAlign w:val="bottom"/>
            <w:tcBorders>
              <w:bottom w:val="single" w:sz="8" w:color="0000EE"/>
            </w:tcBorders>
          </w:tcPr>
          <w:p>
            <w:pPr>
              <w:spacing w:after="0"/>
              <w:rPr>
                <w:sz w:val="17"/>
                <w:szCs w:val="17"/>
                <w:color w:val="auto"/>
              </w:rPr>
            </w:pPr>
          </w:p>
        </w:tc>
        <w:tc>
          <w:tcPr>
            <w:tcW w:w="3640" w:type="dxa"/>
            <w:vAlign w:val="bottom"/>
            <w:gridSpan w:val="23"/>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Indenture of Lease, between Massachusetts Institute of Technology and</w:t>
              </w:r>
            </w:hyperlink>
          </w:p>
        </w:tc>
        <w:tc>
          <w:tcPr>
            <w:tcW w:w="24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Beam Therapeutics Inc., dated April 24, 2019</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Sales Agreement, dated April 1, 2021, by and between Beam Therapeutics</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04/01/2021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Inc. and Jefferies LLC.</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25"/>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License Agreement, between the President and Fellows of Harvard College</w:t>
              </w:r>
            </w:hyperlink>
          </w:p>
        </w:tc>
        <w:tc>
          <w:tcPr>
            <w:tcW w:w="40" w:type="dxa"/>
            <w:vAlign w:val="bottom"/>
            <w:tcBorders>
              <w:bottom w:val="single" w:sz="8" w:color="0000FF"/>
            </w:tcBorders>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and Beam Therapeutics Inc., dated June 27, 2017</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Amendment No. 1 to License Agreement, between the President and</w:t>
              </w:r>
            </w:hyperlink>
          </w:p>
        </w:tc>
        <w:tc>
          <w:tcPr>
            <w:tcW w:w="44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Fellows of Harvard College and Beam Therapeutics Inc., dated December</w:t>
              </w:r>
            </w:hyperlink>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80" w:type="dxa"/>
            <w:vAlign w:val="bottom"/>
            <w:gridSpan w:val="4"/>
          </w:tcPr>
          <w:p>
            <w:pPr>
              <w:ind w:left="140"/>
              <w:spacing w:after="0" w:line="196" w:lineRule="exact"/>
              <w:rPr>
                <w:rFonts w:ascii="Times New Roman" w:cs="Times New Roman" w:eastAsia="Times New Roman" w:hAnsi="Times New Roman"/>
                <w:sz w:val="18"/>
                <w:szCs w:val="18"/>
                <w:color w:val="0000FF"/>
                <w:w w:val="95"/>
              </w:rPr>
            </w:pPr>
            <w:hyperlink r:id="rId176">
              <w:r>
                <w:rPr>
                  <w:rFonts w:ascii="Times New Roman" w:cs="Times New Roman" w:eastAsia="Times New Roman" w:hAnsi="Times New Roman"/>
                  <w:sz w:val="18"/>
                  <w:szCs w:val="18"/>
                  <w:color w:val="0000FF"/>
                  <w:w w:val="95"/>
                </w:rPr>
                <w:t>12, 2017</w:t>
              </w:r>
            </w:hyperlink>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Amendment No. 2 to License Agreement, between the President and</w:t>
              </w:r>
            </w:hyperlink>
          </w:p>
        </w:tc>
        <w:tc>
          <w:tcPr>
            <w:tcW w:w="44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Fellows of Harvard College and Beam Therapeutics Inc., dated March 27,</w:t>
              </w:r>
            </w:hyperlink>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00" w:type="dxa"/>
            <w:vAlign w:val="bottom"/>
            <w:gridSpan w:val="3"/>
          </w:tcPr>
          <w:p>
            <w:pPr>
              <w:ind w:left="140"/>
              <w:spacing w:after="0" w:line="196" w:lineRule="exact"/>
              <w:rPr>
                <w:rFonts w:ascii="Times New Roman" w:cs="Times New Roman" w:eastAsia="Times New Roman" w:hAnsi="Times New Roman"/>
                <w:sz w:val="18"/>
                <w:szCs w:val="18"/>
                <w:color w:val="0000FF"/>
                <w:w w:val="94"/>
              </w:rPr>
            </w:pPr>
            <w:hyperlink r:id="rId177">
              <w:r>
                <w:rPr>
                  <w:rFonts w:ascii="Times New Roman" w:cs="Times New Roman" w:eastAsia="Times New Roman" w:hAnsi="Times New Roman"/>
                  <w:sz w:val="18"/>
                  <w:szCs w:val="18"/>
                  <w:color w:val="0000FF"/>
                  <w:w w:val="94"/>
                </w:rPr>
                <w:t>2020</w:t>
              </w:r>
            </w:hyperlink>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7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License Agreement, between The Broad Institute, Inc. and Blink</w:t>
              </w:r>
            </w:hyperlink>
          </w:p>
        </w:tc>
        <w:tc>
          <w:tcPr>
            <w:tcW w:w="74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Therapeutics Inc., dated May 9, 2018</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8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680" w:type="dxa"/>
            <w:vAlign w:val="bottom"/>
            <w:tcBorders>
              <w:top w:val="single" w:sz="8" w:color="0000FF"/>
            </w:tcBorders>
            <w:gridSpan w:val="9"/>
          </w:tcPr>
          <w:p>
            <w:pPr>
              <w:spacing w:after="0"/>
              <w:rPr>
                <w:sz w:val="24"/>
                <w:szCs w:val="24"/>
                <w:color w:val="auto"/>
              </w:rPr>
            </w:pPr>
          </w:p>
        </w:tc>
        <w:tc>
          <w:tcPr>
            <w:tcW w:w="216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5440" w:type="dxa"/>
            <w:vAlign w:val="bottom"/>
            <w:tcBorders>
              <w:bottom w:val="single" w:sz="8" w:color="0000FF"/>
            </w:tcBorders>
            <w:gridSpan w:val="4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First Amendment to License Agreement, between The Broad Institute, Inc.</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10.8</w:t>
            </w:r>
          </w:p>
        </w:tc>
      </w:tr>
      <w:tr>
        <w:trPr>
          <w:trHeight w:val="196"/>
        </w:trPr>
        <w:tc>
          <w:tcPr>
            <w:tcW w:w="960" w:type="dxa"/>
            <w:vAlign w:val="bottom"/>
          </w:tcPr>
          <w:p>
            <w:pPr>
              <w:spacing w:after="0"/>
              <w:rPr>
                <w:sz w:val="17"/>
                <w:szCs w:val="17"/>
                <w:color w:val="auto"/>
              </w:rPr>
            </w:pPr>
          </w:p>
        </w:tc>
        <w:tc>
          <w:tcPr>
            <w:tcW w:w="38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and Blink Therapeutics Inc., dated September 4, 2018</w:t>
              </w:r>
            </w:hyperlink>
          </w:p>
        </w:tc>
        <w:tc>
          <w:tcPr>
            <w:tcW w:w="20" w:type="dxa"/>
            <w:vAlign w:val="bottom"/>
            <w:tcBorders>
              <w:bottom w:val="single" w:sz="8" w:color="0000EE"/>
            </w:tcBorders>
          </w:tcPr>
          <w:p>
            <w:pPr>
              <w:spacing w:after="0"/>
              <w:rPr>
                <w:sz w:val="17"/>
                <w:szCs w:val="17"/>
                <w:color w:val="auto"/>
              </w:rPr>
            </w:pPr>
          </w:p>
        </w:tc>
        <w:tc>
          <w:tcPr>
            <w:tcW w:w="15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5440" w:type="dxa"/>
            <w:vAlign w:val="bottom"/>
            <w:tcBorders>
              <w:bottom w:val="single" w:sz="8" w:color="0000FF"/>
            </w:tcBorders>
            <w:gridSpan w:val="45"/>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License Agreement, between Editas Medicine, Inc. and Beam Therapeutics</w:t>
              </w:r>
            </w:hyperlink>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10.6</w:t>
            </w:r>
          </w:p>
        </w:tc>
      </w:tr>
      <w:tr>
        <w:trPr>
          <w:trHeight w:val="196"/>
        </w:trPr>
        <w:tc>
          <w:tcPr>
            <w:tcW w:w="960" w:type="dxa"/>
            <w:vAlign w:val="bottom"/>
          </w:tcPr>
          <w:p>
            <w:pPr>
              <w:spacing w:after="0"/>
              <w:rPr>
                <w:sz w:val="17"/>
                <w:szCs w:val="17"/>
                <w:color w:val="auto"/>
              </w:rPr>
            </w:pPr>
          </w:p>
        </w:tc>
        <w:tc>
          <w:tcPr>
            <w:tcW w:w="5440" w:type="dxa"/>
            <w:vAlign w:val="bottom"/>
            <w:gridSpan w:val="45"/>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Inc., dated May 9, 2018</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530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Letter Agreement, between Beam Therapeutics Inc., The Broad Institute,</w:t>
              </w:r>
            </w:hyperlink>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10.10</w:t>
            </w:r>
          </w:p>
        </w:tc>
      </w:tr>
      <w:tr>
        <w:trPr>
          <w:trHeight w:val="196"/>
        </w:trPr>
        <w:tc>
          <w:tcPr>
            <w:tcW w:w="960" w:type="dxa"/>
            <w:vAlign w:val="bottom"/>
          </w:tcPr>
          <w:p>
            <w:pPr>
              <w:spacing w:after="0"/>
              <w:rPr>
                <w:sz w:val="17"/>
                <w:szCs w:val="17"/>
                <w:color w:val="auto"/>
              </w:rPr>
            </w:pPr>
          </w:p>
        </w:tc>
        <w:tc>
          <w:tcPr>
            <w:tcW w:w="530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Inc., the President and Fellows of Harvard College, and Editas Medicine,</w:t>
              </w:r>
            </w:hyperlink>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2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Inc., dated September 26, 2018</w:t>
              </w:r>
            </w:hyperlink>
          </w:p>
        </w:tc>
        <w:tc>
          <w:tcPr>
            <w:tcW w:w="3200" w:type="dxa"/>
            <w:vAlign w:val="bottom"/>
            <w:gridSpan w:val="3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540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Letter Agreement, between the President and Fellows of Harvard College,</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03/15/22021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10.11</w:t>
            </w:r>
          </w:p>
        </w:tc>
      </w:tr>
      <w:tr>
        <w:trPr>
          <w:trHeight w:val="196"/>
        </w:trPr>
        <w:tc>
          <w:tcPr>
            <w:tcW w:w="960" w:type="dxa"/>
            <w:vAlign w:val="bottom"/>
          </w:tcPr>
          <w:p>
            <w:pPr>
              <w:spacing w:after="0"/>
              <w:rPr>
                <w:sz w:val="17"/>
                <w:szCs w:val="17"/>
                <w:color w:val="auto"/>
              </w:rPr>
            </w:pPr>
          </w:p>
        </w:tc>
        <w:tc>
          <w:tcPr>
            <w:tcW w:w="5440" w:type="dxa"/>
            <w:vAlign w:val="bottom"/>
            <w:gridSpan w:val="45"/>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The Broad Institute, Inc., and Beam Therapeutics Inc., dated January 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84">
              <w:r>
                <w:rPr>
                  <w:rFonts w:ascii="Times New Roman" w:cs="Times New Roman" w:eastAsia="Times New Roman" w:hAnsi="Times New Roman"/>
                  <w:sz w:val="18"/>
                  <w:szCs w:val="18"/>
                  <w:color w:val="0000FF"/>
                  <w:w w:val="93"/>
                </w:rPr>
                <w:t>2021.</w:t>
              </w:r>
            </w:hyperlink>
          </w:p>
        </w:tc>
        <w:tc>
          <w:tcPr>
            <w:tcW w:w="20" w:type="dxa"/>
            <w:vAlign w:val="bottom"/>
            <w:tcBorders>
              <w:top w:val="single" w:sz="8" w:color="0000FF"/>
              <w:bottom w:val="single" w:sz="8" w:color="0000EE"/>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540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License Agreement, between Bio Palette Co., Ltd. and Beam Therapeutics</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10.7</w:t>
            </w: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Inc., dated March 27, 2019</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3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2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Beam Therapeutics Inc. 2017 Stock Option and Grant Plan</w:t>
              </w:r>
            </w:hyperlink>
          </w:p>
        </w:tc>
        <w:tc>
          <w:tcPr>
            <w:tcW w:w="20" w:type="dxa"/>
            <w:vAlign w:val="bottom"/>
            <w:tcBorders>
              <w:bottom w:val="single" w:sz="8" w:color="0000EE"/>
            </w:tcBorders>
          </w:tcPr>
          <w:p>
            <w:pPr>
              <w:spacing w:after="0"/>
              <w:rPr>
                <w:sz w:val="24"/>
                <w:szCs w:val="24"/>
                <w:color w:val="auto"/>
              </w:rPr>
            </w:pPr>
          </w:p>
        </w:tc>
        <w:tc>
          <w:tcPr>
            <w:tcW w:w="118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10.8</w:t>
            </w: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51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Restricted Stock Agreement under the Beam Therapeutics Inc.</w:t>
              </w:r>
            </w:hyperlink>
          </w:p>
        </w:tc>
        <w:tc>
          <w:tcPr>
            <w:tcW w:w="26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10.9</w:t>
            </w:r>
          </w:p>
        </w:tc>
      </w:tr>
      <w:tr>
        <w:trPr>
          <w:trHeight w:val="196"/>
        </w:trPr>
        <w:tc>
          <w:tcPr>
            <w:tcW w:w="960" w:type="dxa"/>
            <w:vAlign w:val="bottom"/>
          </w:tcPr>
          <w:p>
            <w:pPr>
              <w:spacing w:after="0"/>
              <w:rPr>
                <w:sz w:val="17"/>
                <w:szCs w:val="17"/>
                <w:color w:val="auto"/>
              </w:rPr>
            </w:pPr>
          </w:p>
        </w:tc>
        <w:tc>
          <w:tcPr>
            <w:tcW w:w="24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8"/>
              </w:rPr>
            </w:pPr>
            <w:hyperlink r:id="rId187">
              <w:r>
                <w:rPr>
                  <w:rFonts w:ascii="Times New Roman" w:cs="Times New Roman" w:eastAsia="Times New Roman" w:hAnsi="Times New Roman"/>
                  <w:sz w:val="18"/>
                  <w:szCs w:val="18"/>
                  <w:color w:val="0000FF"/>
                  <w:w w:val="98"/>
                </w:rPr>
                <w:t>2017 Stock Option and Grant Plan</w:t>
              </w:r>
            </w:hyperlink>
          </w:p>
        </w:tc>
        <w:tc>
          <w:tcPr>
            <w:tcW w:w="20" w:type="dxa"/>
            <w:vAlign w:val="bottom"/>
            <w:tcBorders>
              <w:bottom w:val="single" w:sz="8" w:color="0000EE"/>
            </w:tcBorders>
          </w:tcPr>
          <w:p>
            <w:pPr>
              <w:spacing w:after="0"/>
              <w:rPr>
                <w:sz w:val="17"/>
                <w:szCs w:val="17"/>
                <w:color w:val="auto"/>
              </w:rPr>
            </w:pPr>
          </w:p>
        </w:tc>
        <w:tc>
          <w:tcPr>
            <w:tcW w:w="2940" w:type="dxa"/>
            <w:vAlign w:val="bottom"/>
            <w:gridSpan w:val="3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5440" w:type="dxa"/>
            <w:vAlign w:val="bottom"/>
            <w:tcBorders>
              <w:bottom w:val="single" w:sz="8" w:color="0000FF"/>
            </w:tcBorders>
            <w:gridSpan w:val="45"/>
          </w:tcPr>
          <w:p>
            <w:pPr>
              <w:spacing w:after="0"/>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Form of Incentive Stock Option Grant Notice under the Beam Therapeutics</w:t>
              </w:r>
            </w:hyperlink>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10.10</w:t>
            </w:r>
          </w:p>
        </w:tc>
      </w:tr>
      <w:tr>
        <w:trPr>
          <w:trHeight w:val="196"/>
        </w:trPr>
        <w:tc>
          <w:tcPr>
            <w:tcW w:w="960" w:type="dxa"/>
            <w:vAlign w:val="bottom"/>
          </w:tcPr>
          <w:p>
            <w:pPr>
              <w:spacing w:after="0"/>
              <w:rPr>
                <w:sz w:val="17"/>
                <w:szCs w:val="17"/>
                <w:color w:val="auto"/>
              </w:rPr>
            </w:pPr>
          </w:p>
        </w:tc>
        <w:tc>
          <w:tcPr>
            <w:tcW w:w="28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Inc. 2017 Stock Option and Grant Plan</w:t>
              </w:r>
            </w:hyperlink>
          </w:p>
        </w:tc>
        <w:tc>
          <w:tcPr>
            <w:tcW w:w="20" w:type="dxa"/>
            <w:vAlign w:val="bottom"/>
            <w:tcBorders>
              <w:bottom w:val="single" w:sz="8" w:color="0000EE"/>
            </w:tcBorders>
          </w:tcPr>
          <w:p>
            <w:pPr>
              <w:spacing w:after="0"/>
              <w:rPr>
                <w:sz w:val="17"/>
                <w:szCs w:val="17"/>
                <w:color w:val="auto"/>
              </w:rPr>
            </w:pPr>
          </w:p>
        </w:tc>
        <w:tc>
          <w:tcPr>
            <w:tcW w:w="262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9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Non-Qualified Stock Option Grant Notice under the Beam</w:t>
              </w:r>
            </w:hyperlink>
          </w:p>
        </w:tc>
        <w:tc>
          <w:tcPr>
            <w:tcW w:w="5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10.11</w:t>
            </w:r>
          </w:p>
        </w:tc>
      </w:tr>
      <w:tr>
        <w:trPr>
          <w:trHeight w:val="196"/>
        </w:trPr>
        <w:tc>
          <w:tcPr>
            <w:tcW w:w="960" w:type="dxa"/>
            <w:vAlign w:val="bottom"/>
          </w:tcPr>
          <w:p>
            <w:pPr>
              <w:spacing w:after="0"/>
              <w:rPr>
                <w:sz w:val="17"/>
                <w:szCs w:val="17"/>
                <w:color w:val="auto"/>
              </w:rPr>
            </w:pPr>
          </w:p>
        </w:tc>
        <w:tc>
          <w:tcPr>
            <w:tcW w:w="37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Therapeutics Inc. 2017 Stock Option and Grant Plan</w:t>
              </w:r>
            </w:hyperlink>
          </w:p>
        </w:tc>
        <w:tc>
          <w:tcPr>
            <w:tcW w:w="20" w:type="dxa"/>
            <w:vAlign w:val="bottom"/>
            <w:tcBorders>
              <w:bottom w:val="single" w:sz="8" w:color="0000EE"/>
            </w:tcBorders>
          </w:tcPr>
          <w:p>
            <w:pPr>
              <w:spacing w:after="0"/>
              <w:rPr>
                <w:sz w:val="17"/>
                <w:szCs w:val="17"/>
                <w:color w:val="auto"/>
              </w:rPr>
            </w:pPr>
          </w:p>
        </w:tc>
        <w:tc>
          <w:tcPr>
            <w:tcW w:w="164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536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of Indemnification Agreement between Beam Therapeutics Inc. and</w:t>
              </w:r>
            </w:hyperlink>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10.12</w:t>
            </w:r>
          </w:p>
        </w:tc>
      </w:tr>
      <w:tr>
        <w:trPr>
          <w:trHeight w:val="196"/>
        </w:trPr>
        <w:tc>
          <w:tcPr>
            <w:tcW w:w="960" w:type="dxa"/>
            <w:vAlign w:val="bottom"/>
          </w:tcPr>
          <w:p>
            <w:pPr>
              <w:spacing w:after="0"/>
              <w:rPr>
                <w:sz w:val="17"/>
                <w:szCs w:val="17"/>
                <w:color w:val="auto"/>
              </w:rPr>
            </w:pPr>
          </w:p>
        </w:tc>
        <w:tc>
          <w:tcPr>
            <w:tcW w:w="17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its directors and officers</w:t>
              </w:r>
            </w:hyperlink>
          </w:p>
        </w:tc>
        <w:tc>
          <w:tcPr>
            <w:tcW w:w="20" w:type="dxa"/>
            <w:vAlign w:val="bottom"/>
            <w:tcBorders>
              <w:bottom w:val="single" w:sz="8" w:color="0000EE"/>
            </w:tcBorders>
          </w:tcPr>
          <w:p>
            <w:pPr>
              <w:spacing w:after="0"/>
              <w:rPr>
                <w:sz w:val="17"/>
                <w:szCs w:val="17"/>
                <w:color w:val="auto"/>
              </w:rPr>
            </w:pPr>
          </w:p>
        </w:tc>
        <w:tc>
          <w:tcPr>
            <w:tcW w:w="3680" w:type="dxa"/>
            <w:vAlign w:val="bottom"/>
            <w:gridSpan w:val="3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5440" w:type="dxa"/>
            <w:vAlign w:val="bottom"/>
            <w:tcBorders>
              <w:bottom w:val="single" w:sz="8" w:color="0000FF"/>
            </w:tcBorders>
            <w:gridSpan w:val="45"/>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Amended and Restated Letter Agreement between Beam Therapeutics Inc.</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08/10/2021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960" w:type="dxa"/>
            <w:vAlign w:val="bottom"/>
          </w:tcPr>
          <w:p>
            <w:pPr>
              <w:spacing w:after="0"/>
              <w:rPr>
                <w:sz w:val="17"/>
                <w:szCs w:val="17"/>
                <w:color w:val="auto"/>
              </w:rPr>
            </w:pPr>
          </w:p>
        </w:tc>
        <w:tc>
          <w:tcPr>
            <w:tcW w:w="5440" w:type="dxa"/>
            <w:vAlign w:val="bottom"/>
            <w:gridSpan w:val="45"/>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and John Evans, dated June 9, 2021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6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Amended and Restated Employment Agreement between Beam</w:t>
              </w:r>
            </w:hyperlink>
          </w:p>
        </w:tc>
        <w:tc>
          <w:tcPr>
            <w:tcW w:w="8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10.14</w:t>
            </w:r>
          </w:p>
        </w:tc>
      </w:tr>
      <w:tr>
        <w:trPr>
          <w:trHeight w:val="196"/>
        </w:trPr>
        <w:tc>
          <w:tcPr>
            <w:tcW w:w="960" w:type="dxa"/>
            <w:vAlign w:val="bottom"/>
          </w:tcPr>
          <w:p>
            <w:pPr>
              <w:spacing w:after="0"/>
              <w:rPr>
                <w:sz w:val="17"/>
                <w:szCs w:val="17"/>
                <w:color w:val="auto"/>
              </w:rPr>
            </w:pPr>
          </w:p>
        </w:tc>
        <w:tc>
          <w:tcPr>
            <w:tcW w:w="5440" w:type="dxa"/>
            <w:vAlign w:val="bottom"/>
            <w:gridSpan w:val="45"/>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Therapeutics Inc. and Giuseppe Ciaramella, dated January 24, 2020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542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Letter Agreement between Beam Therapeutics Inc. and Terry-Ann Burrell,</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196"/>
        </w:trPr>
        <w:tc>
          <w:tcPr>
            <w:tcW w:w="960" w:type="dxa"/>
            <w:vAlign w:val="bottom"/>
          </w:tcPr>
          <w:p>
            <w:pPr>
              <w:spacing w:after="0"/>
              <w:rPr>
                <w:sz w:val="17"/>
                <w:szCs w:val="17"/>
                <w:color w:val="auto"/>
              </w:rPr>
            </w:pPr>
          </w:p>
        </w:tc>
        <w:tc>
          <w:tcPr>
            <w:tcW w:w="5440" w:type="dxa"/>
            <w:vAlign w:val="bottom"/>
            <w:gridSpan w:val="45"/>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dated January 24, 2020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Beam Therapeutics Inc. 2019 Equity Incentive Plan</w:t>
              </w:r>
            </w:hyperlink>
          </w:p>
        </w:tc>
        <w:tc>
          <w:tcPr>
            <w:tcW w:w="20" w:type="dxa"/>
            <w:vAlign w:val="bottom"/>
            <w:tcBorders>
              <w:bottom w:val="single" w:sz="8" w:color="0000EE"/>
            </w:tcBorders>
          </w:tcPr>
          <w:p>
            <w:pPr>
              <w:spacing w:after="0"/>
              <w:rPr>
                <w:sz w:val="24"/>
                <w:szCs w:val="24"/>
                <w:color w:val="auto"/>
              </w:rPr>
            </w:pPr>
          </w:p>
        </w:tc>
        <w:tc>
          <w:tcPr>
            <w:tcW w:w="1700" w:type="dxa"/>
            <w:vAlign w:val="bottom"/>
            <w:gridSpan w:val="2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534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Incentive Stock Option Agreement under the Beam Therapeutics</w:t>
              </w:r>
            </w:hyperlink>
          </w:p>
        </w:tc>
        <w:tc>
          <w:tcPr>
            <w:tcW w:w="1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196"/>
        </w:trPr>
        <w:tc>
          <w:tcPr>
            <w:tcW w:w="960" w:type="dxa"/>
            <w:vAlign w:val="bottom"/>
          </w:tcPr>
          <w:p>
            <w:pPr>
              <w:spacing w:after="0"/>
              <w:rPr>
                <w:sz w:val="17"/>
                <w:szCs w:val="17"/>
                <w:color w:val="auto"/>
              </w:rPr>
            </w:pPr>
          </w:p>
        </w:tc>
        <w:tc>
          <w:tcPr>
            <w:tcW w:w="22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Inc. 2019 Equity Incentive Plan</w:t>
              </w:r>
            </w:hyperlink>
          </w:p>
        </w:tc>
        <w:tc>
          <w:tcPr>
            <w:tcW w:w="20" w:type="dxa"/>
            <w:vAlign w:val="bottom"/>
            <w:tcBorders>
              <w:bottom w:val="single" w:sz="8" w:color="0000EE"/>
            </w:tcBorders>
          </w:tcPr>
          <w:p>
            <w:pPr>
              <w:spacing w:after="0"/>
              <w:rPr>
                <w:sz w:val="17"/>
                <w:szCs w:val="17"/>
                <w:color w:val="auto"/>
              </w:rPr>
            </w:pPr>
          </w:p>
        </w:tc>
        <w:tc>
          <w:tcPr>
            <w:tcW w:w="3140" w:type="dxa"/>
            <w:vAlign w:val="bottom"/>
            <w:gridSpan w:val="3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7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of Non-Statutory Stock Option Agreement under the Beam</w:t>
              </w:r>
            </w:hyperlink>
          </w:p>
        </w:tc>
        <w:tc>
          <w:tcPr>
            <w:tcW w:w="72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196"/>
        </w:trPr>
        <w:tc>
          <w:tcPr>
            <w:tcW w:w="960" w:type="dxa"/>
            <w:vAlign w:val="bottom"/>
          </w:tcPr>
          <w:p>
            <w:pPr>
              <w:spacing w:after="0"/>
              <w:rPr>
                <w:sz w:val="17"/>
                <w:szCs w:val="17"/>
                <w:color w:val="auto"/>
              </w:rPr>
            </w:pPr>
          </w:p>
        </w:tc>
        <w:tc>
          <w:tcPr>
            <w:tcW w:w="32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Therapeutics Inc. 2019 Equity Incentive Plan</w:t>
              </w:r>
            </w:hyperlink>
          </w:p>
        </w:tc>
        <w:tc>
          <w:tcPr>
            <w:tcW w:w="20" w:type="dxa"/>
            <w:vAlign w:val="bottom"/>
            <w:tcBorders>
              <w:bottom w:val="single" w:sz="8" w:color="0000EE"/>
            </w:tcBorders>
          </w:tcPr>
          <w:p>
            <w:pPr>
              <w:spacing w:after="0"/>
              <w:rPr>
                <w:sz w:val="17"/>
                <w:szCs w:val="17"/>
                <w:color w:val="auto"/>
              </w:rPr>
            </w:pPr>
          </w:p>
        </w:tc>
        <w:tc>
          <w:tcPr>
            <w:tcW w:w="21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7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of Non-Statutory Stock Option Agreement (Non-Employee</w:t>
              </w:r>
            </w:hyperlink>
          </w:p>
        </w:tc>
        <w:tc>
          <w:tcPr>
            <w:tcW w:w="7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10.19</w:t>
            </w:r>
          </w:p>
        </w:tc>
      </w:tr>
      <w:tr>
        <w:trPr>
          <w:trHeight w:val="196"/>
        </w:trPr>
        <w:tc>
          <w:tcPr>
            <w:tcW w:w="960" w:type="dxa"/>
            <w:vAlign w:val="bottom"/>
          </w:tcPr>
          <w:p>
            <w:pPr>
              <w:spacing w:after="0"/>
              <w:rPr>
                <w:sz w:val="17"/>
                <w:szCs w:val="17"/>
                <w:color w:val="auto"/>
              </w:rPr>
            </w:pPr>
          </w:p>
        </w:tc>
        <w:tc>
          <w:tcPr>
            <w:tcW w:w="5440" w:type="dxa"/>
            <w:vAlign w:val="bottom"/>
            <w:gridSpan w:val="45"/>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Directors) under the Beam Therapeutics Inc. 2019 Equity Incentive Plan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760" w:type="dxa"/>
            <w:vAlign w:val="bottom"/>
            <w:tcBorders>
              <w:top w:val="single" w:sz="8" w:color="0000FF"/>
              <w:bottom w:val="single" w:sz="8" w:color="0000FF"/>
            </w:tcBorders>
            <w:gridSpan w:val="32"/>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Form of Restricted Stock Unit Award Agreement under the Beam</w:t>
              </w:r>
            </w:hyperlink>
          </w:p>
        </w:tc>
        <w:tc>
          <w:tcPr>
            <w:tcW w:w="440" w:type="dxa"/>
            <w:vAlign w:val="bottom"/>
            <w:tcBorders>
              <w:top w:val="single" w:sz="8" w:color="0000FF"/>
            </w:tcBorders>
            <w:gridSpan w:val="5"/>
          </w:tcPr>
          <w:p>
            <w:pPr>
              <w:spacing w:after="0"/>
              <w:rPr>
                <w:sz w:val="24"/>
                <w:szCs w:val="24"/>
                <w:color w:val="auto"/>
              </w:rPr>
            </w:pPr>
          </w:p>
        </w:tc>
        <w:tc>
          <w:tcPr>
            <w:tcW w:w="2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10.25</w:t>
            </w:r>
          </w:p>
        </w:tc>
      </w:tr>
      <w:tr>
        <w:trPr>
          <w:trHeight w:val="196"/>
        </w:trPr>
        <w:tc>
          <w:tcPr>
            <w:tcW w:w="960" w:type="dxa"/>
            <w:vAlign w:val="bottom"/>
          </w:tcPr>
          <w:p>
            <w:pPr>
              <w:spacing w:after="0"/>
              <w:rPr>
                <w:sz w:val="17"/>
                <w:szCs w:val="17"/>
                <w:color w:val="auto"/>
              </w:rPr>
            </w:pPr>
          </w:p>
        </w:tc>
        <w:tc>
          <w:tcPr>
            <w:tcW w:w="32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Therapeutics Inc. 2019 Equity Incentive Plan</w:t>
              </w:r>
            </w:hyperlink>
          </w:p>
        </w:tc>
        <w:tc>
          <w:tcPr>
            <w:tcW w:w="20" w:type="dxa"/>
            <w:vAlign w:val="bottom"/>
            <w:tcBorders>
              <w:bottom w:val="single" w:sz="8" w:color="0000EE"/>
            </w:tcBorders>
          </w:tcPr>
          <w:p>
            <w:pPr>
              <w:spacing w:after="0"/>
              <w:rPr>
                <w:sz w:val="17"/>
                <w:szCs w:val="17"/>
                <w:color w:val="auto"/>
              </w:rPr>
            </w:pPr>
          </w:p>
        </w:tc>
        <w:tc>
          <w:tcPr>
            <w:tcW w:w="21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538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Restricted Stock Award Agreement under the Beam Therapeutics</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10.26</w:t>
            </w:r>
          </w:p>
        </w:tc>
      </w:tr>
      <w:tr>
        <w:trPr>
          <w:trHeight w:val="196"/>
        </w:trPr>
        <w:tc>
          <w:tcPr>
            <w:tcW w:w="960" w:type="dxa"/>
            <w:vAlign w:val="bottom"/>
          </w:tcPr>
          <w:p>
            <w:pPr>
              <w:spacing w:after="0"/>
              <w:rPr>
                <w:sz w:val="17"/>
                <w:szCs w:val="17"/>
                <w:color w:val="auto"/>
              </w:rPr>
            </w:pPr>
          </w:p>
        </w:tc>
        <w:tc>
          <w:tcPr>
            <w:tcW w:w="22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Inc. 2019 Equity Incentive Plan</w:t>
              </w:r>
            </w:hyperlink>
          </w:p>
        </w:tc>
        <w:tc>
          <w:tcPr>
            <w:tcW w:w="20" w:type="dxa"/>
            <w:vAlign w:val="bottom"/>
            <w:tcBorders>
              <w:bottom w:val="single" w:sz="8" w:color="0000EE"/>
            </w:tcBorders>
          </w:tcPr>
          <w:p>
            <w:pPr>
              <w:spacing w:after="0"/>
              <w:rPr>
                <w:sz w:val="17"/>
                <w:szCs w:val="17"/>
                <w:color w:val="auto"/>
              </w:rPr>
            </w:pPr>
          </w:p>
        </w:tc>
        <w:tc>
          <w:tcPr>
            <w:tcW w:w="3140" w:type="dxa"/>
            <w:vAlign w:val="bottom"/>
            <w:gridSpan w:val="3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51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Beam Therapeutics Inc. 2019 Employee Stock</w:t>
              </w:r>
            </w:hyperlink>
          </w:p>
        </w:tc>
        <w:tc>
          <w:tcPr>
            <w:tcW w:w="3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10.27</w:t>
            </w:r>
          </w:p>
        </w:tc>
      </w:tr>
      <w:tr>
        <w:trPr>
          <w:trHeight w:val="196"/>
        </w:trPr>
        <w:tc>
          <w:tcPr>
            <w:tcW w:w="960" w:type="dxa"/>
            <w:vAlign w:val="bottom"/>
          </w:tcPr>
          <w:p>
            <w:pPr>
              <w:spacing w:after="0"/>
              <w:rPr>
                <w:sz w:val="17"/>
                <w:szCs w:val="17"/>
                <w:color w:val="auto"/>
              </w:rPr>
            </w:pPr>
          </w:p>
        </w:tc>
        <w:tc>
          <w:tcPr>
            <w:tcW w:w="5440" w:type="dxa"/>
            <w:vAlign w:val="bottom"/>
            <w:gridSpan w:val="45"/>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Purchase Plan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18"/>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36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Beam Therapeutics Inc. 2019 Cash Incentive Plan</w:t>
              </w:r>
            </w:hyperlink>
          </w:p>
        </w:tc>
        <w:tc>
          <w:tcPr>
            <w:tcW w:w="20" w:type="dxa"/>
            <w:vAlign w:val="bottom"/>
            <w:tcBorders>
              <w:bottom w:val="single" w:sz="8" w:color="0000EE"/>
            </w:tcBorders>
          </w:tcPr>
          <w:p>
            <w:pPr>
              <w:spacing w:after="0"/>
              <w:rPr>
                <w:sz w:val="24"/>
                <w:szCs w:val="24"/>
                <w:color w:val="auto"/>
              </w:rPr>
            </w:pPr>
          </w:p>
        </w:tc>
        <w:tc>
          <w:tcPr>
            <w:tcW w:w="1820" w:type="dxa"/>
            <w:vAlign w:val="bottom"/>
            <w:gridSpan w:val="2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10.21</w:t>
            </w: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526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rPr>
              <w:t>Amended and Restated Beam Therapeutics Inc. Non-Employee Director</w:t>
            </w:r>
          </w:p>
        </w:tc>
        <w:tc>
          <w:tcPr>
            <w:tcW w:w="1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60" w:type="dxa"/>
            <w:vAlign w:val="bottom"/>
          </w:tcPr>
          <w:p>
            <w:pPr>
              <w:spacing w:after="0"/>
              <w:rPr>
                <w:sz w:val="17"/>
                <w:szCs w:val="17"/>
                <w:color w:val="auto"/>
              </w:rPr>
            </w:pPr>
          </w:p>
        </w:tc>
        <w:tc>
          <w:tcPr>
            <w:tcW w:w="54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FF"/>
              </w:rPr>
              <w:t>Compensation Policy, dated January 22, 2024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15"/>
        </w:trPr>
        <w:tc>
          <w:tcPr>
            <w:tcW w:w="960" w:type="dxa"/>
            <w:vAlign w:val="bottom"/>
          </w:tcPr>
          <w:p>
            <w:pPr>
              <w:spacing w:after="0"/>
              <w:rPr>
                <w:sz w:val="24"/>
                <w:szCs w:val="24"/>
                <w:color w:val="auto"/>
              </w:rPr>
            </w:pPr>
          </w:p>
        </w:tc>
        <w:tc>
          <w:tcPr>
            <w:tcW w:w="3280" w:type="dxa"/>
            <w:vAlign w:val="bottom"/>
            <w:tcBorders>
              <w:top w:val="single" w:sz="8" w:color="0000FF"/>
            </w:tcBorders>
            <w:gridSpan w:val="18"/>
          </w:tcPr>
          <w:p>
            <w:pPr>
              <w:spacing w:after="0"/>
              <w:rPr>
                <w:sz w:val="24"/>
                <w:szCs w:val="24"/>
                <w:color w:val="auto"/>
              </w:rPr>
            </w:pPr>
          </w:p>
        </w:tc>
        <w:tc>
          <w:tcPr>
            <w:tcW w:w="1600" w:type="dxa"/>
            <w:vAlign w:val="bottom"/>
            <w:gridSpan w:val="15"/>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3"/>
        </w:trPr>
        <w:tc>
          <w:tcPr>
            <w:tcW w:w="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879"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52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Lease Agreement between Beam Therapeutics Inc. and ARE-NC Region</w:t>
              </w:r>
            </w:hyperlink>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08/12/2020</w:t>
            </w:r>
          </w:p>
        </w:tc>
        <w:tc>
          <w:tcPr>
            <w:tcW w:w="1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960" w:type="dxa"/>
            <w:vAlign w:val="bottom"/>
          </w:tcPr>
          <w:p>
            <w:pPr>
              <w:spacing w:after="0"/>
              <w:rPr>
                <w:sz w:val="17"/>
                <w:szCs w:val="17"/>
                <w:color w:val="auto"/>
              </w:rPr>
            </w:pPr>
          </w:p>
        </w:tc>
        <w:tc>
          <w:tcPr>
            <w:tcW w:w="9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No. 14, LLC</w:t>
              </w:r>
            </w:hyperlink>
          </w:p>
        </w:tc>
        <w:tc>
          <w:tcPr>
            <w:tcW w:w="454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53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Amendment No. 1 to Indenture of Lease, between Massachusetts Institute</w:t>
              </w:r>
            </w:hyperlink>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1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10.31</w:t>
            </w:r>
          </w:p>
        </w:tc>
      </w:tr>
      <w:tr>
        <w:trPr>
          <w:trHeight w:val="196"/>
        </w:trPr>
        <w:tc>
          <w:tcPr>
            <w:tcW w:w="960" w:type="dxa"/>
            <w:vAlign w:val="bottom"/>
          </w:tcPr>
          <w:p>
            <w:pPr>
              <w:spacing w:after="0"/>
              <w:rPr>
                <w:sz w:val="17"/>
                <w:szCs w:val="17"/>
                <w:color w:val="auto"/>
              </w:rPr>
            </w:pPr>
          </w:p>
        </w:tc>
        <w:tc>
          <w:tcPr>
            <w:tcW w:w="46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of Technology and Beam Therapeutics Inc., dated April 14, 2020</w:t>
              </w:r>
            </w:hyperlink>
          </w:p>
        </w:tc>
        <w:tc>
          <w:tcPr>
            <w:tcW w:w="20" w:type="dxa"/>
            <w:vAlign w:val="bottom"/>
            <w:tcBorders>
              <w:bottom w:val="single" w:sz="8" w:color="0000EE"/>
            </w:tcBorders>
          </w:tcPr>
          <w:p>
            <w:pPr>
              <w:spacing w:after="0"/>
              <w:rPr>
                <w:sz w:val="17"/>
                <w:szCs w:val="17"/>
                <w:color w:val="auto"/>
              </w:rPr>
            </w:pPr>
          </w:p>
        </w:tc>
        <w:tc>
          <w:tcPr>
            <w:tcW w:w="7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53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Amendment No. 2 to Indenture of Lease, between Massachusetts Institute</w:t>
              </w:r>
            </w:hyperlink>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1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10.32</w:t>
            </w:r>
          </w:p>
        </w:tc>
      </w:tr>
      <w:tr>
        <w:trPr>
          <w:trHeight w:val="196"/>
        </w:trPr>
        <w:tc>
          <w:tcPr>
            <w:tcW w:w="960" w:type="dxa"/>
            <w:vAlign w:val="bottom"/>
          </w:tcPr>
          <w:p>
            <w:pPr>
              <w:spacing w:after="0"/>
              <w:rPr>
                <w:sz w:val="17"/>
                <w:szCs w:val="17"/>
                <w:color w:val="auto"/>
              </w:rPr>
            </w:pPr>
          </w:p>
        </w:tc>
        <w:tc>
          <w:tcPr>
            <w:tcW w:w="50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of Technology and Beam Therapeutics Inc., dated November 17, 2020</w:t>
              </w:r>
            </w:hyperlink>
          </w:p>
        </w:tc>
        <w:tc>
          <w:tcPr>
            <w:tcW w:w="20" w:type="dxa"/>
            <w:vAlign w:val="bottom"/>
            <w:tcBorders>
              <w:bottom w:val="single" w:sz="8" w:color="0000EE"/>
            </w:tcBorders>
          </w:tcPr>
          <w:p>
            <w:pPr>
              <w:spacing w:after="0"/>
              <w:rPr>
                <w:sz w:val="17"/>
                <w:szCs w:val="17"/>
                <w:color w:val="auto"/>
              </w:rPr>
            </w:pPr>
          </w:p>
        </w:tc>
        <w:tc>
          <w:tcPr>
            <w:tcW w:w="3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53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Amendment No. 3 to Indenture of Lease, between Massachusetts Institute</w:t>
              </w:r>
            </w:hyperlink>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1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10.33</w:t>
            </w:r>
          </w:p>
        </w:tc>
      </w:tr>
      <w:tr>
        <w:trPr>
          <w:trHeight w:val="196"/>
        </w:trPr>
        <w:tc>
          <w:tcPr>
            <w:tcW w:w="960" w:type="dxa"/>
            <w:vAlign w:val="bottom"/>
          </w:tcPr>
          <w:p>
            <w:pPr>
              <w:spacing w:after="0"/>
              <w:rPr>
                <w:sz w:val="17"/>
                <w:szCs w:val="17"/>
                <w:color w:val="auto"/>
              </w:rPr>
            </w:pPr>
          </w:p>
        </w:tc>
        <w:tc>
          <w:tcPr>
            <w:tcW w:w="48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of Technology and Beam Therapeutics Inc., dated August 24, 2021</w:t>
              </w:r>
            </w:hyperlink>
          </w:p>
        </w:tc>
        <w:tc>
          <w:tcPr>
            <w:tcW w:w="20" w:type="dxa"/>
            <w:vAlign w:val="bottom"/>
            <w:tcBorders>
              <w:bottom w:val="single" w:sz="8" w:color="0000EE"/>
            </w:tcBorders>
          </w:tcPr>
          <w:p>
            <w:pPr>
              <w:spacing w:after="0"/>
              <w:rPr>
                <w:sz w:val="17"/>
                <w:szCs w:val="17"/>
                <w:color w:val="auto"/>
              </w:rPr>
            </w:pPr>
          </w:p>
        </w:tc>
        <w:tc>
          <w:tcPr>
            <w:tcW w:w="6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54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Amendment No. 1 to Sales Agreement, dated July 7, 2021, by and between</w:t>
              </w:r>
            </w:hyperlink>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07/07/2021</w:t>
            </w:r>
          </w:p>
        </w:tc>
        <w:tc>
          <w:tcPr>
            <w:tcW w:w="16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7"/>
              </w:rPr>
              <w:t>1.1</w:t>
            </w:r>
          </w:p>
        </w:tc>
      </w:tr>
      <w:tr>
        <w:trPr>
          <w:trHeight w:val="196"/>
        </w:trPr>
        <w:tc>
          <w:tcPr>
            <w:tcW w:w="960" w:type="dxa"/>
            <w:vAlign w:val="bottom"/>
          </w:tcPr>
          <w:p>
            <w:pPr>
              <w:spacing w:after="0"/>
              <w:rPr>
                <w:sz w:val="17"/>
                <w:szCs w:val="17"/>
                <w:color w:val="auto"/>
              </w:rPr>
            </w:pPr>
          </w:p>
        </w:tc>
        <w:tc>
          <w:tcPr>
            <w:tcW w:w="5460" w:type="dxa"/>
            <w:vAlign w:val="bottom"/>
            <w:gridSpan w:val="33"/>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Beam Therapeutics Inc. and Jefferies LLC</w:t>
              </w:r>
            </w:hyperlink>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53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Amendment No. 4 to Indenture of Lease, between Massachusetts Institute</w:t>
              </w:r>
            </w:hyperlink>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02/28/2023</w:t>
            </w:r>
          </w:p>
        </w:tc>
        <w:tc>
          <w:tcPr>
            <w:tcW w:w="1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10.35</w:t>
            </w:r>
          </w:p>
        </w:tc>
      </w:tr>
      <w:tr>
        <w:trPr>
          <w:trHeight w:val="196"/>
        </w:trPr>
        <w:tc>
          <w:tcPr>
            <w:tcW w:w="960" w:type="dxa"/>
            <w:vAlign w:val="bottom"/>
          </w:tcPr>
          <w:p>
            <w:pPr>
              <w:spacing w:after="0"/>
              <w:rPr>
                <w:sz w:val="17"/>
                <w:szCs w:val="17"/>
                <w:color w:val="auto"/>
              </w:rPr>
            </w:pPr>
          </w:p>
        </w:tc>
        <w:tc>
          <w:tcPr>
            <w:tcW w:w="5460" w:type="dxa"/>
            <w:vAlign w:val="bottom"/>
            <w:gridSpan w:val="33"/>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of Technology and Beam Therapeutics Inc., dated December 7, 2022</w:t>
              </w:r>
            </w:hyperlink>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53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Letter Agreement between Beam Therapeutics Inc. and Christine Bellon,</w:t>
              </w:r>
            </w:hyperlink>
          </w:p>
        </w:tc>
        <w:tc>
          <w:tcPr>
            <w:tcW w:w="1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5/10/2023</w:t>
            </w:r>
          </w:p>
        </w:tc>
        <w:tc>
          <w:tcPr>
            <w:tcW w:w="1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960" w:type="dxa"/>
            <w:vAlign w:val="bottom"/>
          </w:tcPr>
          <w:p>
            <w:pPr>
              <w:spacing w:after="0"/>
              <w:rPr>
                <w:sz w:val="17"/>
                <w:szCs w:val="17"/>
                <w:color w:val="auto"/>
              </w:rPr>
            </w:pPr>
          </w:p>
        </w:tc>
        <w:tc>
          <w:tcPr>
            <w:tcW w:w="5460" w:type="dxa"/>
            <w:vAlign w:val="bottom"/>
            <w:gridSpan w:val="33"/>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dated January 24, 2020</w:t>
              </w:r>
            </w:hyperlink>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54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Letter Agreement between Beam Therapeutics Inc. and Amy Simon, dated</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5/10/2023</w:t>
            </w:r>
          </w:p>
        </w:tc>
        <w:tc>
          <w:tcPr>
            <w:tcW w:w="1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10.2</w:t>
            </w:r>
          </w:p>
        </w:tc>
      </w:tr>
      <w:tr>
        <w:trPr>
          <w:trHeight w:val="196"/>
        </w:trPr>
        <w:tc>
          <w:tcPr>
            <w:tcW w:w="960" w:type="dxa"/>
            <w:vAlign w:val="bottom"/>
          </w:tcPr>
          <w:p>
            <w:pPr>
              <w:spacing w:after="0"/>
              <w:rPr>
                <w:sz w:val="17"/>
                <w:szCs w:val="17"/>
                <w:color w:val="auto"/>
              </w:rPr>
            </w:pPr>
          </w:p>
        </w:tc>
        <w:tc>
          <w:tcPr>
            <w:tcW w:w="12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11">
              <w:r>
                <w:rPr>
                  <w:rFonts w:ascii="Times New Roman" w:cs="Times New Roman" w:eastAsia="Times New Roman" w:hAnsi="Times New Roman"/>
                  <w:sz w:val="18"/>
                  <w:szCs w:val="18"/>
                  <w:color w:val="0000FF"/>
                  <w:w w:val="98"/>
                </w:rPr>
                <w:t>January 29, 2021</w:t>
              </w:r>
            </w:hyperlink>
          </w:p>
        </w:tc>
        <w:tc>
          <w:tcPr>
            <w:tcW w:w="422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49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Amendment No. 2 to Sales Agreement, dated May 10, 2023, by and</w:t>
              </w:r>
            </w:hyperlink>
          </w:p>
        </w:tc>
        <w:tc>
          <w:tcPr>
            <w:tcW w:w="5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5/10/2023</w:t>
            </w:r>
          </w:p>
        </w:tc>
        <w:tc>
          <w:tcPr>
            <w:tcW w:w="16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7"/>
              </w:rPr>
              <w:t>1.1</w:t>
            </w:r>
          </w:p>
        </w:tc>
      </w:tr>
      <w:tr>
        <w:trPr>
          <w:trHeight w:val="196"/>
        </w:trPr>
        <w:tc>
          <w:tcPr>
            <w:tcW w:w="960" w:type="dxa"/>
            <w:vAlign w:val="bottom"/>
          </w:tcPr>
          <w:p>
            <w:pPr>
              <w:spacing w:after="0"/>
              <w:rPr>
                <w:sz w:val="17"/>
                <w:szCs w:val="17"/>
                <w:color w:val="auto"/>
              </w:rPr>
            </w:pPr>
          </w:p>
        </w:tc>
        <w:tc>
          <w:tcPr>
            <w:tcW w:w="37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between Beam Therapeutics Inc. and Jefferies LLC</w:t>
              </w:r>
            </w:hyperlink>
          </w:p>
        </w:tc>
        <w:tc>
          <w:tcPr>
            <w:tcW w:w="20" w:type="dxa"/>
            <w:vAlign w:val="bottom"/>
            <w:tcBorders>
              <w:bottom w:val="single" w:sz="8" w:color="0000EE"/>
            </w:tcBorders>
          </w:tcPr>
          <w:p>
            <w:pPr>
              <w:spacing w:after="0"/>
              <w:rPr>
                <w:sz w:val="17"/>
                <w:szCs w:val="17"/>
                <w:color w:val="auto"/>
              </w:rPr>
            </w:pPr>
          </w:p>
        </w:tc>
        <w:tc>
          <w:tcPr>
            <w:tcW w:w="174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542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First Amendment to Lease, between Beam Therapeutics Inc. and ARE-NC</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60" w:type="dxa"/>
            <w:vAlign w:val="bottom"/>
          </w:tcPr>
          <w:p>
            <w:pPr>
              <w:spacing w:after="0"/>
              <w:rPr>
                <w:sz w:val="17"/>
                <w:szCs w:val="17"/>
                <w:color w:val="auto"/>
              </w:rPr>
            </w:pPr>
          </w:p>
        </w:tc>
        <w:tc>
          <w:tcPr>
            <w:tcW w:w="54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Region No. 14, LLC, dated June 23, 2022</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53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Second Amendment to Lease, between Beam Therapeutics Inc. and ARE-</w:t>
            </w:r>
          </w:p>
        </w:tc>
        <w:tc>
          <w:tcPr>
            <w:tcW w:w="1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60" w:type="dxa"/>
            <w:vAlign w:val="bottom"/>
          </w:tcPr>
          <w:p>
            <w:pPr>
              <w:spacing w:after="0"/>
              <w:rPr>
                <w:sz w:val="17"/>
                <w:szCs w:val="17"/>
                <w:color w:val="auto"/>
              </w:rPr>
            </w:pPr>
          </w:p>
        </w:tc>
        <w:tc>
          <w:tcPr>
            <w:tcW w:w="54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NC Region No. 14, LLC, dated March 31, 2023</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54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Third Amendment to Lease, between Beam Therapeutics Inc. and ARE-NC</w:t>
            </w:r>
          </w:p>
        </w:tc>
        <w:tc>
          <w:tcPr>
            <w:tcW w:w="20" w:type="dxa"/>
            <w:vAlign w:val="bottom"/>
            <w:tcBorders>
              <w:bottom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60" w:type="dxa"/>
            <w:vAlign w:val="bottom"/>
          </w:tcPr>
          <w:p>
            <w:pPr>
              <w:spacing w:after="0"/>
              <w:rPr>
                <w:sz w:val="17"/>
                <w:szCs w:val="17"/>
                <w:color w:val="auto"/>
              </w:rPr>
            </w:pPr>
          </w:p>
        </w:tc>
        <w:tc>
          <w:tcPr>
            <w:tcW w:w="54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Region No.14, LLC, dated January 1, 2024</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5460" w:type="dxa"/>
            <w:vAlign w:val="bottom"/>
            <w:gridSpan w:val="33"/>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List of Subsidiaries of Beam Therapeutics Inc.</w:t>
              </w:r>
            </w:hyperlink>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16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21.1</w:t>
            </w: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3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2120" w:type="dxa"/>
            <w:vAlign w:val="bottom"/>
            <w:gridSpan w:val="23"/>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2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2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60" w:type="dxa"/>
            <w:vAlign w:val="bottom"/>
          </w:tcPr>
          <w:p>
            <w:pPr>
              <w:spacing w:after="0"/>
              <w:rPr>
                <w:sz w:val="17"/>
                <w:szCs w:val="17"/>
                <w:color w:val="auto"/>
              </w:rPr>
            </w:pPr>
          </w:p>
        </w:tc>
        <w:tc>
          <w:tcPr>
            <w:tcW w:w="508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3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11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54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20" w:type="dxa"/>
            <w:vAlign w:val="bottom"/>
            <w:tcBorders>
              <w:bottom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60" w:type="dxa"/>
            <w:vAlign w:val="bottom"/>
          </w:tcPr>
          <w:p>
            <w:pPr>
              <w:spacing w:after="0"/>
              <w:rPr>
                <w:sz w:val="17"/>
                <w:szCs w:val="17"/>
                <w:color w:val="auto"/>
              </w:rPr>
            </w:pPr>
          </w:p>
        </w:tc>
        <w:tc>
          <w:tcPr>
            <w:tcW w:w="546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6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0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3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60" w:type="dxa"/>
            <w:vAlign w:val="bottom"/>
          </w:tcPr>
          <w:p>
            <w:pPr>
              <w:spacing w:after="0"/>
              <w:rPr>
                <w:sz w:val="17"/>
                <w:szCs w:val="17"/>
                <w:color w:val="auto"/>
              </w:rPr>
            </w:pPr>
          </w:p>
        </w:tc>
        <w:tc>
          <w:tcPr>
            <w:tcW w:w="54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60" w:type="dxa"/>
            <w:vAlign w:val="bottom"/>
          </w:tcPr>
          <w:p>
            <w:pPr>
              <w:spacing w:after="0"/>
              <w:rPr>
                <w:sz w:val="17"/>
                <w:szCs w:val="17"/>
                <w:color w:val="auto"/>
              </w:rPr>
            </w:pPr>
          </w:p>
        </w:tc>
        <w:tc>
          <w:tcPr>
            <w:tcW w:w="54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Clawback Policy</w:t>
            </w:r>
          </w:p>
        </w:tc>
        <w:tc>
          <w:tcPr>
            <w:tcW w:w="4240" w:type="dxa"/>
            <w:vAlign w:val="bottom"/>
            <w:gridSpan w:val="29"/>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X</w:t>
            </w:r>
          </w:p>
        </w:tc>
      </w:tr>
      <w:tr>
        <w:trPr>
          <w:trHeight w:val="614"/>
        </w:trPr>
        <w:tc>
          <w:tcPr>
            <w:tcW w:w="960" w:type="dxa"/>
            <w:vAlign w:val="bottom"/>
          </w:tcPr>
          <w:p>
            <w:pPr>
              <w:spacing w:after="0"/>
              <w:rPr>
                <w:sz w:val="24"/>
                <w:szCs w:val="24"/>
                <w:color w:val="auto"/>
              </w:rPr>
            </w:pPr>
          </w:p>
        </w:tc>
        <w:tc>
          <w:tcPr>
            <w:tcW w:w="4820" w:type="dxa"/>
            <w:vAlign w:val="bottom"/>
            <w:gridSpan w:val="20"/>
          </w:tcPr>
          <w:p>
            <w:pPr>
              <w:ind w:left="452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763"/>
        </w:trPr>
        <w:tc>
          <w:tcPr>
            <w:tcW w:w="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5" w:name="page136"/>
    <w:bookmarkEnd w:id="135"/>
    <w:tbl>
      <w:tblPr>
        <w:tblLayout w:type="fixed"/>
        <w:tblInd w:w="2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0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the Interactive Data File because its XBRL tags are embedded within the</w:t>
            </w:r>
          </w:p>
        </w:tc>
        <w:tc>
          <w:tcPr>
            <w:tcW w:w="216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document</w:t>
            </w:r>
          </w:p>
        </w:tc>
        <w:tc>
          <w:tcPr>
            <w:tcW w:w="2160" w:type="dxa"/>
            <w:vAlign w:val="bottom"/>
          </w:tcPr>
          <w:p>
            <w:pPr>
              <w:spacing w:after="0"/>
              <w:rPr>
                <w:sz w:val="20"/>
                <w:szCs w:val="20"/>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6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4" w:lineRule="exact"/>
        <w:rPr>
          <w:sz w:val="20"/>
          <w:szCs w:val="20"/>
          <w:color w:val="auto"/>
        </w:rPr>
      </w:pPr>
    </w:p>
    <w:p>
      <w:pPr>
        <w:ind w:right="240" w:firstLine="8"/>
        <w:spacing w:after="0" w:line="273" w:lineRule="auto"/>
        <w:tabs>
          <w:tab w:leader="none" w:pos="1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 Registrant has determined they are not material and are they type that the Registrant treats as private or confidential.</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36" w:lineRule="exact"/>
        <w:rPr>
          <w:rFonts w:ascii="Times New Roman" w:cs="Times New Roman" w:eastAsia="Times New Roman" w:hAnsi="Times New Roman"/>
          <w:sz w:val="18"/>
          <w:szCs w:val="18"/>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26" w:right="579" w:bottom="1440" w:gutter="0" w:footer="0" w:header="0"/>
        </w:sectPr>
      </w:pPr>
    </w:p>
    <w:bookmarkStart w:id="136" w:name="page137"/>
    <w:bookmarkEnd w:id="1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BEAM THERAPEUTICS INC.</w:t>
      </w:r>
    </w:p>
    <w:p>
      <w:pPr>
        <w:spacing w:after="0" w:line="279" w:lineRule="exact"/>
        <w:rPr>
          <w:sz w:val="20"/>
          <w:szCs w:val="20"/>
          <w:color w:val="auto"/>
        </w:rPr>
      </w:pPr>
    </w:p>
    <w:p>
      <w:pPr>
        <w:ind w:left="20"/>
        <w:spacing w:after="0"/>
        <w:tabs>
          <w:tab w:leader="none" w:pos="5520" w:val="left"/>
          <w:tab w:leader="none" w:pos="800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3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526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7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Evans</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John Evans</w:t>
            </w:r>
          </w:p>
        </w:tc>
        <w:tc>
          <w:tcPr>
            <w:tcW w:w="1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Terry-Ann Burrell</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Terry-Ann Burrell</w:t>
            </w:r>
          </w:p>
        </w:tc>
        <w:tc>
          <w:tcPr>
            <w:tcW w:w="1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Kristina Burow</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Kristina Burow</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Graham Cooper</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Graham Cooper</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Fishman</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 Fishman, M.D.</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Ho</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Carole Ho, M.D.</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Maraganore</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Maraganore, Ph.D.</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Christi Shaw</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 Shaw</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8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Walsh</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Kathleen Walsh</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53"/>
        </w:trPr>
        <w:tc>
          <w:tcPr>
            <w:tcW w:w="3500" w:type="dxa"/>
            <w:vAlign w:val="bottom"/>
          </w:tcPr>
          <w:p>
            <w:pPr>
              <w:spacing w:after="0"/>
              <w:rPr>
                <w:sz w:val="24"/>
                <w:szCs w:val="24"/>
                <w:color w:val="auto"/>
              </w:rPr>
            </w:pPr>
          </w:p>
        </w:tc>
        <w:tc>
          <w:tcPr>
            <w:tcW w:w="5400" w:type="dxa"/>
            <w:vAlign w:val="bottom"/>
            <w:gridSpan w:val="2"/>
          </w:tcPr>
          <w:p>
            <w:pPr>
              <w:jc w:val="right"/>
              <w:ind w:right="305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0" w:type="dxa"/>
            <w:vAlign w:val="bottom"/>
            <w:gridSpan w:val="5"/>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7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No. 34)</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F-2</w:t>
            </w:r>
          </w:p>
        </w:tc>
      </w:tr>
      <w:tr>
        <w:trPr>
          <w:trHeight w:val="223"/>
        </w:trPr>
        <w:tc>
          <w:tcPr>
            <w:tcW w:w="20" w:type="dxa"/>
            <w:vAlign w:val="bottom"/>
            <w:tcBorders>
              <w:top w:val="single" w:sz="8" w:color="0000EE"/>
              <w:bottom w:val="single" w:sz="8" w:color="0000EE"/>
            </w:tcBorders>
          </w:tcPr>
          <w:p>
            <w:pPr>
              <w:spacing w:after="0"/>
              <w:rPr>
                <w:sz w:val="19"/>
                <w:szCs w:val="19"/>
                <w:color w:val="auto"/>
              </w:rPr>
            </w:pPr>
          </w:p>
        </w:tc>
        <w:tc>
          <w:tcPr>
            <w:tcW w:w="20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540" w:type="dxa"/>
            <w:vAlign w:val="bottom"/>
            <w:tcBorders>
              <w:top w:val="single" w:sz="8" w:color="0000FF"/>
            </w:tcBorders>
            <w:gridSpan w:val="7"/>
          </w:tcPr>
          <w:p>
            <w:pPr>
              <w:spacing w:after="0"/>
              <w:rPr>
                <w:sz w:val="19"/>
                <w:szCs w:val="19"/>
                <w:color w:val="auto"/>
              </w:rPr>
            </w:pPr>
          </w:p>
        </w:tc>
        <w:tc>
          <w:tcPr>
            <w:tcW w:w="386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23"/>
        </w:trPr>
        <w:tc>
          <w:tcPr>
            <w:tcW w:w="20" w:type="dxa"/>
            <w:vAlign w:val="bottom"/>
          </w:tcPr>
          <w:p>
            <w:pPr>
              <w:spacing w:after="0"/>
              <w:rPr>
                <w:sz w:val="19"/>
                <w:szCs w:val="19"/>
                <w:color w:val="auto"/>
              </w:rPr>
            </w:pPr>
          </w:p>
        </w:tc>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other comprehensive loss</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F-5</w:t>
            </w:r>
          </w:p>
        </w:tc>
      </w:tr>
      <w:tr>
        <w:trPr>
          <w:trHeight w:val="223"/>
        </w:trPr>
        <w:tc>
          <w:tcPr>
            <w:tcW w:w="20" w:type="dxa"/>
            <w:vAlign w:val="bottom"/>
            <w:tcBorders>
              <w:top w:val="single" w:sz="8" w:color="0000EE"/>
              <w:bottom w:val="single" w:sz="8" w:color="0000EE"/>
            </w:tcBorders>
          </w:tcPr>
          <w:p>
            <w:pPr>
              <w:spacing w:after="0"/>
              <w:rPr>
                <w:sz w:val="19"/>
                <w:szCs w:val="19"/>
                <w:color w:val="auto"/>
              </w:rPr>
            </w:pPr>
          </w:p>
        </w:tc>
        <w:tc>
          <w:tcPr>
            <w:tcW w:w="34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460" w:type="dxa"/>
            <w:vAlign w:val="bottom"/>
            <w:tcBorders>
              <w:top w:val="single" w:sz="8" w:color="0000FF"/>
            </w:tcBorders>
          </w:tcPr>
          <w:p>
            <w:pPr>
              <w:spacing w:after="0"/>
              <w:rPr>
                <w:sz w:val="19"/>
                <w:szCs w:val="19"/>
                <w:color w:val="auto"/>
              </w:rPr>
            </w:pPr>
          </w:p>
        </w:tc>
        <w:tc>
          <w:tcPr>
            <w:tcW w:w="4520" w:type="dxa"/>
            <w:vAlign w:val="bottom"/>
            <w:gridSpan w:val="3"/>
          </w:tcPr>
          <w:p>
            <w:pPr>
              <w:spacing w:after="0"/>
              <w:rPr>
                <w:sz w:val="19"/>
                <w:szCs w:val="19"/>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20" w:type="dxa"/>
            <w:vAlign w:val="bottom"/>
            <w:tcBorders>
              <w:bottom w:val="single" w:sz="8" w:color="0000EE"/>
            </w:tcBorders>
          </w:tcPr>
          <w:p>
            <w:pPr>
              <w:spacing w:after="0"/>
              <w:rPr>
                <w:sz w:val="19"/>
                <w:szCs w:val="19"/>
                <w:color w:val="auto"/>
              </w:rPr>
            </w:pPr>
          </w:p>
        </w:tc>
        <w:tc>
          <w:tcPr>
            <w:tcW w:w="2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9"/>
                <w:szCs w:val="19"/>
                <w:color w:val="auto"/>
              </w:rPr>
            </w:pPr>
          </w:p>
        </w:tc>
        <w:tc>
          <w:tcPr>
            <w:tcW w:w="6660" w:type="dxa"/>
            <w:vAlign w:val="bottom"/>
            <w:gridSpan w:val="6"/>
          </w:tcPr>
          <w:p>
            <w:pPr>
              <w:spacing w:after="0"/>
              <w:rPr>
                <w:sz w:val="19"/>
                <w:szCs w:val="19"/>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F-7</w:t>
            </w:r>
          </w:p>
        </w:tc>
      </w:tr>
      <w:tr>
        <w:trPr>
          <w:trHeight w:val="223"/>
        </w:trPr>
        <w:tc>
          <w:tcPr>
            <w:tcW w:w="20" w:type="dxa"/>
            <w:vAlign w:val="bottom"/>
          </w:tcPr>
          <w:p>
            <w:pPr>
              <w:spacing w:after="0"/>
              <w:rPr>
                <w:sz w:val="19"/>
                <w:szCs w:val="19"/>
                <w:color w:val="auto"/>
              </w:rPr>
            </w:pPr>
          </w:p>
        </w:tc>
        <w:tc>
          <w:tcPr>
            <w:tcW w:w="9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5"/>
              </w:rPr>
              <w:t>F-9</w:t>
            </w:r>
          </w:p>
        </w:tc>
      </w:tr>
      <w:tr>
        <w:trPr>
          <w:trHeight w:val="466"/>
        </w:trPr>
        <w:tc>
          <w:tcPr>
            <w:tcW w:w="20" w:type="dxa"/>
            <w:vAlign w:val="bottom"/>
          </w:tcPr>
          <w:p>
            <w:pPr>
              <w:spacing w:after="0"/>
              <w:rPr>
                <w:sz w:val="24"/>
                <w:szCs w:val="24"/>
                <w:color w:val="auto"/>
              </w:rPr>
            </w:pPr>
          </w:p>
        </w:tc>
        <w:tc>
          <w:tcPr>
            <w:tcW w:w="20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0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5"/>
              </w:rPr>
              <w:t>F-1</w:t>
            </w:r>
          </w:p>
        </w:tc>
        <w:tc>
          <w:tcPr>
            <w:tcW w:w="17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8" w:name="page139"/>
    <w:bookmarkEnd w:id="138"/>
    <w:p>
      <w:pPr>
        <w:ind w:right="2520" w:firstLine="2535"/>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Beam Therapeutics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Beam Therapeutics Inc. and subsidiaries (the "Company") as of December 31, 2023 and 2022, the related consolidated statements of operations and other comprehensive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issued by the Committee of Sponsoring Organizations of the Treadway Commission and our report dated February 27, 2024,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ind w:right="55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Revenue Recognition – Refer to Notes 2 and 11 to the financial statements </w:t>
      </w:r>
      <w:r>
        <w:rPr>
          <w:rFonts w:ascii="Times New Roman" w:cs="Times New Roman" w:eastAsia="Times New Roman" w:hAnsi="Times New Roman"/>
          <w:sz w:val="18"/>
          <w:szCs w:val="18"/>
          <w:i w:val="1"/>
          <w:iCs w:val="1"/>
          <w:color w:val="auto"/>
        </w:rPr>
        <w:t>Critical Audit Matter Description</w:t>
      </w:r>
    </w:p>
    <w:p>
      <w:pPr>
        <w:spacing w:after="0" w:line="253"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recognized revenue of $377.7 million. As discussed in Note 2 to the consolidated financial statements, at inception, the Company determines whether contracts are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or other topics. For contracts that are determined to be within the scope of ASC 606, revenue is recognized when a customer obtains control of promised goods or services. The amount of revenue recognized reflects the consideration to which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the performance obligation is satisfied. For performance obligations where revenue is recognized over time, the Company evaluates the measure of progress each reporting period and, if necessary, adjusts the measure of performance and related revenue recognition. The Company generally recognizes revenue using the cost incurred to date as compared to the total estimated cost.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Auditing the Company’s accounting treatment for revenue contracts under ASC 606 required an increased extent of effort and a high degree of auditor judgment, due to the complex and judgmental nature of evaluating management’s determination of the performance obligation(s) and the transaction price. In addition, auditing revenue recognized using a measure of progress is especially challenging because the determination of the measure of progress involves significant management judgment to estimate the total cost to satisfy the applicable performance obligation under the contract.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Our audit procedures related to revenue included the following, among others:</w:t>
      </w:r>
    </w:p>
    <w:p>
      <w:pPr>
        <w:spacing w:after="0" w:line="117" w:lineRule="exact"/>
        <w:rPr>
          <w:sz w:val="20"/>
          <w:szCs w:val="20"/>
          <w:color w:val="auto"/>
        </w:rPr>
      </w:pPr>
    </w:p>
    <w:p>
      <w:pPr>
        <w:ind w:left="1020" w:right="6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revenue recognition, including management’s controls over the estimate of total cost to satisfy the performance obligation.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a selection of revenue contracts and performed the following:</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We obtained and read the relevant contracts and other documents related to the revenue transactions.</w:t>
      </w:r>
    </w:p>
    <w:p>
      <w:pPr>
        <w:spacing w:after="0" w:line="27" w:lineRule="exact"/>
        <w:rPr>
          <w:rFonts w:ascii="Times New Roman" w:cs="Times New Roman" w:eastAsia="Times New Roman" w:hAnsi="Times New Roman"/>
          <w:sz w:val="18"/>
          <w:szCs w:val="18"/>
          <w:color w:val="auto"/>
        </w:rPr>
      </w:pPr>
    </w:p>
    <w:p>
      <w:pPr>
        <w:ind w:left="1540" w:right="200" w:hanging="50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evaluated the Company’s accounting analysis for the applicable contract, including the application to the relevant authoritative guidance.</w:t>
      </w:r>
    </w:p>
    <w:p>
      <w:pPr>
        <w:ind w:left="1540" w:right="60" w:hanging="50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tested the amount of revenue recognized, including when applicable, the measurement of progress for revenue that is recognized over time.</w:t>
      </w:r>
    </w:p>
    <w:p>
      <w:pPr>
        <w:ind w:left="1540" w:right="260" w:hanging="50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tested management’s estimate of the total cost of satisfying the performance obligation, including retrospective reviews of the changes in such estimates over time.</w:t>
      </w:r>
    </w:p>
    <w:p>
      <w:pPr>
        <w:ind w:left="1540" w:hanging="50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oWhen significant valuation judgments were applicable, we tested management’s judgment of the transaction price with the assistance of fair value specialists.</w:t>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12" w:right="459" w:bottom="1440" w:gutter="0" w:footer="0" w:header="0"/>
        </w:sectPr>
      </w:pPr>
    </w:p>
    <w:bookmarkStart w:id="140" w:name="page141"/>
    <w:bookmarkEnd w:id="1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435,895</w:t>
            </w:r>
          </w:p>
        </w:tc>
        <w:tc>
          <w:tcPr>
            <w:tcW w:w="6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232,767</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753,981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845,367</w:t>
            </w: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21,167</w:t>
            </w:r>
          </w:p>
        </w:tc>
        <w:tc>
          <w:tcPr>
            <w:tcW w:w="1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14,762</w:t>
            </w:r>
          </w:p>
        </w:tc>
      </w:tr>
      <w:tr>
        <w:trPr>
          <w:trHeight w:val="237"/>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1,211,043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1,092,896</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124,960</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115,620</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8,719</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12,754</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112,846</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118,513</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2,146</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1,931</w:t>
            </w:r>
          </w:p>
        </w:tc>
      </w:tr>
      <w:tr>
        <w:trPr>
          <w:trHeight w:val="27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1,459,714</w:t>
            </w:r>
          </w:p>
        </w:tc>
        <w:tc>
          <w:tcPr>
            <w:tcW w:w="6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1,341,714</w:t>
            </w:r>
          </w:p>
        </w:tc>
      </w:tr>
      <w:tr>
        <w:trPr>
          <w:trHeight w:val="226"/>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4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1,617</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9,029</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111,664</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49,912</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10,800</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18,300</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68,706</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135,974</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12,778</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10,380</w:t>
            </w:r>
          </w:p>
        </w:tc>
      </w:tr>
      <w:tr>
        <w:trPr>
          <w:trHeight w:val="241"/>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205,565</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223,595</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liability</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159,911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168,625</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2,723</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12,463</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 of deferred revenue</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109,888</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202,179</w:t>
            </w: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1,378</w:t>
            </w:r>
          </w:p>
        </w:tc>
      </w:tr>
      <w:tr>
        <w:trPr>
          <w:trHeight w:val="237"/>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478,385</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608,240</w:t>
            </w:r>
          </w:p>
        </w:tc>
      </w:tr>
      <w:tr>
        <w:trPr>
          <w:trHeight w:val="21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(See Note 10,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Collaboration and</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5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25,000,000 shares authorized, and no shares issued or outstanding at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250,000,000 shares authorized, 81,632,496 and 71,277,339 issued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 respectively</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712</w:t>
            </w:r>
          </w:p>
        </w:tc>
      </w:tr>
      <w:tr>
        <w:trPr>
          <w:trHeight w:val="250"/>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2,169,798</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1,792,554</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(2,430 )</w:t>
            </w: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(1,189,889 )</w:t>
            </w:r>
          </w:p>
        </w:tc>
        <w:tc>
          <w:tcPr>
            <w:tcW w:w="1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(1,057,362 )</w:t>
            </w:r>
          </w:p>
        </w:tc>
      </w:tr>
      <w:tr>
        <w:trPr>
          <w:trHeight w:val="237"/>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981,329</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733,474</w:t>
            </w:r>
          </w:p>
        </w:tc>
      </w:tr>
      <w:tr>
        <w:trPr>
          <w:trHeight w:val="276"/>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1,459,714</w:t>
            </w:r>
          </w:p>
        </w:tc>
        <w:tc>
          <w:tcPr>
            <w:tcW w:w="1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1,341,714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-4834255</wp:posOffset>
            </wp:positionV>
            <wp:extent cx="1028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-3891280</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-3874135</wp:posOffset>
            </wp:positionV>
            <wp:extent cx="1028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-2005330</wp:posOffset>
            </wp:positionV>
            <wp:extent cx="1028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-350520</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028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1" w:name="page142"/>
    <w:bookmarkEnd w:id="1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Other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00" w:type="dxa"/>
            <w:vAlign w:val="bottom"/>
          </w:tcPr>
          <w:p>
            <w:pPr>
              <w:spacing w:after="0"/>
              <w:rPr>
                <w:sz w:val="15"/>
                <w:szCs w:val="15"/>
                <w:color w:val="auto"/>
              </w:rPr>
            </w:pPr>
          </w:p>
        </w:tc>
      </w:tr>
      <w:tr>
        <w:trPr>
          <w:trHeight w:val="187"/>
        </w:trPr>
        <w:tc>
          <w:tcPr>
            <w:tcW w:w="6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377,709</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60,920</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51,844</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437,381</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311,594</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387,087</w:t>
            </w: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116,813</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87,805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57,222</w:t>
            </w:r>
          </w:p>
        </w:tc>
      </w:tr>
      <w:tr>
        <w:trPr>
          <w:trHeight w:val="236"/>
        </w:trPr>
        <w:tc>
          <w:tcPr>
            <w:tcW w:w="64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554,194</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399,399</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444,309</w:t>
            </w: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(176,485 )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(338,479 )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(392,465 )</w:t>
            </w: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23,900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(18,592 )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20,200</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17,690</w:t>
            </w: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9,740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18,904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5,146</w:t>
            </w: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46,676</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15,297</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7"/>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45,324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78,301</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21,827</w:t>
            </w:r>
          </w:p>
        </w:tc>
      </w:tr>
      <w:tr>
        <w:trPr>
          <w:trHeight w:val="27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(131,161 )</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(260,178 )</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(370,638 )</w:t>
            </w:r>
          </w:p>
        </w:tc>
      </w:tr>
      <w:tr>
        <w:trPr>
          <w:trHeight w:val="223"/>
        </w:trPr>
        <w:tc>
          <w:tcPr>
            <w:tcW w:w="64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(1,366 )</w:t>
            </w: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(3,410 )</w:t>
            </w:r>
          </w:p>
        </w:tc>
        <w:tc>
          <w:tcPr>
            <w:tcW w:w="12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(25,500 )</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(132,527 )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(289,088 )</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(370,638 )</w:t>
            </w: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3,034</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(2,380 )</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(129,493 )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(291,468 )</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(370,679 )</w:t>
            </w: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(5.77 )</w:t>
            </w:r>
          </w:p>
        </w:tc>
      </w:tr>
      <w:tr>
        <w:trPr>
          <w:trHeight w:val="224"/>
        </w:trPr>
        <w:tc>
          <w:tcPr>
            <w:tcW w:w="64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77,151,771</w:t>
            </w: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70,015,305</w:t>
            </w:r>
          </w:p>
        </w:tc>
        <w:tc>
          <w:tcPr>
            <w:tcW w:w="12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64,227,676</w:t>
            </w: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-2485390</wp:posOffset>
            </wp:positionV>
            <wp:extent cx="93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-2485390</wp:posOffset>
            </wp:positionV>
            <wp:extent cx="857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-1550670</wp:posOffset>
            </wp:positionV>
            <wp:extent cx="93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-1550670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-1224915</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-1207770</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-1224915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-1207770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-890905</wp:posOffset>
            </wp:positionV>
            <wp:extent cx="939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-890905</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-548005</wp:posOffset>
            </wp:positionV>
            <wp:extent cx="939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-548005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-205105</wp:posOffset>
            </wp:positionV>
            <wp:extent cx="93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93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-205105</wp:posOffset>
            </wp:positionV>
            <wp:extent cx="85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857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2" w:name="page143"/>
    <w:bookmarkEnd w:id="1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080" w:type="dxa"/>
            <w:vAlign w:val="bottom"/>
            <w:gridSpan w:val="4"/>
            <w:vMerge w:val="restart"/>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540" w:type="dxa"/>
            <w:vAlign w:val="bottom"/>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9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57,254,178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642,633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(9 )</w:t>
            </w:r>
          </w:p>
        </w:tc>
        <w:tc>
          <w:tcPr>
            <w:tcW w:w="1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(397,636 )</w:t>
            </w:r>
          </w:p>
        </w:tc>
        <w:tc>
          <w:tcPr>
            <w:tcW w:w="1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4540" w:type="dxa"/>
            <w:vAlign w:val="bottom"/>
            <w:tcBorders>
              <w:top w:val="single" w:sz="8" w:color="CFF0FC"/>
            </w:tcBorders>
          </w:tcPr>
          <w:p>
            <w:pPr>
              <w:ind w:left="200"/>
              <w:spacing w:after="0" w:line="120" w:lineRule="exact"/>
              <w:rPr>
                <w:sz w:val="20"/>
                <w:szCs w:val="20"/>
                <w:color w:val="auto"/>
              </w:rPr>
            </w:pPr>
            <w:r>
              <w:rPr>
                <w:rFonts w:ascii="Times New Roman" w:cs="Times New Roman" w:eastAsia="Times New Roman" w:hAnsi="Times New Roman"/>
                <w:sz w:val="13"/>
                <w:szCs w:val="13"/>
                <w:color w:val="auto"/>
              </w:rPr>
              <w:t>Issuance of common stock from private placement, net of issuance costs</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2,795,700</w:t>
            </w:r>
          </w:p>
        </w:tc>
        <w:tc>
          <w:tcPr>
            <w:tcW w:w="24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251,977</w:t>
            </w: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252,005</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$8.0 million</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5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 At-the-Market offering, net of issuance</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4,907,195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496,574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496,623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costs of $14.6 million</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for success payment liability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349,650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to acquire Guide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1,087,153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120,022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Vesting of restricted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1,020,887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43,570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974,662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(41 )</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(370,638 )</w:t>
            </w:r>
          </w:p>
        </w:tc>
        <w:tc>
          <w:tcPr>
            <w:tcW w:w="1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(370,638 )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68,389,425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1,594,378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(50 )</w:t>
            </w:r>
          </w:p>
        </w:tc>
        <w:tc>
          <w:tcPr>
            <w:tcW w:w="1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(768,274 )</w:t>
            </w:r>
          </w:p>
        </w:tc>
        <w:tc>
          <w:tcPr>
            <w:tcW w:w="1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826,738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54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9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70,073</w:t>
            </w:r>
          </w:p>
        </w:tc>
        <w:tc>
          <w:tcPr>
            <w:tcW w:w="2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3,075</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3,075</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5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 At-the-Market offering, net of issuance</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1,909,103</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108,057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costs of $2.7 million</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Vesting of restricted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424,303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84,321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484,435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(2,380 )</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(2,380 )</w:t>
            </w: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(289,088 )</w:t>
            </w:r>
          </w:p>
        </w:tc>
        <w:tc>
          <w:tcPr>
            <w:tcW w:w="1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(289,088 )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71,277,339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1,792,554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(2,430 )</w:t>
            </w:r>
          </w:p>
        </w:tc>
        <w:tc>
          <w:tcPr>
            <w:tcW w:w="1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(1,057,362 )</w:t>
            </w:r>
          </w:p>
        </w:tc>
        <w:tc>
          <w:tcPr>
            <w:tcW w:w="1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733,474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54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9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130,403</w:t>
            </w:r>
          </w:p>
        </w:tc>
        <w:tc>
          <w:tcPr>
            <w:tcW w:w="2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3,031</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3,032</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5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 At-the-Market offering, net of issuance</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6,952,703</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235,938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costs of $6.1 million</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5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unregistered common shares in connection with license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2,004,811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agreement</w:t>
            </w: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Vesting of restricted common stock</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469,531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98,647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797,709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(132,527 )</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(132,527 )</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81,632,496</w:t>
            </w: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2,169,798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22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(1,189,889 )</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981,329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-3608070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-3590925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-3608070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-3590925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-3608070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-3590925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-3608070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-3590925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-3608070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-3590925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-2270760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-2253615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-2270760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-2253615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-2270760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-2253615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-2270760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-2253615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-2270760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-2253615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-1250950</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-1233805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-1250950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-1233805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-1250950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-1233805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-1250950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-1233805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-1250950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-1233805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-145415</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-145415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-145415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-145415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-145415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3" w:name="page144"/>
    <w:bookmarkEnd w:id="1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(132,527 )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(289,088 )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(370,638 )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20" w:type="dxa"/>
            <w:vAlign w:val="bottom"/>
          </w:tcPr>
          <w:p>
            <w:pPr>
              <w:spacing w:after="0"/>
              <w:rPr>
                <w:sz w:val="20"/>
                <w:szCs w:val="20"/>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investment (discount) premiums</w:t>
            </w:r>
          </w:p>
        </w:tc>
        <w:tc>
          <w:tcPr>
            <w:tcW w:w="32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(29,743 )</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(9,410 )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In-process research and development charge</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154,953</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operating lease right-of-use assets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(7,500 )</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(23,900 )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(9,740 )</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(18,904 )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(5,146 )</w:t>
            </w: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(20,200 )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(17,690 )</w:t>
            </w: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(6,473 )</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(7,753 )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Pr>
          <w:p>
            <w:pPr>
              <w:spacing w:after="0"/>
              <w:rPr>
                <w:sz w:val="20"/>
                <w:szCs w:val="20"/>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r>
      <w:tr>
        <w:trPr>
          <w:trHeight w:val="247"/>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(7,578 )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(16,933 )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43,914</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(10,168 )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Collaboration receivable</w:t>
            </w:r>
          </w:p>
        </w:tc>
        <w:tc>
          <w:tcPr>
            <w:tcW w:w="32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(146 )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(300,000 )</w:t>
            </w:r>
          </w:p>
        </w:tc>
      </w:tr>
      <w:tr>
        <w:trPr>
          <w:trHeight w:val="247"/>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(159,559 )</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(35,920 )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348,156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(194 )</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(2,569 )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6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(149,195 )</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(66,268 )</w:t>
            </w: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(33,732 )</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(48,951 )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(46,811 )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(984,338 )</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(1,616,999 )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(777,223 )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1,089,910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1,204,614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529,270</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acquired from Guide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(461,336 )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(294,144 )</w:t>
            </w: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shares, net of commissions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236,568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108,258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757,449</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issuances of stock under ESPP</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equity offering costs</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(631 )</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(188 )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(8,816 )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 financings, net</w:t>
            </w:r>
          </w:p>
        </w:tc>
        <w:tc>
          <w:tcPr>
            <w:tcW w:w="32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(2,252 )</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(2,287 )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(2,118 )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private stock issuance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6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276,448</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111,590</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756,141</w:t>
            </w:r>
          </w:p>
        </w:tc>
        <w:tc>
          <w:tcPr>
            <w:tcW w:w="100" w:type="dxa"/>
            <w:vAlign w:val="bottom"/>
            <w:shd w:val="clear" w:color="auto" w:fill="CFF0FC"/>
          </w:tcPr>
          <w:p>
            <w:pPr>
              <w:spacing w:after="0"/>
              <w:rPr>
                <w:sz w:val="20"/>
                <w:szCs w:val="20"/>
                <w:color w:val="auto"/>
              </w:rPr>
            </w:pPr>
          </w:p>
        </w:tc>
      </w:tr>
      <w:tr>
        <w:trPr>
          <w:trHeight w:val="243"/>
        </w:trPr>
        <w:tc>
          <w:tcPr>
            <w:tcW w:w="6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199,093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(327,219 )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395,729</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245,521</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572,740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177,011</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444,614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245,521</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4" w:name="page145"/>
    <w:bookmarkEnd w:id="1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6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additions in accounts payable and accrued expenses</w:t>
            </w:r>
          </w:p>
        </w:tc>
        <w:tc>
          <w:tcPr>
            <w:tcW w:w="860" w:type="dxa"/>
            <w:vAlign w:val="bottom"/>
            <w:tcBorders>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25,925</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issuance costs in accounts payable and accrued expenses</w:t>
            </w:r>
          </w:p>
        </w:tc>
        <w:tc>
          <w:tcPr>
            <w:tcW w:w="860" w:type="dxa"/>
            <w:vAlign w:val="bottom"/>
            <w:tcBorders>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common stock issued to settle success payment liability</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 liabilities assumed in asset acquisition</w:t>
            </w:r>
          </w:p>
        </w:tc>
        <w:tc>
          <w:tcPr>
            <w:tcW w:w="860" w:type="dxa"/>
            <w:vAlign w:val="bottom"/>
            <w:tcBorders>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equity instruments issued in connection with asset acquisition</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120,032</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contribution of intellectual property to Orbital Therapeutics, Inc.</w:t>
            </w:r>
          </w:p>
        </w:tc>
        <w:tc>
          <w:tcPr>
            <w:tcW w:w="860" w:type="dxa"/>
            <w:vAlign w:val="bottom"/>
            <w:tcBorders>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-1104900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-1087755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-1104900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-1087755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-744855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-727710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-744855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-727710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-384810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-367665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-384810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-367665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Beam Therapeutics Inc., which we refer to herein as the “Company” or “Beam,” is a biotechnology company committed to establishing the leading, fully integrated platform for precision genetic medicines. Beam’s vision is to provide life-long cures to patients suffering from genetic diseases. The Company was incorporated on January 25, 2017 as a Delaware corporation and began operations in July 2017. Its principal offices are in Cambridge, Massachusetts.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Since its inception, the Company has devoted substantially all of its resources to building its base editing platform and advancing development of its portfolio of programs, establishing and protecting its intellectual property, conducting research and development activities, making arrangements to conduct manufacturing activities with contract manufacturing organizations, research and development costs including preclinical studies and IND-enabling studies, organizing and staffing the Company, maintaining its facilities and new facility build-outs, business planning, raising capital and providing general and administrative support for these operations. The Company has established internal manufacturing capabilities.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2021, the Company entered into a sales agreement, or the Sales Agreement, with Jefferies, LLC, or Jefferies, pursuant to which the Company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offer and sell, from time to time at prevailing market prices, shares of the Company’s common stock having aggregate gross proceeds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million. The Company agreed to pay Jefferies a commission of up to 3.0% of the aggregate gross sale proceeds of any shares sold by Jefferies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Agreement. As of December 31, 2023, the Company has sold 2,908,009 shares of its common stock under the Sales Agreement at an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$103.16 per share for aggregate gross proceeds of $300.0 million, before deducting commissions and offering expenses payable by the Company.</w:t>
      </w:r>
    </w:p>
    <w:p>
      <w:pPr>
        <w:spacing w:after="0" w:line="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July 2021 and May 2023, the Company and Jefferies entered into amendments to the Sales Agreement to provide for increases in the aggregate offering amount under the Sales Agreement, such that as of May 10, 2023, the Company may offer and sell shares of common stock having an aggregate offering price of an additional $800.0 million. As of December 31, 2023, the Company has sold 10,860,992 additional shares of its common stock under the amended Sales Agreement at an average price of $51.93 per share for aggregate gross proceeds of $564.0 million, before deducting commissions and offering expenses payable by the Company, resulting in an aggregate of $864.0 million in gross proceeds received under the Sales Agreement, as amended, as of December 31, 2023.</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the Company entered into a Transfer and Delegation Agreement, or the Lilly Agreement, with Eli Lilly and Company, or Lilly, pursuant to which Lilly acquired certain assets and other rights under the Company’s amended collaboration and license agreement, or the Verve Agreement, with Verve Therapeutics, Inc., or Verve, including the Company’s opt-in rights to co-develop and co-commercialize Verve’s base editing programs for cardiovascular disease. The Company received a $200.0 million upfront payment and is eligible to receive up to $350.0 million in potential future development-stage payments upon the completion of certain clinical, regulatory and alliance events. In connection with the Lilly Agreement, the Company and Lilly entered into a Stock Purchase Agreement providing for the sale and issuance of 2,004,811 shares of the Company’s common stock to Lilly for an aggregate purchase price of $50.0 million. The Company received the consideration under the Stock Purchase Agreement of $50.0 million in October 2023 and the upfront payment of $200.0 million in November 2023.</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6" w:name="page147"/>
    <w:bookmarkEnd w:id="146"/>
    <w:p>
      <w:pPr>
        <w:ind w:right="320"/>
        <w:spacing w:after="0" w:line="282" w:lineRule="auto"/>
        <w:rPr>
          <w:sz w:val="20"/>
          <w:szCs w:val="20"/>
          <w:color w:val="auto"/>
        </w:rPr>
      </w:pPr>
      <w:r>
        <w:rPr>
          <w:rFonts w:ascii="Times New Roman" w:cs="Times New Roman" w:eastAsia="Times New Roman" w:hAnsi="Times New Roman"/>
          <w:sz w:val="18"/>
          <w:szCs w:val="18"/>
          <w:color w:val="auto"/>
        </w:rPr>
        <w:t>Since its inception, the Company has incurred substantial losses and had an accumulated deficit of $1.2 billion as of December 31, 2023. The Company expects to generate operating losses and negative operating cash flows for the foreseeable future.</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as of December 31, 2023 of $1.2 billion will be sufficient to fund its operations for at least the next 12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United States generally accepted accounting principles, or GAAP. Any reference in these notes to applicable guidance is meant to refer to the authoritative GAAP as found in the Accounting Standards Codification, or ASC, and Accounting Standards Update, or ASU, of the Financial Accounting Standards Board, or the FASB.</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operations of the Company and its wholly-owned subsidiaries. All intercompany transactions and balances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consolidated financial statements include, but are not limited to, incremental borrowing rate used in the calculation of lease liabilities, research and development expenses, the fair values of common stock, stock-based compensation, contingent consideration liabilities, success payments, estimated license fees, contingent liabilities, and certain judgments regarding revenue recognition. Actual results could differ from these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checking accounts, money market accounts, and all highly liquid investments with a remaining maturity of three months or less at the date of purchase. Restricted cash represents collateral provided for letters of credit issued as security deposits in connection with the Company’s leases of its facilities.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cash equivalents, and restricted cash reported within the Company’s consolidated balance sheets to the total of the amounts shown in the consolidated statements of cash flows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435,895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232,767</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559,994</w:t>
            </w:r>
          </w:p>
        </w:tc>
        <w:tc>
          <w:tcPr>
            <w:tcW w:w="100" w:type="dxa"/>
            <w:vAlign w:val="bottom"/>
            <w:shd w:val="clear" w:color="auto" w:fill="CFF0FC"/>
          </w:tcPr>
          <w:p>
            <w:pPr>
              <w:spacing w:after="0"/>
              <w:rPr>
                <w:sz w:val="20"/>
                <w:szCs w:val="20"/>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00" w:type="dxa"/>
            <w:vAlign w:val="bottom"/>
          </w:tcPr>
          <w:p>
            <w:pPr>
              <w:spacing w:after="0"/>
              <w:rPr>
                <w:sz w:val="20"/>
                <w:szCs w:val="20"/>
                <w:color w:val="auto"/>
              </w:rPr>
            </w:pPr>
          </w:p>
        </w:tc>
      </w:tr>
      <w:tr>
        <w:trPr>
          <w:trHeight w:val="277"/>
        </w:trPr>
        <w:tc>
          <w:tcPr>
            <w:tcW w:w="4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444,614</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245,521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4540" w:type="dxa"/>
            <w:vAlign w:val="bottom"/>
          </w:tcPr>
          <w:p>
            <w:pPr>
              <w:spacing w:after="0"/>
              <w:rPr>
                <w:sz w:val="24"/>
                <w:szCs w:val="24"/>
                <w:color w:val="auto"/>
              </w:rPr>
            </w:pPr>
          </w:p>
        </w:tc>
        <w:tc>
          <w:tcPr>
            <w:tcW w:w="244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F-10</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-796290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-779145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-796290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-779145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classifies marketable securities as available-for-sale. Available-for-sale securities consist of commercial paper, high-grade corporate notes, U.S. Treasury securities and government securities. Available-for-sale securities are carried at fair value with the unrealized gains and losses included in accumulated other comprehensive (loss) income as a component of stockholders’ equity until realized. Any premium or discount arising at purchase is amortized and/or accreted to interest income and/or expensed over the life of the instrument. Realized gains and losses are determined using the specific identification method and are included in interest and other income (expense), net.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equity securities</w:t>
      </w:r>
    </w:p>
    <w:p>
      <w:pPr>
        <w:spacing w:after="0" w:line="12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Company classifies investments in equity securities that have a readily determinable fair value as marketable securities in the Company's consolidated balance sheets. The Company’s marketable securities are stated at fair value. Typically, the fair value of these securities is based on a quoted price for an identical equity security. The Company held an investment in privately issued corporate equity securities, which were accounted for as investments in equity securities. This investment did not have a readily determinable fair value and the Company valued the investment based on the cost of the equity securities adjusted for observable market transactions or impairments, if any, and records any changes in value through earnings. The Company records changes in the fair value of its equity securities in other income (expense), net in its consolidated statements of operations and other comprehensive loss.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Financial instruments that are potentially subject to significant concentration of credit risk consist primarily of cash, cash equivalents, marketable securities, and restricted cash. The Company attempts to minimize the risk related to marketable securities by working with highly rated financial institutions that invest in a broad and diverse range of financial instruments.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For the years ended December 31, 2023, 2022 and 2021,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 costs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capitalizes incremental legal, professional, accounting and other third-party fees that were directly associated with its stock offerings as other non-current assets until the offerings are consummated. Upon consummation, these costs are recorded in stockholders’ equity as a reduction of additional paid-in-capital generated as a result of the offerings. As of December 31, 2023 and 2022, there were no deferred offering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or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independent sources.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 As a basis for considering market participant assumptions in fair value measurements, ASC 820 establishes a three-tiered value hierarchy that distinguishes between the following:</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117" w:lineRule="exact"/>
        <w:rPr>
          <w:sz w:val="20"/>
          <w:szCs w:val="20"/>
          <w:color w:val="auto"/>
        </w:rPr>
      </w:pPr>
    </w:p>
    <w:p>
      <w:pPr>
        <w:ind w:left="760" w:right="200"/>
        <w:spacing w:after="0" w:line="282"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market prices, interest rates and yield curves.</w:t>
      </w:r>
    </w:p>
    <w:p>
      <w:pPr>
        <w:spacing w:after="0" w:line="54" w:lineRule="exact"/>
        <w:rPr>
          <w:sz w:val="20"/>
          <w:szCs w:val="20"/>
          <w:color w:val="auto"/>
        </w:rPr>
      </w:pPr>
    </w:p>
    <w:p>
      <w:pPr>
        <w:ind w:left="760" w:right="100"/>
        <w:spacing w:after="0" w:line="282" w:lineRule="auto"/>
        <w:rPr>
          <w:sz w:val="20"/>
          <w:szCs w:val="20"/>
          <w:color w:val="auto"/>
        </w:rPr>
      </w:pPr>
      <w:r>
        <w:rPr>
          <w:rFonts w:ascii="Times New Roman" w:cs="Times New Roman" w:eastAsia="Times New Roman" w:hAnsi="Times New Roman"/>
          <w:sz w:val="18"/>
          <w:szCs w:val="18"/>
          <w:color w:val="auto"/>
        </w:rPr>
        <w:t>Level 3—Unobservable inputs for the asset or liability (i.e., supported by little or no market activity). Level 3 inputs include management’s own assumptions about the assumptions that market participants would use in pricing the asset or liability (including assumptions about risk).</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8" w:name="page149"/>
    <w:bookmarkEnd w:id="148"/>
    <w:p>
      <w:pPr>
        <w:ind w:right="44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valuation methods utilized during the years ended December 31, 2023 and 2022. The Company evaluates transfers between levels at the end of each reporting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20" w:type="dxa"/>
            <w:vAlign w:val="bottom"/>
          </w:tcPr>
          <w:p>
            <w:pPr>
              <w:spacing w:after="0"/>
              <w:rPr>
                <w:sz w:val="16"/>
                <w:szCs w:val="16"/>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 and office furniture</w:t>
            </w: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Shorter of useful life or remaining term</w:t>
            </w:r>
          </w:p>
        </w:tc>
      </w:tr>
    </w:tbl>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interest and other income (expense). Expenditures for repairs and maintenance are charged to expense as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and operating lease right-of-use assets, for impairment whenever events or changes in circumstances indicate that the carrying amount of such assets (or asset groups)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2023, 2022 and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Freestanding financial instruments and derivatives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Pursuant to a license agreement between the President and Fellows of Harvard College, or Harvard, and the Company, or the Harvard License Agreement, and a license agreement with The Broad Institute, Inc., or Broad Institute, and the Company, or the Broad License Agreement, (see Note 10), the Company is required to make success payments to Harvard and Broad Institute based the achievement of specified multiples of the initial weighted average value of the Company’s redeemable convertible Series A-1 Preferred Stock and the Company’s redeemable convertible Series A-2 Preferred Stock, or together the Series A Preferred, at specified valuation dates, payable in cash or Company common stock. Subsequent to the IPO, the amount of the success payments is based on the market value of Beam’s common stock. The success payments are accounted for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were initially recorded at fair value with a corresponding charge to research and development expense. The liabilities are recorded at fair value at each balance sheet date with all changes in value recognized in other income (expense), in the consolidated statement of operations and other comprehensive loss. The Company will continue to adjust the liability for changes in fair value until the earlier of the achievement or expiration of the success payment obligation. To determine the estimated fair value of the success payments, the Company used a Monte Carlo simulation model, which models the value of the liability based on several key variables, including probability of event occurrence, timing of event occurrence, as well as the value of the Series A Preferred, prior to the IPO, and the value of the Company’s common stock, subsequent to the IPO.</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and rent expense</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accounts for leases using a right-of-use, or ROU, model, which recognizes that, at the date of commencement, a lessee has a financial obligation to make lease payments to the lessor for the right to use the underlying asset during the lease term.</w:t>
      </w:r>
    </w:p>
    <w:p>
      <w:pPr>
        <w:spacing w:after="0" w:line="5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ROU assets and short-term and long-term lease liabilities, as applicable. ROU assets represent the Company’s right to use an underlying asset for the lease term and lease liabilities represent its obligation to make lease payments arising from the lease. The Company typically only includes an initial lease term in its assessment of the term of the lease arrangement. It also considers termination options and factors those into the determination of lease payments. Options to renew a lease are not included in the lease term unless there is reasonable certainty that the Company will renew.</w:t>
      </w:r>
    </w:p>
    <w:p>
      <w:pPr>
        <w:spacing w:after="0" w:line="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lease liabilities and their corresponding ROU assets are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 similar term, in a similar economic environment. Lease expense for operating lease payments is recognized on a straight-line basis over the lease term.</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required to pay fees for operating expenses in addition to monthly base rent for certain operating leases (non-lease components). The Company has elected the practical expedient which allows non-lease components to be combined with lease components for all asset classes. Variable lease payments are not included within the lease right-of-use asset and lease liability on the consolidated balance sheet, and instead are reflected as expense in the period they are incurred.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9" w:name="page150"/>
    <w:bookmarkEnd w:id="149"/>
    <w:p>
      <w:pPr>
        <w:spacing w:after="0" w:line="266" w:lineRule="auto"/>
        <w:rPr>
          <w:sz w:val="20"/>
          <w:szCs w:val="20"/>
          <w:color w:val="auto"/>
        </w:rPr>
      </w:pPr>
      <w:r>
        <w:rPr>
          <w:rFonts w:ascii="Times New Roman" w:cs="Times New Roman" w:eastAsia="Times New Roman" w:hAnsi="Times New Roman"/>
          <w:sz w:val="18"/>
          <w:szCs w:val="18"/>
          <w:color w:val="auto"/>
        </w:rPr>
        <w:t>Leasehold improvements are not unique and are retained by the lessor at the end of the lease. However, in the case of a space designed to be suitable for the Company’s specific real estate needs and if the Company is responsible for cost overruns, the Company is the accounting owner of the leasehold improvements and costs associated are capitalized.</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real estate operating leases provide for scheduled annual rent increases throughout the lease terms. The Company recognizes the effects of the scheduled rent increases on a straight-line basis over the full terms of the lease. Tenant improvement allowances, if any, provided by a landlord are recorded as a reduction of the ROU asset related to that lease at lease commencement.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assets, which includes transaction costs, and the consideration is allocated to the items acquired based on a relative fair value methodology. Goodwill is not recognized in asset acquisitions. In an asset acquisition, the cost allocated to acquire in-process research and development with no alternative future use is charged to research and development expense at the acquisition date.</w:t>
      </w:r>
    </w:p>
    <w:p>
      <w:pPr>
        <w:spacing w:after="0" w:line="72" w:lineRule="exact"/>
        <w:rPr>
          <w:sz w:val="20"/>
          <w:szCs w:val="20"/>
          <w:color w:val="auto"/>
        </w:rPr>
      </w:pPr>
    </w:p>
    <w:p>
      <w:pPr>
        <w:ind w:right="940"/>
        <w:spacing w:after="0" w:line="375" w:lineRule="auto"/>
        <w:rPr>
          <w:sz w:val="20"/>
          <w:szCs w:val="20"/>
          <w:color w:val="auto"/>
        </w:rPr>
      </w:pPr>
      <w:r>
        <w:rPr>
          <w:rFonts w:ascii="Times New Roman" w:cs="Times New Roman" w:eastAsia="Times New Roman" w:hAnsi="Times New Roman"/>
          <w:sz w:val="18"/>
          <w:szCs w:val="18"/>
          <w:color w:val="auto"/>
        </w:rPr>
        <w:t xml:space="preserve">At the time of acquisition, the Company determines if a transaction should be accounted for as a business combination or acquisition of assets. </w:t>
      </w:r>
      <w:r>
        <w:rPr>
          <w:rFonts w:ascii="Times New Roman" w:cs="Times New Roman" w:eastAsia="Times New Roman" w:hAnsi="Times New Roman"/>
          <w:sz w:val="18"/>
          <w:szCs w:val="18"/>
          <w:b w:val="1"/>
          <w:bCs w:val="1"/>
          <w:i w:val="1"/>
          <w:iCs w:val="1"/>
          <w:color w:val="auto"/>
        </w:rPr>
        <w:t>Contingent consideration liabilities</w:t>
      </w:r>
    </w:p>
    <w:p>
      <w:pPr>
        <w:spacing w:after="0" w:line="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be required to make milestone payments to the former stockholders and optionholders of Guide Therapeutics, Inc., or Guide, in the form of its common stock based on the achievement of certain product and technology milestones. The payments are accounted for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contingent consideration liabilities are carried at fair value which was estimated by applying a probability-based model, which utilized inputs primarily based upon the achievement and related timing of certain product and technology milestones that were unobservable in the market. The estimated fair value of contingent consideration liabilities, initially measured and recorded on the acquisition date, are considered to be a Level 3 measurement and are reviewed quarterly, or whenever events or circumstances occur that indicate a change in fair value. The contingent consideration liabilities are recorded at fair value at the end of each reporting period with changes in estimated fair values recorded in other income (expense) in the consolidated statements of operations and other comprehensive loss.</w:t>
      </w:r>
    </w:p>
    <w:p>
      <w:pPr>
        <w:spacing w:after="0" w:line="84"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estimated fair value is determined based on probability adjusted discounted cash flow model that include significant estimates and assumptions pertaining to technology and product development. Significant changes in any of the probabilities of success or in the probabilities as to the periods in which milestones would be achieved would result in a significantly higher or lower fair value measurement. The Company will continue to adjust the liabilities for changes in fair value until the earlier of the achievement or expiration of the obligations.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inception, the Company determines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the performance obligation is satisfied. The Company only applies the five-step model to contracts when it determines that collection of substantially all consideration for goods and services that are transferred is probable based on the customer’s intent and ability to pay the promised consideration.</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are distinct in the context of the contract. If these criteria are not met, the promised goods and services are accounted for as a combined performance obligation.</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and is discussed in further detail for each of the Company’s license and collaboration agreements in Note 11.</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50" w:name="page151"/>
    <w:bookmarkEnd w:id="150"/>
    <w:p>
      <w:pPr>
        <w:ind w:right="20"/>
        <w:spacing w:after="0" w:line="258"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Determining the standalone selling price requires significant judgment and is discussed in further detail for each of the Company’s license and collaboration agreements in Note 11.</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Licenses of intellectual property, or IP: If the license to the Company’s IP is determined to be distinct from the other performance obligations identified in the arrangement, the Company recognizes revenues from consideration allocated to the license when the license is transferred to the customer and the customer can use and benefit from the licenses.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Company generally recognizes revenue using the cost incurred to date as compared to the total estimated cost.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 Determining the revenue recognition of IP licenses requires significant judgment and is discussed in further detail for each of the Company’s license and collaboration agreements in Notes 10 and 11.</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development or regulatory milestone payments, the Company evaluates the probability of reaching the milestones and estimates the amount to be included in the transaction price using the most likely amount method. If it is probable that a significant revenue reversal would not occur in the future, the associated milestone value is included in the transaction price. Milestone payments that are not within the Company’s control or the licensee’s, such as regulatory approvals, are not considered probable of being achieved until those approvals are received and therefore consideration included in the transaction price is constrained.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Commercial Milestone Payments and Royalties: For arrangements that include sales-based royalties, including milestone payments based on levels of sales, if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agreements.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no remaining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and collaboration revenue.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expected to be recognized within the next twelve months is classified as a current liability.</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the Company transfers goods or services to a customer before the customer pays consideration or before payment is due, excluding any amounts presented as an account or other receivable. A contract asset is an entity’s right to consideration in exchange for goods or services that the entity has transferred to a customer. The contract liabilities, or deferred revenue, primarily relate to contracts where the Company has received payment, but it has not yet satisfied or fully satisfied the related performance obligations. Upfront payments and fees are recorded as deferred revenue upon receipt or when due and may require deferral of revenue recognition to a future period until the Company satisfies its obligations under these arrangements.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total deferred revenue for the years ended December 31, 2023 and 2022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2"/>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338,153</w:t>
            </w: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348,573</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 from license agreements</w:t>
            </w:r>
          </w:p>
        </w:tc>
        <w:tc>
          <w:tcPr>
            <w:tcW w:w="180" w:type="dxa"/>
            <w:vAlign w:val="bottom"/>
          </w:tcPr>
          <w:p>
            <w:pPr>
              <w:spacing w:after="0"/>
              <w:rPr>
                <w:sz w:val="20"/>
                <w:szCs w:val="20"/>
                <w:color w:val="auto"/>
              </w:rPr>
            </w:pPr>
          </w:p>
        </w:tc>
        <w:tc>
          <w:tcPr>
            <w:tcW w:w="21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tcPr>
          <w:p>
            <w:pPr>
              <w:spacing w:after="0"/>
              <w:rPr>
                <w:sz w:val="20"/>
                <w:szCs w:val="20"/>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recognized in revenue</w:t>
            </w:r>
          </w:p>
        </w:tc>
        <w:tc>
          <w:tcPr>
            <w:tcW w:w="18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(159,559 )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(60,920 )</w:t>
            </w:r>
          </w:p>
        </w:tc>
      </w:tr>
      <w:tr>
        <w:trPr>
          <w:trHeight w:val="237"/>
        </w:trPr>
        <w:tc>
          <w:tcPr>
            <w:tcW w:w="7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178,594</w:t>
            </w:r>
          </w:p>
        </w:tc>
        <w:tc>
          <w:tcPr>
            <w:tcW w:w="9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338,153</w:t>
            </w:r>
          </w:p>
        </w:tc>
        <w:tc>
          <w:tcPr>
            <w:tcW w:w="100" w:type="dxa"/>
            <w:vAlign w:val="bottom"/>
            <w:tcBorders>
              <w:top w:val="single" w:sz="8" w:color="CFF0FC"/>
            </w:tcBorders>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Research and development costs are charged to expense as incurred. Research and development costs consist of costs incurred in performing research and development activities, including salaries and bonuses, stock-based compensation, employee benefits, facilities costs, laboratory supplies, depreciation, manufacturing expenses, preclinical expenses, consulting, and other contracted services. The cost of obtaining licenses for certain technology or IP is recorded to research and development expense when incurred if the licensed technology or IP has not yet reached technological feasibility and has no alternative future use. Costs for certain research and development activities are recognized based on the terms of the individual arrangements, which may differ from the pattern of costs incurred, and are reflected in the financial statements as prepaid or accrued research and development costs.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Company’s stock-based compensation program allows for grants of stock options, restricted stock awards and restricted stock units. Grants are awarded to employees and non-employees, including directors.</w:t>
      </w:r>
    </w:p>
    <w:p>
      <w:pPr>
        <w:spacing w:after="0" w:line="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or ASC 718. ASC 718 requires all stock-based payments to employees, non-employees and directors to be recognized as expense in the consolidated statements of operations and other comprehensive loss based on their fair values. The Company estimates the fair value of options granted using the Black-Scholes option pricing model, or Black-Scholes, for stock option grants to both employees and non-employees. The fair value of the Company’s common stock is used to determine the fair value of restricted stock awards and restricted stock units.</w:t>
      </w:r>
    </w:p>
    <w:p>
      <w:pPr>
        <w:spacing w:after="0" w:line="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Stock-based compensation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grant date fair value over the requisite service period using the accelerated attribution method to the extent achievement of the of performance condition is probable.</w:t>
      </w:r>
    </w:p>
    <w:p>
      <w:pPr>
        <w:spacing w:after="0" w:line="7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The Black-Scholes option pricing model requires inputs based on certain subjective assumptions, including (i) the expected stock price volatility, (ii) the expected term of the award, (iii) the risk-free interest rate, and (iv) expected dividends. The Company bases its computation of expected volatility on the historical volatility of a representative group of public companies with similar characteristics to the Company, including stage of product development and life science industry focus, weighted with its own volatility for the period in which its stock has been publicly traded. The historical volatility is calculated based on a period of time commensurate with expected term assumption. The Company uses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 and other comprehensive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If the Company determines that it is no longer the primary beneficiary of a consolidated VIE, or no longer has a variable interest in the VIE, the Company deconsolidates the VIE in the period that the determination is made.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Company’s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stockholders’ equity of a business enterprise during a period from transactions and other events and circumstances from non-owner sources. Comprehensive loss includes net loss as well as other changes in equity that are excluded from net loss. The Company’s only element of other comprehensive loss is unrealized gains and losses on marketable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purposes of the dilutive net loss per share calculation, stock options and stock units for which the performance and market vesting conditions have been deemed probable, potential dilutive securities, unvested restricted stock, and common stock options are considered to be common stock equivalents, while stock options and stock units with performance- or market-based vesting conditions that were not deemed probable of meeting the applicable vesting conditions are not considered to be common stock equivalents.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Accordingly, in periods in which the Company reported a net loss, such losses were not allocated to such participating securities. In periods in which the Company reported a net loss attributable to common stockholders, diluted net loss per share attributable to common stockholders was the same as basic net loss per share attributable to common stockholders, since dilutive common shares were not assumed to have been issued if their effect is anti-dilutive. The Company reported a net loss attributable to common stockholders for the years ended December 31, 2023, 2022 and 2021.</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circumstances where the Company has the ability to exercise significant influence, but not control, over the operating and financial policies of an entity in which the Company has an investment in common stock or in-substance common stock, the Company utilizes the equity method of accounting for recording related investment activity. In assessing whether the Company exercises significant influence, the Company considers the nature and magnitude of the investment, participating rights the Company holds, and relevant factors such as the presence of a collaborative or other business relationship.</w:t>
      </w:r>
    </w:p>
    <w:p>
      <w:pPr>
        <w:spacing w:after="0" w:line="2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Under the equity method of accounting, the Company’s investments are initially recorded at cost on the consolidated balance sheets. Upon recording an equity method investment, the Company evaluates whether there are basis differences between the carrying value and fair value of the Company’s proportionate share of the investee’s underlying net assets. Typically, the Company amortizes basis differences identified on a straight-line basis over the underlying asset’s or liability's estimated useful lives when calculating the attributable earnings or losses, excluding the basis differences attributable to in-process research and development, or IPR&amp;D, that has no alternative future use. To the extent a basis difference relates to IPR&amp;D and the investee is not a business as defined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or ASC 805, the Company immediately expenses such basis difference related to IPR&amp;D. If the Company is unable to attribute all of the basis difference to specific assets or liabilities of the investee, the residual excess of the cost of the investment over the proportional fair value of the investee’s assets and liabilities is considered to be Equity Method Goodwill and is recognized within the equity investment balance, which is tracked separately within the Company’s memo accounts. The Company subsequently records in the consolidated statements of operations and comprehensive loss its share of income or loss of the other entity within the loss from equity method investment line item. If the share of losses exceeds the carrying value of the Company’s investment, the Company will suspend recognizing additional losses and will continue to do so unless it commits to providing additional funding or commits to guarantee investee liabilities.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the carrying amounts of such investments may be impaired and considers qualitative and quantitative factors including the investee’s financial metrics, product and commercial outlook and cash usage. If a decline in the value of an equity method investment is determined to be other than temporary, a loss is recorded in earnings in the current period and the investment is written down to fair value.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the Company accounted for its investment in Orbital under the equity method of accounting. The Company has no carrying value related to this investment as of December 31, 2023 and 2022. Refer to Note 11 for further details.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CODM, or decision-making group, in deciding how to allocate resources and in assessing performance. The CODM is the Company’s Chief Executive Officer. The Company views its operations as and manages its business in one operating segment operating exclusively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announced accounting pronouncements</w:t>
      </w:r>
    </w:p>
    <w:p>
      <w:pPr>
        <w:spacing w:after="0" w:line="11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w:t>
      </w:r>
      <w:r>
        <w:rPr>
          <w:rFonts w:ascii="Times New Roman" w:cs="Times New Roman" w:eastAsia="Times New Roman" w:hAnsi="Times New Roman"/>
          <w:sz w:val="18"/>
          <w:szCs w:val="18"/>
          <w:i w:val="1"/>
          <w:iCs w:val="1"/>
          <w:color w:val="auto"/>
        </w:rPr>
        <w:t>, Segment Reporting (Topic 280).</w:t>
      </w:r>
      <w:r>
        <w:rPr>
          <w:rFonts w:ascii="Times New Roman" w:cs="Times New Roman" w:eastAsia="Times New Roman" w:hAnsi="Times New Roman"/>
          <w:sz w:val="18"/>
          <w:szCs w:val="18"/>
          <w:color w:val="auto"/>
        </w:rPr>
        <w:t xml:space="preserve"> The amendments in this update expand segment disclosure requirements, including new segment disclosure requirements for entities with a single reportable segment among other disclosure requirements. This update is effective for fiscal years beginning after December 15, 2023, and interim periods within fiscal years beginning after December 15, 2024. The adoption of this standard is not expected to have a material impact on the Company’s consolidated financial statements.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The amendments in this update expand income tax disclosure requirements, including additional information pertaining to the rate reconciliation, income taxes paid, and other disclosures. This update is effective for annual periods beginning after December 15, 2024. The adoption of this standard is not expected to have a material impact on the Company’s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9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100,186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85,804</w:t>
            </w:r>
          </w:p>
        </w:tc>
        <w:tc>
          <w:tcPr>
            <w:tcW w:w="100" w:type="dxa"/>
            <w:vAlign w:val="bottom"/>
            <w:shd w:val="clear" w:color="auto" w:fill="CFF0FC"/>
          </w:tcPr>
          <w:p>
            <w:pPr>
              <w:spacing w:after="0"/>
              <w:rPr>
                <w:sz w:val="20"/>
                <w:szCs w:val="20"/>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47,383</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20"/>
                <w:szCs w:val="20"/>
                <w:color w:val="auto"/>
              </w:rPr>
            </w:pPr>
          </w:p>
        </w:tc>
      </w:tr>
      <w:tr>
        <w:trPr>
          <w:trHeight w:val="24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8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175,142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145,790</w:t>
            </w:r>
          </w:p>
        </w:tc>
        <w:tc>
          <w:tcPr>
            <w:tcW w:w="100" w:type="dxa"/>
            <w:vAlign w:val="bottom"/>
          </w:tcPr>
          <w:p>
            <w:pPr>
              <w:spacing w:after="0"/>
              <w:rPr>
                <w:sz w:val="20"/>
                <w:szCs w:val="20"/>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(50,182 )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(30,170 )</w:t>
            </w:r>
          </w:p>
        </w:tc>
      </w:tr>
      <w:tr>
        <w:trPr>
          <w:trHeight w:val="236"/>
        </w:trPr>
        <w:tc>
          <w:tcPr>
            <w:tcW w:w="39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124,960</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115,620</w:t>
            </w:r>
          </w:p>
        </w:tc>
        <w:tc>
          <w:tcPr>
            <w:tcW w:w="100" w:type="dxa"/>
            <w:vAlign w:val="bottom"/>
            <w:tcBorders>
              <w:top w:val="single" w:sz="8" w:color="CFF0FC"/>
            </w:tcBorders>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3900" w:type="dxa"/>
            <w:vAlign w:val="bottom"/>
          </w:tcPr>
          <w:p>
            <w:pPr>
              <w:spacing w:after="0"/>
              <w:rPr>
                <w:sz w:val="24"/>
                <w:szCs w:val="24"/>
                <w:color w:val="auto"/>
              </w:rPr>
            </w:pPr>
          </w:p>
        </w:tc>
        <w:tc>
          <w:tcPr>
            <w:tcW w:w="410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F-17</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-1276350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-959485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The following table summarizes depreciation expense incurred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20,012</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shd w:val="clear" w:color="auto" w:fill="CFF0FC"/>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cash equivalents, marketable securities, equity securities of Verve Therapeutics, Inc., or Verve, and Prime Medicine, Inc., or Prime, contingent consideration liabilities related to the Agreement and Plan of Merger, dated February 23, 2021, between the Company and Guide, or the Guide Merger Agreement, and success payment derivative liabilities pursuant to the Harvard and Broad License Agreements.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by level within the fair value hierarchy at December 31, 2023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3820" w:type="dxa"/>
            <w:vAlign w:val="bottom"/>
            <w:tcBorders>
              <w:bottom w:val="single" w:sz="8" w:color="CFF0FC"/>
            </w:tcBorders>
            <w:gridSpan w:val="2"/>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435,689</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435,689</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435,689</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285,289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285,289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285,289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271,145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271,145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271,145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30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1,189,670</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1,189,670</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457,564</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732,106</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3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Success payment liability – Harvard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Success payment liability – Broad Institute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Technology</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Product</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3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F-18</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-2073910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-2073910</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-2073910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-2073910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-796290</wp:posOffset>
            </wp:positionV>
            <wp:extent cx="774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-779145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-796290</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-779145</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-796290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-779145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-796290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-779145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5" w:name="page156"/>
    <w:bookmarkEnd w:id="155"/>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by level within the fair value hierarchy at December 31, 2022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3820" w:type="dxa"/>
            <w:vAlign w:val="bottom"/>
            <w:tcBorders>
              <w:bottom w:val="single" w:sz="8" w:color="CFF0FC"/>
            </w:tcBorders>
            <w:gridSpan w:val="2"/>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218,794</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218,794</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218,794</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577,728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577,728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577,728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securities included in marketable securities:</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1,078,134</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1,078,134</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259,261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818,873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Borders>
              <w:top w:val="single" w:sz="8" w:color="CFF0FC"/>
            </w:tcBorders>
          </w:tcPr>
          <w:p>
            <w:pPr>
              <w:spacing w:after="0"/>
              <w:rPr>
                <w:sz w:val="19"/>
                <w:szCs w:val="19"/>
                <w:color w:val="auto"/>
              </w:rPr>
            </w:pPr>
          </w:p>
        </w:tc>
        <w:tc>
          <w:tcPr>
            <w:tcW w:w="48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5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35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Success payment liability – Harvard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Success payment liability – Broad Institute</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Technology</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30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Product</w:t>
            </w: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-1139190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-1122680</wp:posOffset>
            </wp:positionV>
            <wp:extent cx="77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-1139190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-1122680</wp:posOffset>
            </wp:positionV>
            <wp:extent cx="77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-1139190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-1122680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-1139190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-1122680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-187960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equivalents </w:t>
      </w:r>
      <w:r>
        <w:rPr>
          <w:rFonts w:ascii="Times New Roman" w:cs="Times New Roman" w:eastAsia="Times New Roman" w:hAnsi="Times New Roman"/>
          <w:sz w:val="18"/>
          <w:szCs w:val="18"/>
          <w:color w:val="auto"/>
        </w:rPr>
        <w:t>– Money market funds included within cash equivalents are classified within Level 1 of the fair value hierarchy because they are valued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quoted market prices in active markets. Commercial paper and corporate notes are classified within Level 2 of the fair value hierarchy because pricing inputs are other than quoted prices in active markets, which are either directly or indirectly observable as of the reporting date, and fair value is determined through using models or other valuation methodologies.</w:t>
      </w:r>
    </w:p>
    <w:p>
      <w:pPr>
        <w:spacing w:after="0" w:line="68"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Marketable securities </w:t>
      </w:r>
      <w:r>
        <w:rPr>
          <w:rFonts w:ascii="Times New Roman" w:cs="Times New Roman" w:eastAsia="Times New Roman" w:hAnsi="Times New Roman"/>
          <w:sz w:val="18"/>
          <w:szCs w:val="18"/>
          <w:color w:val="auto"/>
        </w:rPr>
        <w:t>– Marketable securities, excluding corporate equity securities, are classified within Level 2 of the fair value hierarchy because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inputs are other than quoted prices in active markets, which are either directly or indirectly observable as of the reporting date, and fair value is determined using models or other valuation methodologies.</w:t>
      </w:r>
    </w:p>
    <w:p>
      <w:pPr>
        <w:spacing w:after="0" w:line="6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held an investment in Verve consisting of shares of Verve’s common stock. As of December 31, 2023, the Company owned 546,970 shares of Verve's common stock, the value of which is included in marketable securities in the consolidated balance sheet. The Company recorded the investment at fair value of $7.6 million and $10.6 million as of December 31, 2023 and 2022, respectively. The Company recognized $3.0 million and $9.6 million of other expense during the years ended December 31, 2023 and 2022, respectively, associated with changes in the fair value of Verve's common stock.</w:t>
      </w:r>
    </w:p>
    <w:p>
      <w:pPr>
        <w:spacing w:after="0" w:line="75"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In October 2022, Prime completed an initial public offering of its common stock. As of December 31, 2023 and 2022, the Company owned 1,608,337 shares of Prime's common stock valued at $14.2 million and $29.9 million, respectively. The Company recognized $15.6 million of other expense and $29.8 million of other income during the years ended December 31, 2023 and 2022, respectively, associated with changes in the fair value of Prime's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(expense) incurred due to changes in the fair value of corporate equity securities held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(18,592 )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17,690</w:t>
            </w:r>
          </w:p>
        </w:tc>
        <w:tc>
          <w:tcPr>
            <w:tcW w:w="100" w:type="dxa"/>
            <w:vAlign w:val="bottom"/>
            <w:shd w:val="clear" w:color="auto" w:fill="CFF0FC"/>
          </w:tcPr>
          <w:p>
            <w:pPr>
              <w:spacing w:after="0"/>
              <w:rPr>
                <w:sz w:val="20"/>
                <w:szCs w:val="20"/>
                <w:color w:val="auto"/>
              </w:rPr>
            </w:pPr>
          </w:p>
        </w:tc>
      </w:tr>
    </w:tbl>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Success Payment Liability </w:t>
      </w:r>
      <w:r>
        <w:rPr>
          <w:rFonts w:ascii="Times New Roman" w:cs="Times New Roman" w:eastAsia="Times New Roman" w:hAnsi="Times New Roman"/>
          <w:sz w:val="18"/>
          <w:szCs w:val="18"/>
          <w:color w:val="auto"/>
        </w:rPr>
        <w:t>– As discussed further in Note 10, the Company is required to make payments to Harvard and Broad Institute based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achievement of specified multiples of the initial weighted average value of the Company’s Series A Preferred or, subsequent to the IPO, the market value of the Company's common stock, at specified valuation dates. The Company’s liability for the share-based success payments under the Harvard and Broad License Agreements are carried at fair value. To determine the estimated fair value of the success payment liability, the Company uses a Monte Carlo simulation methodology, which models the future movement of stock prices based on several key variables.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The following variables were incorporated in the calculation of the estimated fair value of the Harvard and Broad Institute success payment liabilities: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Harvard</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Broad Institute</w:t>
            </w:r>
          </w:p>
        </w:tc>
      </w:tr>
      <w:tr>
        <w:trPr>
          <w:trHeight w:val="131"/>
        </w:trPr>
        <w:tc>
          <w:tcPr>
            <w:tcW w:w="5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gridSpan w:val="2"/>
          </w:tcPr>
          <w:p>
            <w:pPr>
              <w:spacing w:after="0"/>
              <w:rPr>
                <w:sz w:val="11"/>
                <w:szCs w:val="11"/>
                <w:color w:val="auto"/>
              </w:rPr>
            </w:pPr>
          </w:p>
        </w:tc>
      </w:tr>
      <w:tr>
        <w:trPr>
          <w:trHeight w:val="187"/>
        </w:trPr>
        <w:tc>
          <w:tcPr>
            <w:tcW w:w="5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82 %</w:t>
            </w:r>
          </w:p>
        </w:tc>
        <w:tc>
          <w:tcPr>
            <w:tcW w:w="18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0.06 - 5.49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0.08-6.49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0.06 - 6.36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0.08-7.36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9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computation of expected volatility was estimated using the Company's historical volatility along with available information about the historical volatility of stocks of similar publicly traded companies for a period matching the expected term assumption. In addition, the Company incorporated the estimated number, timing, and probability of valuation measurement dates in the calculation of the success payment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the fair value of success payment liabilities based on Level 3 inputs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Harvard</w:t>
            </w:r>
          </w:p>
        </w:tc>
        <w:tc>
          <w:tcPr>
            <w:tcW w:w="16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Broad Institute</w:t>
            </w:r>
          </w:p>
        </w:tc>
        <w:tc>
          <w:tcPr>
            <w:tcW w:w="300" w:type="dxa"/>
            <w:vAlign w:val="bottom"/>
          </w:tcPr>
          <w:p>
            <w:pPr>
              <w:spacing w:after="0"/>
              <w:rPr>
                <w:sz w:val="14"/>
                <w:szCs w:val="14"/>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100" w:type="dxa"/>
            <w:vAlign w:val="bottom"/>
            <w:shd w:val="clear" w:color="auto" w:fill="CFF0FC"/>
          </w:tcPr>
          <w:p>
            <w:pPr>
              <w:spacing w:after="0"/>
              <w:rPr>
                <w:sz w:val="20"/>
                <w:szCs w:val="20"/>
                <w:color w:val="auto"/>
              </w:rPr>
            </w:pPr>
          </w:p>
        </w:tc>
      </w:tr>
      <w:tr>
        <w:trPr>
          <w:trHeight w:val="239"/>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(12,000 )</w:t>
            </w:r>
          </w:p>
        </w:tc>
        <w:tc>
          <w:tcPr>
            <w:tcW w:w="1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(11,900 )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(23,900 )</w:t>
            </w:r>
          </w:p>
        </w:tc>
      </w:tr>
      <w:tr>
        <w:trPr>
          <w:trHeight w:val="241"/>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(3,800 )</w:t>
            </w:r>
          </w:p>
        </w:tc>
        <w:tc>
          <w:tcPr>
            <w:tcW w:w="1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(3,700 )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(7,500 )</w:t>
            </w:r>
          </w:p>
        </w:tc>
      </w:tr>
      <w:tr>
        <w:trPr>
          <w:trHeight w:val="277"/>
        </w:trPr>
        <w:tc>
          <w:tcPr>
            <w:tcW w:w="6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Contingent consideration liabilities </w:t>
      </w:r>
      <w:r>
        <w:rPr>
          <w:rFonts w:ascii="Times New Roman" w:cs="Times New Roman" w:eastAsia="Times New Roman" w:hAnsi="Times New Roman"/>
          <w:sz w:val="17"/>
          <w:szCs w:val="17"/>
          <w:color w:val="auto"/>
        </w:rPr>
        <w:t>– As discussed further in Note 9, under the Guide Merger Agreement, Guide’s former stockholders and optionholders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are eligible to receive up to an additional $100.0 million in technology milestone payments and $220.0 million in product milestone payments, payable in the Company’s common stock valued using the volume-weighted average price of the Company’s stock over the ten-day trading period ending two trading days prior to the date on which the applicable milestone is achieved. As these milestones are payable with a variable number of shares of the Company’s common stock, the milestone payments result in liability classification under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These contingent consideration liabilities are carried at fair value which was estimated by applying a probability-based model, which utilized inputs based on timing of achievement that were unobservable in the market. These contingent consideration liabilities are classified within Level 3 of the fair value hierarchy.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variables were incorporated in the calculation of the estimated fair value of the contingent consideration liabilities: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30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Technology Milestones</w:t>
            </w:r>
          </w:p>
        </w:tc>
        <w:tc>
          <w:tcPr>
            <w:tcW w:w="30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Product Milestones</w:t>
            </w:r>
          </w:p>
        </w:tc>
      </w:tr>
      <w:tr>
        <w:trPr>
          <w:trHeight w:val="131"/>
        </w:trPr>
        <w:tc>
          <w:tcPr>
            <w:tcW w:w="5200" w:type="dxa"/>
            <w:vAlign w:val="bottom"/>
          </w:tcPr>
          <w:p>
            <w:pPr>
              <w:spacing w:after="0"/>
              <w:rPr>
                <w:sz w:val="11"/>
                <w:szCs w:val="11"/>
                <w:color w:val="auto"/>
              </w:rPr>
            </w:pPr>
          </w:p>
        </w:tc>
        <w:tc>
          <w:tcPr>
            <w:tcW w:w="1600" w:type="dxa"/>
            <w:vAlign w:val="bottom"/>
            <w:tcBorders>
              <w:top w:val="single" w:sz="8" w:color="auto"/>
            </w:tcBorders>
            <w:gridSpan w:val="3"/>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top w:val="single" w:sz="8" w:color="auto"/>
            </w:tcBorders>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580" w:type="dxa"/>
            <w:vAlign w:val="bottom"/>
            <w:tcBorders>
              <w:top w:val="single" w:sz="8" w:color="auto"/>
            </w:tcBorders>
            <w:gridSpan w:val="3"/>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top w:val="single" w:sz="8" w:color="auto"/>
            </w:tcBorders>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r>
      <w:tr>
        <w:trPr>
          <w:trHeight w:val="187"/>
        </w:trPr>
        <w:tc>
          <w:tcPr>
            <w:tcW w:w="5200" w:type="dxa"/>
            <w:vAlign w:val="bottom"/>
          </w:tcPr>
          <w:p>
            <w:pPr>
              <w:spacing w:after="0"/>
              <w:rPr>
                <w:sz w:val="16"/>
                <w:szCs w:val="16"/>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5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20"/>
                <w:szCs w:val="20"/>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Year of Achievement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2024-2025</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2025-2031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2025-2030</w:t>
            </w:r>
          </w:p>
        </w:tc>
        <w:tc>
          <w:tcPr>
            <w:tcW w:w="22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contingent consideration liabilities based on level 3 inputs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600"/>
              <w:spacing w:after="0" w:line="151"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13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Product Milestones</w:t>
            </w:r>
          </w:p>
        </w:tc>
        <w:tc>
          <w:tcPr>
            <w:tcW w:w="240" w:type="dxa"/>
            <w:vAlign w:val="bottom"/>
            <w:tcBorders>
              <w:top w:val="single" w:sz="8" w:color="auto"/>
            </w:tcBorders>
            <w:vMerge w:val="restart"/>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26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0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(18,334 )</w:t>
            </w:r>
          </w:p>
        </w:tc>
        <w:tc>
          <w:tcPr>
            <w:tcW w:w="4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(18,904 )</w:t>
            </w:r>
          </w:p>
        </w:tc>
        <w:tc>
          <w:tcPr>
            <w:tcW w:w="0" w:type="dxa"/>
            <w:vAlign w:val="bottom"/>
          </w:tcPr>
          <w:p>
            <w:pPr>
              <w:spacing w:after="0"/>
              <w:rPr>
                <w:sz w:val="1"/>
                <w:szCs w:val="1"/>
                <w:color w:val="auto"/>
              </w:rPr>
            </w:pPr>
          </w:p>
        </w:tc>
      </w:tr>
      <w:tr>
        <w:trPr>
          <w:trHeight w:val="241"/>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8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6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(4,654 )</w:t>
            </w:r>
          </w:p>
        </w:tc>
        <w:tc>
          <w:tcPr>
            <w:tcW w:w="4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(5,086 )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(9,740 )</w:t>
            </w:r>
          </w:p>
        </w:tc>
        <w:tc>
          <w:tcPr>
            <w:tcW w:w="0" w:type="dxa"/>
            <w:vAlign w:val="bottom"/>
          </w:tcPr>
          <w:p>
            <w:pPr>
              <w:spacing w:after="0"/>
              <w:rPr>
                <w:sz w:val="1"/>
                <w:szCs w:val="1"/>
                <w:color w:val="auto"/>
              </w:rPr>
            </w:pPr>
          </w:p>
        </w:tc>
      </w:tr>
      <w:tr>
        <w:trPr>
          <w:trHeight w:val="276"/>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840" w:type="dxa"/>
            <w:vAlign w:val="bottom"/>
          </w:tcPr>
          <w:p>
            <w:pPr>
              <w:spacing w:after="0"/>
              <w:rPr>
                <w:sz w:val="24"/>
                <w:szCs w:val="24"/>
                <w:color w:val="auto"/>
              </w:rPr>
            </w:pPr>
          </w:p>
        </w:tc>
        <w:tc>
          <w:tcPr>
            <w:tcW w:w="302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F-20</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-796290</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-779780</wp:posOffset>
            </wp:positionV>
            <wp:extent cx="77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-796290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-779780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20" w:right="2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held at December 31, 2023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285,054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285,289</w:t>
            </w:r>
          </w:p>
        </w:tc>
        <w:tc>
          <w:tcPr>
            <w:tcW w:w="0" w:type="dxa"/>
            <w:vAlign w:val="bottom"/>
          </w:tcPr>
          <w:p>
            <w:pPr>
              <w:spacing w:after="0"/>
              <w:rPr>
                <w:sz w:val="1"/>
                <w:szCs w:val="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3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23,462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23,525</w:t>
            </w:r>
          </w:p>
        </w:tc>
        <w:tc>
          <w:tcPr>
            <w:tcW w:w="0" w:type="dxa"/>
            <w:vAlign w:val="bottom"/>
          </w:tcPr>
          <w:p>
            <w:pPr>
              <w:spacing w:after="0"/>
              <w:rPr>
                <w:sz w:val="1"/>
                <w:szCs w:val="1"/>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151,805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152,147</w:t>
            </w:r>
          </w:p>
        </w:tc>
        <w:tc>
          <w:tcPr>
            <w:tcW w:w="0" w:type="dxa"/>
            <w:vAlign w:val="bottom"/>
          </w:tcPr>
          <w:p>
            <w:pPr>
              <w:spacing w:after="0"/>
              <w:rPr>
                <w:sz w:val="1"/>
                <w:szCs w:val="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271,181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271,145</w:t>
            </w:r>
          </w:p>
        </w:tc>
        <w:tc>
          <w:tcPr>
            <w:tcW w:w="0" w:type="dxa"/>
            <w:vAlign w:val="bottom"/>
          </w:tcPr>
          <w:p>
            <w:pPr>
              <w:spacing w:after="0"/>
              <w:rPr>
                <w:sz w:val="1"/>
                <w:szCs w:val="1"/>
                <w:color w:val="auto"/>
              </w:rPr>
            </w:pPr>
          </w:p>
        </w:tc>
      </w:tr>
      <w:tr>
        <w:trPr>
          <w:trHeight w:val="243"/>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3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21,875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21,875</w:t>
            </w:r>
          </w:p>
        </w:tc>
        <w:tc>
          <w:tcPr>
            <w:tcW w:w="0" w:type="dxa"/>
            <w:vAlign w:val="bottom"/>
          </w:tcPr>
          <w:p>
            <w:pPr>
              <w:spacing w:after="0"/>
              <w:rPr>
                <w:sz w:val="1"/>
                <w:szCs w:val="1"/>
                <w:color w:val="auto"/>
              </w:rPr>
            </w:pPr>
          </w:p>
        </w:tc>
      </w:tr>
      <w:tr>
        <w:trPr>
          <w:trHeight w:val="237"/>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753,377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1,077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753,981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-187960</wp:posOffset>
            </wp:positionV>
            <wp:extent cx="857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held at December 31, 2022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578,813</w:t>
            </w:r>
          </w:p>
        </w:tc>
        <w:tc>
          <w:tcPr>
            <w:tcW w:w="10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72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(1,157 )</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577,728</w:t>
            </w:r>
          </w:p>
        </w:tc>
        <w:tc>
          <w:tcPr>
            <w:tcW w:w="0" w:type="dxa"/>
            <w:vAlign w:val="bottom"/>
          </w:tcPr>
          <w:p>
            <w:pPr>
              <w:spacing w:after="0"/>
              <w:rPr>
                <w:sz w:val="1"/>
                <w:szCs w:val="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3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19,033</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18,996</w:t>
            </w:r>
          </w:p>
        </w:tc>
        <w:tc>
          <w:tcPr>
            <w:tcW w:w="0" w:type="dxa"/>
            <w:vAlign w:val="bottom"/>
          </w:tcPr>
          <w:p>
            <w:pPr>
              <w:spacing w:after="0"/>
              <w:rPr>
                <w:sz w:val="1"/>
                <w:szCs w:val="1"/>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146,270</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145,312</w:t>
            </w:r>
          </w:p>
        </w:tc>
        <w:tc>
          <w:tcPr>
            <w:tcW w:w="0" w:type="dxa"/>
            <w:vAlign w:val="bottom"/>
          </w:tcPr>
          <w:p>
            <w:pPr>
              <w:spacing w:after="0"/>
              <w:rPr>
                <w:sz w:val="1"/>
                <w:szCs w:val="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63,214</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62,864</w:t>
            </w:r>
          </w:p>
        </w:tc>
        <w:tc>
          <w:tcPr>
            <w:tcW w:w="0" w:type="dxa"/>
            <w:vAlign w:val="bottom"/>
          </w:tcPr>
          <w:p>
            <w:pPr>
              <w:spacing w:after="0"/>
              <w:rPr>
                <w:sz w:val="1"/>
                <w:szCs w:val="1"/>
                <w:color w:val="auto"/>
              </w:rPr>
            </w:pPr>
          </w:p>
        </w:tc>
      </w:tr>
      <w:tr>
        <w:trPr>
          <w:trHeight w:val="243"/>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3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40,467</w:t>
            </w: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40,467</w:t>
            </w:r>
          </w:p>
        </w:tc>
        <w:tc>
          <w:tcPr>
            <w:tcW w:w="0" w:type="dxa"/>
            <w:vAlign w:val="bottom"/>
          </w:tcPr>
          <w:p>
            <w:pPr>
              <w:spacing w:after="0"/>
              <w:rPr>
                <w:sz w:val="1"/>
                <w:szCs w:val="1"/>
                <w:color w:val="auto"/>
              </w:rPr>
            </w:pPr>
          </w:p>
        </w:tc>
      </w:tr>
      <w:tr>
        <w:trPr>
          <w:trHeight w:val="237"/>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847,797</w:t>
            </w:r>
          </w:p>
        </w:tc>
        <w:tc>
          <w:tcPr>
            <w:tcW w:w="10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85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(2,515 )</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845,367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-187960</wp:posOffset>
            </wp:positionV>
            <wp:extent cx="857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amortized cost of marketable securities is adjusted for amortization of premiums and accretion of discounts to maturity. At December 31, 2023 and 2022, the balance in accumulated other comprehensive (loss) income was comprised solely of activity related to marketable securities. There were no realized gains or losses recognized on the sale or maturity of marketable securities for the years ended December 31, 2023, 2022 and 2021 and, as a result, the Company did not reclassify any amounts out of accumulated other comprehensive (loss) income for the same periods.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any of its debt securities. The contractual maturity dates of all the investments are less than one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contingent obligation, refer to Note 10</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related benefits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costs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development and manufacturing costs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financing costs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49,912</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received correspondence from a research institution regarding a confidentiality agreement between such institution and the Company. The confidentiality agreement related to certain technology that the Company evaluated for development in connection with certain of its programs. The correspondence alleged that the Company breached the terms of the confidentiality agreement, misappropriated trade secrets and other confidential information of such institution, engaged in unfair and deceptive trade practices, and was unjustly enriched in connection with developing its therapeutics, including BEAM-302. The research institution claimed that it is entitled to monetary damages (including damages for the apportioned value of the Company and enhanced damages for an alleged willful violation) and certain ongoing royalty and/or milestone payments related to the technology that is the subject of the alleged breaches of contract, among other possible remedies. No complaint has been filed, and the Company continues to discuss the matter with the research institution. As of December 31, 2023, no amount of loss is determinable and the Company had a liability accrued of $21.3 million included within Other in the table above for the minimum amount in the range of loss based on its settlement offer. The ultimate resolution of this matter could require a cash payment, ongoing royalty and/or milestone payments and result in a material charge in excess of the amount accrued as of December 31, 2023.</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are as follows:</w:t>
      </w:r>
    </w:p>
    <w:p>
      <w:pPr>
        <w:spacing w:after="0" w:line="117" w:lineRule="exact"/>
        <w:rPr>
          <w:sz w:val="20"/>
          <w:szCs w:val="20"/>
          <w:color w:val="auto"/>
        </w:rPr>
      </w:pPr>
    </w:p>
    <w:p>
      <w:pPr>
        <w:ind w:left="1020" w:right="400" w:hanging="503"/>
        <w:spacing w:after="0" w:line="282"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February 2018 lease for office and laboratory space, which commenced in March 2018 and terminates in September 2028. The lease is subject to fixed-rate rent escalations and provided for $6.1 million in tenant improvements allowances and a term extension option.</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October 2018 lease for laboratory space as amended, which commenced in April 2019 and terminates in December 2025. The amended lease is subject to fixed-rate rent escalations and provides an option to extend the lease for two additional two-year periods through December 31, 2029.</w:t>
      </w:r>
    </w:p>
    <w:p>
      <w:pPr>
        <w:spacing w:after="0" w:line="67" w:lineRule="exact"/>
        <w:rPr>
          <w:rFonts w:ascii="Times New Roman" w:cs="Times New Roman" w:eastAsia="Times New Roman" w:hAnsi="Times New Roman"/>
          <w:sz w:val="18"/>
          <w:szCs w:val="18"/>
          <w:color w:val="auto"/>
        </w:rPr>
      </w:pPr>
    </w:p>
    <w:p>
      <w:pPr>
        <w:ind w:left="1020" w:right="200" w:hanging="503"/>
        <w:spacing w:after="0" w:line="255"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April 2019 lease for office and laboratory space that was built over the course of 2020 and 2021. Pursuant to the terms of the original lease agreement, the first phase of the lease commenced in October 2020 (rent payments for the first phase began in August 2021) and the second phase of the lease commenced in January 2021 (rent payments for the second phase began in February 2022). The lease is subject to fixed-rate rent escalations and provides for $23.4 million in tenant improvements and the option to extend the lease for two terms of five years each. The Company determined that it is the accounting owner of all tenant improvements. In August 2021, the Company executed an amendment to this lease to occupy additional space. The term of this lease runs concurrent with the term of the April 2019 lease through February 2034.</w:t>
      </w:r>
    </w:p>
    <w:p>
      <w:pPr>
        <w:spacing w:after="0" w:line="80"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August 2020 lease for a 100,000 square foot manufacturing facility in Research Triangle Park, North Carolina. Construction of the manufacturing facility began in 2020 and the Company began making rent payments in the fourth quarter of 2022. The lease will terminate 15 years from the rent commencement date, December 2022. The lease is subject to fixed-rate rent escalations and provides for $20.0 million in tenant improvements and the option to extend the lease for two terms of five years each, which were not reasonably certain of exercise as of December 31,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operating lease costs as well as sublease income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3780" w:type="dxa"/>
            <w:vAlign w:val="bottom"/>
          </w:tcPr>
          <w:p>
            <w:pPr>
              <w:spacing w:after="0"/>
              <w:rPr>
                <w:sz w:val="19"/>
                <w:szCs w:val="19"/>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500" w:type="dxa"/>
            <w:vAlign w:val="bottom"/>
            <w:shd w:val="clear" w:color="auto" w:fill="CFF0FC"/>
          </w:tcPr>
          <w:p>
            <w:pPr>
              <w:jc w:val="right"/>
              <w:ind w:right="12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3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100" w:type="dxa"/>
            <w:vAlign w:val="bottom"/>
            <w:shd w:val="clear" w:color="auto" w:fill="CFF0FC"/>
          </w:tcPr>
          <w:p>
            <w:pPr>
              <w:spacing w:after="0"/>
              <w:rPr>
                <w:sz w:val="20"/>
                <w:szCs w:val="20"/>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5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(1,319 )</w:t>
            </w:r>
          </w:p>
        </w:tc>
        <w:tc>
          <w:tcPr>
            <w:tcW w:w="5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r>
      <w:tr>
        <w:trPr>
          <w:trHeight w:val="277"/>
        </w:trPr>
        <w:tc>
          <w:tcPr>
            <w:tcW w:w="3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shd w:val="clear" w:color="auto" w:fill="CFF0FC"/>
          </w:tcPr>
          <w:p>
            <w:pPr>
              <w:jc w:val="right"/>
              <w:ind w:right="12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36,840</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3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lease term and discount rate for operating leases:</w:t>
      </w:r>
    </w:p>
    <w:p>
      <w:pPr>
        <w:spacing w:after="0" w:line="178"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333"/>
        </w:trPr>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the lease costs included in the measurement of lease liabilities (in thousands):</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6"/>
        </w:trPr>
        <w:tc>
          <w:tcPr>
            <w:tcW w:w="6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60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9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1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19,052</w:t>
            </w:r>
          </w:p>
        </w:tc>
        <w:tc>
          <w:tcPr>
            <w:tcW w:w="1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ROU assets</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9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At December 31, 2023, the future maturity of the Company’s operating leases for each of the next five years and total thereafter were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2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25,315</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100" w:type="dxa"/>
            <w:vAlign w:val="bottom"/>
            <w:shd w:val="clear" w:color="auto" w:fill="CFF0FC"/>
          </w:tcPr>
          <w:p>
            <w:pPr>
              <w:spacing w:after="0"/>
              <w:rPr>
                <w:sz w:val="21"/>
                <w:szCs w:val="2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22,806</w:t>
            </w:r>
          </w:p>
        </w:tc>
        <w:tc>
          <w:tcPr>
            <w:tcW w:w="100" w:type="dxa"/>
            <w:vAlign w:val="bottom"/>
            <w:shd w:val="clear" w:color="auto" w:fill="CFF0FC"/>
          </w:tcPr>
          <w:p>
            <w:pPr>
              <w:spacing w:after="0"/>
              <w:rPr>
                <w:sz w:val="21"/>
                <w:szCs w:val="2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100" w:type="dxa"/>
            <w:vAlign w:val="bottom"/>
          </w:tcPr>
          <w:p>
            <w:pPr>
              <w:spacing w:after="0"/>
              <w:rPr>
                <w:sz w:val="20"/>
                <w:szCs w:val="20"/>
                <w:color w:val="auto"/>
              </w:rPr>
            </w:pPr>
          </w:p>
        </w:tc>
      </w:tr>
      <w:tr>
        <w:trPr>
          <w:trHeight w:val="241"/>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Undiscounted lease payments</w:t>
            </w:r>
          </w:p>
        </w:tc>
        <w:tc>
          <w:tcPr>
            <w:tcW w:w="5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251,289</w:t>
            </w: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(78,600 )</w:t>
            </w:r>
          </w:p>
        </w:tc>
      </w:tr>
      <w:tr>
        <w:trPr>
          <w:trHeight w:val="276"/>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420" w:type="dxa"/>
            <w:vAlign w:val="bottom"/>
            <w:tcBorders>
              <w:bottom w:val="single" w:sz="8" w:color="CFF0FC"/>
            </w:tcBorders>
            <w:gridSpan w:val="2"/>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172,689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3840" w:type="dxa"/>
            <w:vAlign w:val="bottom"/>
          </w:tcPr>
          <w:p>
            <w:pPr>
              <w:spacing w:after="0"/>
              <w:rPr>
                <w:sz w:val="24"/>
                <w:szCs w:val="24"/>
                <w:color w:val="auto"/>
              </w:rPr>
            </w:pPr>
          </w:p>
        </w:tc>
        <w:tc>
          <w:tcPr>
            <w:tcW w:w="5820" w:type="dxa"/>
            <w:vAlign w:val="bottom"/>
            <w:gridSpan w:val="3"/>
          </w:tcPr>
          <w:p>
            <w:pPr>
              <w:jc w:val="right"/>
              <w:ind w:right="3770"/>
              <w:spacing w:after="0"/>
              <w:rPr>
                <w:sz w:val="20"/>
                <w:szCs w:val="20"/>
                <w:color w:val="auto"/>
              </w:rPr>
            </w:pPr>
            <w:r>
              <w:rPr>
                <w:rFonts w:ascii="Times New Roman" w:cs="Times New Roman" w:eastAsia="Times New Roman" w:hAnsi="Times New Roman"/>
                <w:sz w:val="18"/>
                <w:szCs w:val="18"/>
                <w:color w:val="auto"/>
              </w:rPr>
              <w:t>F-22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08" w:right="2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8. Strategic restructuring</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October 2023, the Company announced updated portfolio priorities and strategic plans to restructure the Company to streamline its business operations. In connection with this portfolio prioritization and strategic restructuring, the Company reduced its employee headcount by approximately 100 positions, or about 20% of its workforce. During the year ended December 31, 2023, the Company recognized $6.7 million of restructuring charges in the consolidated statement of operations related to these actions. These charges included $6.5 million of one-time termination benefits and contractual termination benefits for severance, healthcare, and related benefits and $0.2 million of non-cash stock-based compensation expense. The workforce reductions were substantially completed as of December 31, 2023, however the severance and other costs are paid over time.</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Details of the restructuring liability activity for the Company's workforce reductions for the year ended December 31, 2023 as recorded in accrued expenses and other current liabilities in the consolidated balance sheet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at December 31, 2022</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incurred</w:t>
            </w: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tcPr>
          <w:p>
            <w:pPr>
              <w:spacing w:after="0"/>
              <w:rPr>
                <w:sz w:val="20"/>
                <w:szCs w:val="20"/>
                <w:color w:val="auto"/>
              </w:rPr>
            </w:pPr>
          </w:p>
        </w:tc>
      </w:tr>
      <w:tr>
        <w:trPr>
          <w:trHeight w:val="243"/>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4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(1,999 )</w:t>
            </w:r>
          </w:p>
        </w:tc>
      </w:tr>
      <w:tr>
        <w:trPr>
          <w:trHeight w:val="237"/>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at December 31, 2023</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Guide acquisition</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On February 23, 2021, the Company entered into the Guide Merger Agreement. Under the Guide Merger Agreement, the Company paid Guide’s former stockholders and optionholders upfront consideration in an aggregate amount of $120.0 million, excluding customary purchase price adjustments and closing costs, in shares of the Company’s common stock, based upon the volume-weighted average price of the Company’s stock over the ten trading-day period ending on February 19, 2021. Pursuant to the Guide Merger Agreement, the Company acquired all of the issued and outstanding shares of Guide. The Company issued a total of 1,087,153 shares of its common stock valued at $120.0 million in connection with the upfront payment to Guide’s former stockholders and optionholders. The Guide transaction resulted in the acquisition of certain know-how and intellectual property assets related to Guide’s proprietary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LNP screening technology and its library of lipids and lipid nanoparticle formulations identified using the screening technology. Management determined that the acquired assets do not meet the definition of a business pursuant to ASC 805, as substantially all of the fair value of the acquired assets is concentrated into one identifiable asset, the LNP screening technology and associated lipid library. As of the date of closing of the transactions contemplated by the Guide Merger Agreement, or the Guide Merger Agreement Date, the asset acquired had no alternative future use and had not reached a stage of technological feasibility. As a result, all share-based and cash payment obligations have been recorded as research and development expense in the consolidated statements of operations and other comprehensive loss in the amount of $155.0 million. The total transaction price was allocated to the assets acquired and liabilities assumed on a relative fair value basis.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Guide’s former stockholders and optionholders are eligible to receive up to an additional $100.0 million in technology milestone payments and $220.0 million in product milestone payments, payable in the Company’s common stock valued using the volume-weighted average price of the Company’s common stock over the ten trading-day period ending two trading days prior to the date on which the applicable milestone is achieved.</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determined that all future technology and product milestone payments are classified as liabilities under ASC 480 and therefore the Company recorded a liability for these milestone payments as of the Guide Merger Agreement Date at fair value of $36.5 million. These contingent consideration liabilities are remeasured at fair value each financial reporting period, with the resulting impact reflected in the Company’s consolidated statements of operations and other comprehensive loss, presented within other income (expense).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transaction price was determined and allocated as follows (in thousands):</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122"/>
        </w:trPr>
        <w:tc>
          <w:tcPr>
            <w:tcW w:w="9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243"/>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price</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r>
        <w:trPr>
          <w:trHeight w:val="23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equity instruments issued</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120,032</w:t>
            </w:r>
          </w:p>
        </w:tc>
        <w:tc>
          <w:tcPr>
            <w:tcW w:w="32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and product contingent consideration liabilities</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36,513</w:t>
            </w:r>
          </w:p>
        </w:tc>
        <w:tc>
          <w:tcPr>
            <w:tcW w:w="320" w:type="dxa"/>
            <w:vAlign w:val="bottom"/>
            <w:shd w:val="clear" w:color="auto" w:fill="CFF0FC"/>
          </w:tcPr>
          <w:p>
            <w:pPr>
              <w:spacing w:after="0"/>
              <w:rPr>
                <w:sz w:val="21"/>
                <w:szCs w:val="21"/>
                <w:color w:val="auto"/>
              </w:rPr>
            </w:pPr>
          </w:p>
        </w:tc>
      </w:tr>
      <w:tr>
        <w:trPr>
          <w:trHeight w:val="23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320" w:type="dxa"/>
            <w:vAlign w:val="bottom"/>
          </w:tcPr>
          <w:p>
            <w:pPr>
              <w:spacing w:after="0"/>
              <w:rPr>
                <w:sz w:val="20"/>
                <w:szCs w:val="20"/>
                <w:color w:val="auto"/>
              </w:rPr>
            </w:pPr>
          </w:p>
        </w:tc>
      </w:tr>
      <w:tr>
        <w:trPr>
          <w:trHeight w:val="238"/>
        </w:trPr>
        <w:tc>
          <w:tcPr>
            <w:tcW w:w="9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transaction price</w:t>
            </w:r>
          </w:p>
        </w:tc>
        <w:tc>
          <w:tcPr>
            <w:tcW w:w="70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159,076</w:t>
            </w:r>
          </w:p>
        </w:tc>
        <w:tc>
          <w:tcPr>
            <w:tcW w:w="320" w:type="dxa"/>
            <w:vAlign w:val="bottom"/>
            <w:tcBorders>
              <w:bottom w:val="single" w:sz="8" w:color="CFF0FC"/>
            </w:tcBorders>
            <w:shd w:val="clear" w:color="auto" w:fill="CFF0FC"/>
          </w:tcPr>
          <w:p>
            <w:pPr>
              <w:spacing w:after="0"/>
              <w:rPr>
                <w:sz w:val="20"/>
                <w:szCs w:val="20"/>
                <w:color w:val="auto"/>
              </w:rPr>
            </w:pPr>
          </w:p>
        </w:tc>
      </w:tr>
      <w:tr>
        <w:trPr>
          <w:trHeight w:val="237"/>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price allocated</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5"/>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7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154,953</w:t>
            </w:r>
          </w:p>
        </w:tc>
        <w:tc>
          <w:tcPr>
            <w:tcW w:w="320" w:type="dxa"/>
            <w:vAlign w:val="bottom"/>
            <w:shd w:val="clear" w:color="auto" w:fill="CFF0FC"/>
          </w:tcPr>
          <w:p>
            <w:pPr>
              <w:spacing w:after="0"/>
              <w:rPr>
                <w:sz w:val="21"/>
                <w:szCs w:val="21"/>
                <w:color w:val="auto"/>
              </w:rPr>
            </w:pPr>
          </w:p>
        </w:tc>
      </w:tr>
      <w:tr>
        <w:trPr>
          <w:trHeight w:val="23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32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shd w:val="clear" w:color="auto" w:fill="CFF0FC"/>
          </w:tcPr>
          <w:p>
            <w:pPr>
              <w:spacing w:after="0"/>
              <w:rPr>
                <w:sz w:val="21"/>
                <w:szCs w:val="21"/>
                <w:color w:val="auto"/>
              </w:rPr>
            </w:pPr>
          </w:p>
        </w:tc>
      </w:tr>
      <w:tr>
        <w:trPr>
          <w:trHeight w:val="23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32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shd w:val="clear" w:color="auto" w:fill="CFF0FC"/>
          </w:tcPr>
          <w:p>
            <w:pPr>
              <w:spacing w:after="0"/>
              <w:rPr>
                <w:sz w:val="21"/>
                <w:szCs w:val="21"/>
                <w:color w:val="auto"/>
              </w:rPr>
            </w:pPr>
          </w:p>
        </w:tc>
      </w:tr>
      <w:tr>
        <w:trPr>
          <w:trHeight w:val="23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0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(1,427 )</w:t>
            </w:r>
          </w:p>
        </w:tc>
      </w:tr>
      <w:tr>
        <w:trPr>
          <w:trHeight w:val="278"/>
        </w:trPr>
        <w:tc>
          <w:tcPr>
            <w:tcW w:w="9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transaction price</w:t>
            </w:r>
          </w:p>
        </w:tc>
        <w:tc>
          <w:tcPr>
            <w:tcW w:w="70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159,076</w:t>
            </w:r>
          </w:p>
        </w:tc>
        <w:tc>
          <w:tcPr>
            <w:tcW w:w="3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-1276985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-25400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-8255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agreements</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 has various license agreements related to technology used in its research and development activities. The license agreements may include up-front payments, option fees, ongoing maintenance fees, sublicense fees, royalty-based payments, milestone payments, success-based payments, and other payments. Option fees, when applicable, are recognized when exercised, maintenance fees, sublicense fees, and other payments are recorded as incurred based on the estimated amounts due or that will ultimately be paid. Contingent payments that are not required to be accounted for as a derivative are recognized as incurred. As the success-based payments due under the Company’s license arrangements are derivatives, the change in the fair value of the success-based payments are recognized in a separate line item in the statement of operations and comprehensive loss, as discussed further below. The total contingent obligations and non-royalty sublicense fees included in research and development expenses in the statement of operations and comprehensive loss were $43.5 million, $2.7 million, and $39.9 million for the years ended December 31, 2023, 2022, and 2021, respectively.</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value attributable to sublicenses and the related sublicense fees due under the Company’s license agreements may require estimates and other judgments related to contractual requirements, which creates uncertainty over the ultimate amount that would be paid under these arrangements. Contractual amounts due are accrued and if a contingency exists related to the interpretation of the amounts due under the license agreement, the Company recognizes a liability for the amount that is probable and estimable. When no amount within the range of potential payments is a better estimate than any other amount, however, the minimum amount in the range is accrued. If some amount within a range of loss appears to be a better estimate than any other amount within the range, that amount is accrued. The Company’s accrued liabilities for license fees includes estimates, including approximately $43.3 million of contingent obligations that may be due associated with payments received under the Lilly Agreement for which discussions are continuing related to the potential applicability to such payments of the terms of license agreements. As of December 31, 2023, management believes that it is remote that an adjustment to its estimated accrual would result in a material charge in excess of the amount accrued. The ultimate amount paid may differ materially from the estimated amounts.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Harvard license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2017, the Company entered into the Harvard License Agreement for certain base editing technology pursuant to which the Company received an exclusive, worldwide, sublicensable, royalty-bearing license under specified patent rights to develop and commercialize licensed products and a nonexclusive, worldwide, sublicensable, royalty-bearing license under certain patent rights to research and develop licensed products. The Company agreed to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exclusivity associated with a licensed product or (iii) a certain period after the first commercial sale of a licensed product, unless terminated earlier by either party under certain provisions.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 consideration for the rights granted under the Harvard License Agreement include success payments, which are further described below.</w:t>
      </w:r>
    </w:p>
    <w:p>
      <w:pPr>
        <w:spacing w:after="0" w:line="1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Success Payments </w:t>
      </w:r>
      <w:r>
        <w:rPr>
          <w:rFonts w:ascii="Times New Roman" w:cs="Times New Roman" w:eastAsia="Times New Roman" w:hAnsi="Times New Roman"/>
          <w:sz w:val="18"/>
          <w:szCs w:val="18"/>
          <w:color w:val="auto"/>
        </w:rPr>
        <w:t>– Under the Harvard License Agreement, Harvard is entitled to receive success payments, in cash or shares of Company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based upon the achievement of specified multiples of the initial weighted average value of the Company’s Series A Preferred at specified valuation dates. The success payments range from $5.0 million to a maximum of $105.0 million and have valuation multiples that range from 5 times to 40 times the initial weighted average value of the Series A Preferred. Subsequent to the Company’s February 2020 IPO, the amount of success payments is based on the market value of the Company's common stock.</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1" w:name="page162"/>
    <w:bookmarkEnd w:id="161"/>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required to make success payments to Harvard during a period of time, or the Harvard Success Payment Period, which has been determined to be the later of (1) the ninth anniversary of the Harvard License Agreement or (2) the earlier of (a) the twelfth anniversary of the Harvard License Agreement and (b) the third anniversary of the first date on which a licensed product receives regulatory approval in the United States. During the Harvard Success Payment Period, the Company will perform a calculation of any amounts owed to Harvard on each rolling 90-day period, commencing one year after the Company’s IPO.</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Harvard were calculated to be $15.0 million. The Company elected to make the payment in shares of the Company’s common stock and issued 174,825 shares of the Company’s common stock to settle this liability on June 10, 2021. The Company may owe Harvard success payments of up to an additional $90.0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success payment liability for Harvard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Harvard success payment liability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FF0FC"/>
          </w:tcPr>
          <w:p>
            <w:pPr>
              <w:spacing w:after="0"/>
              <w:rPr>
                <w:sz w:val="20"/>
                <w:szCs w:val="20"/>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expense resulting from the change in the fair value of the success payment liability for Harvard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Harvard success payment liability</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(3,800 )  $</w:t>
            </w:r>
          </w:p>
        </w:tc>
        <w:tc>
          <w:tcPr>
            <w:tcW w:w="15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(12,000 )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0"/>
                <w:szCs w:val="20"/>
                <w:color w:val="auto"/>
              </w:rPr>
            </w:pPr>
          </w:p>
        </w:tc>
      </w:tr>
    </w:tbl>
    <w:p>
      <w:pPr>
        <w:spacing w:after="0" w:line="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Payments </w:t>
      </w:r>
      <w:r>
        <w:rPr>
          <w:rFonts w:ascii="Times New Roman" w:cs="Times New Roman" w:eastAsia="Times New Roman" w:hAnsi="Times New Roman"/>
          <w:sz w:val="18"/>
          <w:szCs w:val="18"/>
          <w:color w:val="auto"/>
        </w:rPr>
        <w:t>– The Company agreed to pay Harvard an annual license maintenance fee ranging from low-to-mid five figures to low six figures,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depending on the calendar year. The Company is responsible for the payment of certain patent prosecution and maintenance costs incurred by Harvard related to licensed patents. To the extent achieved, the Company is obligated to pay up to an aggregate of $75.9 million in product development and regulatory approval milestones, or Harvard Product Milestones. If the Company completes a change of control during the term of the Harvard License Agreement, then certain of the milestone payments would be increased. To the extent there are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Harvard License Agreement to a third party and the Company receives non-royalty sublicense income, then Harvard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8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annual maintenance fees are recorded as an expense on an annual basis based on the stated amount for the applicable year. Annual patent costs are expensed as incurred. Upon determination that a Harvard Product Milestone is probable to occur, the amount due will be recorded as research and development expense. The Company will monitor the Harvard Product Milestone payments for this arrangement on an ongoing basis.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the extent products are commercialized under the Harvard License Agreement, the Company will accrue royalty expense and sublicense nonroyalty payments, as applicable, for the amount it is obligated to pay, with adjustments as sales are made.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 license agreement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2018, the Broad License Agreement was entered into with Broad Institute for certain RNA base editing technology including an RNA editor platform. Under the Broad License Agreement, Broad Institute granted exclusive and non-exclusive worldwide, sublicensable, royalty-bearing licenses under specified patent rights to develop and commercialize licensed product and a nonexclusive, worldwide, sublicensable, royalty-bearing license under certain patent rights to research and develop licensed products. Under the agreement the Company shall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regulatory exclusivity associated with a licensed product or (iii) a certain period after the first commercial sale of a licensed product unless terminated earlier by either party under certain provisions.</w:t>
      </w:r>
    </w:p>
    <w:p>
      <w:pPr>
        <w:spacing w:after="0" w:line="80" w:lineRule="exact"/>
        <w:rPr>
          <w:sz w:val="20"/>
          <w:szCs w:val="20"/>
          <w:color w:val="auto"/>
        </w:rPr>
      </w:pPr>
    </w:p>
    <w:p>
      <w:pPr>
        <w:ind w:left="5460" w:right="2180" w:hanging="5445"/>
        <w:spacing w:after="0" w:line="282" w:lineRule="auto"/>
        <w:rPr>
          <w:sz w:val="20"/>
          <w:szCs w:val="20"/>
          <w:color w:val="auto"/>
        </w:rPr>
      </w:pPr>
      <w:r>
        <w:rPr>
          <w:rFonts w:ascii="Times New Roman" w:cs="Times New Roman" w:eastAsia="Times New Roman" w:hAnsi="Times New Roman"/>
          <w:sz w:val="18"/>
          <w:szCs w:val="18"/>
          <w:color w:val="auto"/>
        </w:rPr>
        <w:t>Additional consideration under the Broad License Agreement included Success Payments, which are further described below. 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2" w:name="page163"/>
    <w:bookmarkEnd w:id="162"/>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Success Payments </w:t>
      </w:r>
      <w:r>
        <w:rPr>
          <w:rFonts w:ascii="Times New Roman" w:cs="Times New Roman" w:eastAsia="Times New Roman" w:hAnsi="Times New Roman"/>
          <w:sz w:val="18"/>
          <w:szCs w:val="18"/>
          <w:color w:val="auto"/>
        </w:rPr>
        <w:t>– Under the Broad License Agreement, Broad Institute is entitled to receive success payments, in cash or shares of Company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determined based upon the achievement of specified multiples of the initial weighted average value of the Series A Preferred at specified valuation dates. The success payments range from $5.0 million to a maximum of $105.0 million and have valuation multiples that range from 5 times to 40 times the initial weighted average value of the Series A Preferred. Subsequent to the February 2020 IPO, the amount of success payments is based on the market value of the Company’s common stock. 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of any amounts owed to Broad Institute on each rolling 90-day period, commencing one year after the Company’s IPO.</w:t>
      </w:r>
    </w:p>
    <w:p>
      <w:pPr>
        <w:spacing w:after="0" w:line="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Broad Institute were calculated to be $15.0 million. The Company elected to make the payment in shares of the Company’s common stock and issued 174,825 shares of the Company’s common stock to settle this liability on June 10, 2021. The Company may owe Broad Institute success payments of up to an additional $90.0 million. As of December 31, 2023, no success payments were due to Broad Institute.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success payment liability for Broad Institute (in thousands):</w:t>
      </w:r>
    </w:p>
    <w:p>
      <w:pPr>
        <w:spacing w:after="0" w:line="124"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16510</wp:posOffset>
            </wp:positionV>
            <wp:extent cx="21431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9" w:lineRule="exact"/>
        <w:rPr>
          <w:sz w:val="20"/>
          <w:szCs w:val="20"/>
          <w:color w:val="auto"/>
        </w:rPr>
      </w:pPr>
    </w:p>
    <w:p>
      <w:pPr>
        <w:ind w:left="840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15875</wp:posOffset>
            </wp:positionV>
            <wp:extent cx="21431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7760" w:val="left"/>
          <w:tab w:leader="none" w:pos="8880" w:val="left"/>
          <w:tab w:leader="none" w:pos="9580" w:val="left"/>
          <w:tab w:leader="none" w:pos="10700" w:val="left"/>
        </w:tabs>
        <w:rPr>
          <w:sz w:val="20"/>
          <w:szCs w:val="20"/>
          <w:color w:val="auto"/>
        </w:rPr>
      </w:pPr>
      <w:r>
        <w:rPr>
          <w:rFonts w:ascii="Times New Roman" w:cs="Times New Roman" w:eastAsia="Times New Roman" w:hAnsi="Times New Roman"/>
          <w:sz w:val="18"/>
          <w:szCs w:val="18"/>
          <w:color w:val="auto"/>
        </w:rPr>
        <w:t>Broad Institute success payment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5,600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9,300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expense resulting from the change in the fair value of the success payment liability for Broad Institute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Broad Institute success payment liability</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(3,700 )  $</w:t>
            </w:r>
          </w:p>
        </w:tc>
        <w:tc>
          <w:tcPr>
            <w:tcW w:w="15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(11,900 )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0"/>
                <w:szCs w:val="20"/>
                <w:color w:val="auto"/>
              </w:rPr>
            </w:pPr>
          </w:p>
        </w:tc>
      </w:tr>
    </w:tbl>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Payments </w:t>
      </w:r>
      <w:r>
        <w:rPr>
          <w:rFonts w:ascii="Times New Roman" w:cs="Times New Roman" w:eastAsia="Times New Roman" w:hAnsi="Times New Roman"/>
          <w:sz w:val="18"/>
          <w:szCs w:val="18"/>
          <w:color w:val="auto"/>
        </w:rPr>
        <w:t>– The Company agreed to pay Broad Institute an annual license maintenance fee ranging from low-to-mid five figures to low six figures,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depending on the particular calendar year. The Company is responsible for the payment of certain patent prosecution and maintenance costs incurred by Broad Institute related to licensed patents. To the extent achieved, the Company is obligated to pay up to an aggregate of $75.9 million in product development and regulatory approval milestones, or Broad Product Milestones. If the Company completes a change of control during the term of the Broad License Agreement, then certain of the milestone payments would be increased. To the extent there are commercial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Broad License Agreement to a third party and the Company receives non-royalty sublicense income, then Broad Institute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annual maintenance fees are recorded as an expense on an annual basis based on the stated amount for the applicable year. Annual patent costs will be expensed as incurred. Upon determination that a Broad Product Milestone is probable to occur, the amount due will be recorded as research and development expense. The Company monitors the Broad Product Milestone payments for this arrangement on an ongoing basis.</w:t>
      </w:r>
    </w:p>
    <w:p>
      <w:pPr>
        <w:spacing w:after="0" w:line="6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To the extent products are commercialized under the Broad License Agreement, the Company will accrue royalty expense and sublicense nonroyalty payments, as applicable, for the amount it is obligated to pay, with adjustments as sales are made.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Editas license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2018, the Company entered into a license agreement, or the Editas License Agreement, with Editas Medicine, Inc., or Editas. Pursuant to the Editas License Agreement, Editas granted to the Company licenses and options to acquire licenses to certain intellectual property rights owned or controlled by Editas, for specified uses. More specifically, Editas granted to the Company a worldwide, exclusive, sublicensable, license (subject to certain exceptions and conditions) under certain intellectual property controlled by Editas for the use of base editing therapies for the treatment of any field of human diseases and conditions, subject to certain exceptions, or the Beam Field, and the licenses granted or to be granted under the Editas License Agreement, or the Editas Development and Commercialization License. Additionally, Editas granted to the Company a royalty-free, non-exclusive license under certain intellectual property owned or controlled by Editas to perform research activities in the Beam Field, or the Editas Research License. Editas provided the Company with an exclusive option to obtain an Editas Development and Commercialization License to three additional groups of intellectual property owned or controlled by Editas, on a group by group basis, during the specified option period, subject to certain exceptions. Pursuant to the Editas License Agreement, the Company will use commercially reasonable efforts to develop a product that includes the rights licensed to the Company within a specified period of time and to commercialize any such products that have received regulatory approval in certain specified countries.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3" w:name="page164"/>
    <w:bookmarkEnd w:id="163"/>
    <w:p>
      <w:pPr>
        <w:ind w:right="20"/>
        <w:spacing w:after="0" w:line="254" w:lineRule="auto"/>
        <w:rPr>
          <w:sz w:val="20"/>
          <w:szCs w:val="20"/>
          <w:color w:val="auto"/>
        </w:rPr>
      </w:pPr>
      <w:r>
        <w:rPr>
          <w:rFonts w:ascii="Times New Roman" w:cs="Times New Roman" w:eastAsia="Times New Roman" w:hAnsi="Times New Roman"/>
          <w:sz w:val="18"/>
          <w:szCs w:val="18"/>
          <w:color w:val="auto"/>
        </w:rPr>
        <w:t>Additional consideration will be due to Editas if the Company elects to exercise its option to obtain an Editas Development and Commercialization License to any of the three categories of intellectual property underlying the Editas Research License, for a fee ranging from a mid-teen million dollar amount to a low to mid-eight digit dollar amount per group, depending on the timing of the option exercise. Additionally, the Company is required to reimburse Editas for certain payments Editas may be obligated to make under existing Editas license agreements related to the intellectual property being licensed to the Company, including (i) development, regulatory and commercial milestone payments and certain sublicense income payments due as a result of the Editas License Agreement and (ii) a percentage of the annual maintenance fees and patent fees due to certain of the Editas’ licensors. In addition, to the extent any products are commercialized under an Editas Development and Commercialization License, the Company would be required to make royalty payments equivalent to the royalties that would be due from Editas to any applicable licensors of Editas related to the sales of such licensed products, plus an additional tiered low- to mid-single digit royalty, depending on whether such licensed product is covered by an Editas-owned patent.</w:t>
      </w:r>
    </w:p>
    <w:p>
      <w:pPr>
        <w:spacing w:after="0" w:line="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license rights and option rights granted by Editas to the Company are subject to the terms and conditions of the underlying license agreements that Editas is a party to and under which Editas licensed rights or option rights to the Company and the termination of such in-licenses, as applicable. Unless earlier terminated by either party pursuant to the terms of the agreement, the Editas License Agreement will continue in full force and effect and will expire on a licensed product-by licensed product and country-by-country basis upon the later of (i) the last-to-expire royalty term under any applicable institutional license to Editas and (ii) the date at which such product is no longer covered by a valid claim of a licensed Editas-owned patent in such country. The Company has the right, at its sole discretion, at any time to terminate the Editas License Agreement in its entirety or on a group-by-group of intellectual property basis, upon ninety days written notice to Editas. Upon termination of the Editas License Agreement, all rights and licenses granted by Editas to the Company (including the rights to exercise options and obtain such licenses) will immediately terminate and patents within a group of patents will no longer be deemed licensed patents. Expiration or termination of the Editas License Agreement for any reason does not release either party of any obligation or liability which had accrued, or which is attributable to a period prior to such expiration or termination.</w:t>
      </w:r>
    </w:p>
    <w:p>
      <w:pPr>
        <w:spacing w:after="0" w:line="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option exercise fees under the agreement will be recorded as research and development expense, if and when the Company exercises such options. To date, no options have been exercised. The annual maintenance fees are recorded as an expense on an annual basis based on the stated amount for the applicable year. Annual patent costs are expensed as incurred. In addition, the Company is required to make certain development, regulatory and commercial milestone payments to Editas upon the achievement of specified milestones. To the extent applicable, sublicense income payments will be accrued for the amount the Company is obligated to pay under each applicable in-license as amounts are due to Editas. Lastly, to the extent products are commercialized under the Editas License agreement, the Company will accrue royalty expense for the amount it is obligated to pay, with adjustments as sales are made.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the Company entered into a Transfer and Delegation Agreement, or the Lilly Agreement, with Eli Lilly and Company, or Lilly, pursuant to which Lilly acquired certain assets and other rights under the Company’s amended collaboration and license agreement, or the Verve Agreement, with Verve Therapeutics, Inc., or Verve, including the Company’s opt-in rights to co-develop and co-commercialize Verve’s base editing programs for cardiovascular disease (see discussion below related to the Verve Agreement). The Company granted Lilly an exclusive sublicense to the Verve technology originally licensed to the Company under the Verve Agreement. Lilly also acquired the right to receive any future milestone or royalty payments payable by Verve under the Verve Agreement and the rights and obligations to designate representatives and participate on the joint steering committee with Verve. The Company received a $200.0 million nonrefundable upfront payment and is eligible to receive up to $350.0 million in potential future development-stage payments upon the completion of certain clinical, regulatory and alliance events. If Lilly does not opt-in to co-develop and co-commercialize a licensed product, Lilly is obligated to pay the Company a percentage of any royalties received from Verve for sales of such product, subject to certain caps on a licensed product-by-licensed product basis.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 period of six years from the effective date of the Lilly Agreement, Lilly has the right to request the Company to perform any critical research and development services, if Lilly reasonably determines that the Company is uniquely able to provide such services and other conditions are met, including that no other third parties can provide such services. The parties will negotiate an agreement governing the Company’s performance of such activity, if any, and the Company will be compensated for any services at approximately cost plus a margin. The Company has not been requested to perform any services and believes it is remote that Beam would be requested to provide any services.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Lilly Agreement, the Company and Lilly entered into a Stock Purchase Agreement providing for the sale and issuance of 2,004,811 shares of the Company’s common stock to Lilly for an aggregate purchase price of $50.0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received the consideration under the Stock Purchase Agreement of $50.0 million in October and the upfront payment of $200.0 million in November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4" w:name="page165"/>
    <w:bookmarkEnd w:id="16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Lilly Agreement and Stock Purchase Agreement were negotiated at the same time as a package and have been accounted for as one combined contract. The Company accounts for the component of the arrangement to transfer common stock to Lilly under ASC 505,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the revenue component under ASC 606, as it includes a customer-vendor relationship as defined under ASC 606 and meets the criteria to be considered a contract. The Company first applied the guidance in ASC 505 to measure the fair value of the common stock issued and allocated the remaining consideration to the ASC 606 component of the arrangement.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overall ASC 606 transaction price as of the inception of the contract was determined to be $216.4 million, which is comprised of the upfront payment of $200.0 million and the residual value of the proceeds received in excess of the fair value of the common stock sold to Lilly of $16.4 million. The fair value of the common stock issued to Lilly was $33.6 million, as determined by management with the assistance of a third-party valuation specialist. There is no variable consideration included in the transaction price at inception. The Company will re-evaluate the transaction price at each reporting period.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that the collaboration rights and licenses to intellectual property have the same pattern and timing of transfer and are transferred as of the effective date of the Lilly Agreement. Lilly’s right to request research and development services represents an optional purchase in the agreement that does not constitute a material right. All other items promised to Lilly are immaterial in the context of the agreement.</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recognized revenue for the performance obligation at a point-in-time in October 2023 as all requirements related to the performance obligation have been completed. Any consideration received related to Lilly’s optional purchase of the Company’s research and development services will be accounted for as a separate contract if and when the option is exercised in accordance with ASC 606. During the year ended 2023 the Company recognized $216.4 million of revenue related to the Lilly Agreement. As of December 31, 2023, there was no deferred revenue related to the Lilly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2022, the Company entered into a License and Research Collaboration Agreement, or the Orbital Agreement, with Orbital Therapeutics, Inc., or Orbital. Under the terms of the Orbital Agreement, the Company will collaborate with Orbital to advance nonviral delivery and ribonucleic acid, or RNA, technology by providing Orbital with certain proprietary materials, a non-exclusive research license to certain RNA technology and nonviral delivery technology controlled by the Company, and by performing research and development support services as outlined in a research plan. The Company also granted Orbital an exploitation license to certain RNA technology and nonviral delivery technology controlled by the Company. The exploitation license is exclusive in the fields of vaccines and certain protein therapeutics and nonexclusive in all other fields other than gene editing and conditioning. The collaboration is managed on an overall basis by a Joint Steering Committee, or JSC, comprised of an equal number of representatives from the Company and Orbital.</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exchange for the licenses and services provided by the Company under the Orbital Agreement, the Company received a non-exclusive research license to certain RNA technology and nonviral delivery technology controlled by Orbital, and research and development support services as outlined in a research plan. Orbital also granted the Company an exploitation license to certain RNA technology and nonviral delivery technology controlled by Orbital. The exploitation license is exclusive in the fields of gene editing and conditioning and nonexclusive in all other fields other than vaccines and certain protein therapeutics. The Company also received 75 million shares of Orbital’s common stock at closing.</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research plan has a term of three years and can be extended for unspecified periods upon mutual agreement between the Company and Orbital. The exploitation licenses are exclusive for an initial research term of three years, which may be extended for up to two successive one-year periods by mutual agreement between the Company and Orbital. Either party may terminate the licenses granted to it under the Orbital Agreement for convenience on a product-by-product basis at any time by providing 90 days’ prior written notice.</w:t>
      </w:r>
    </w:p>
    <w:p>
      <w:pPr>
        <w:spacing w:after="0" w:line="7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consideration received under the Orbital Agreement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as it includes a customer-vendor relationship as defined under ASC 606 and meets the criteria to be considered a contract. The overall transaction price as of the inception of the contract was determined to be $25.5 million, which represents the fair value of the Company’s equity interest in Orbital’s common stock at inception. There is no variable consideration included in the transaction price.</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concluded that the research and exploitation licenses are not distinct from the other promises in the Orbital Agreement, and as such the Company determined that the licenses combined with the research and development services, know-how transfers, committee participation and materials transfer represent a performance obligation. The Company recognizes revenue associated with the Orbital performance obligation over time as it is satisfied during the term of the agreement, which is three years. The Company recognized $8.5 million and $2.1 million of revenue during the years ended December 31, 2023 and 2022, respectively. As of December 31, 2023, there was $8.5 million and $6.4 million of current and long-term deferred revenue, respectively, related to the Orbital Agreement.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5" w:name="page166"/>
    <w:bookmarkEnd w:id="165"/>
    <w:p>
      <w:pPr>
        <w:ind w:right="20"/>
        <w:spacing w:after="0" w:line="252" w:lineRule="auto"/>
        <w:rPr>
          <w:sz w:val="20"/>
          <w:szCs w:val="20"/>
          <w:color w:val="auto"/>
        </w:rPr>
      </w:pPr>
      <w:r>
        <w:rPr>
          <w:rFonts w:ascii="Times New Roman" w:cs="Times New Roman" w:eastAsia="Times New Roman" w:hAnsi="Times New Roman"/>
          <w:sz w:val="18"/>
          <w:szCs w:val="18"/>
          <w:color w:val="auto"/>
        </w:rPr>
        <w:t>Beam does not have a controlling financial interest in Orbital as Beam does not have the power to direct the activities of Orbital. The Company has significant influence over Orbital through its noncontrolling representation on Orbital’s board of directors and the Company’s equity interest in Orbital. Accordingly, the Company does not consolidate the financial statements of Orbital and accounts for its investment using the equity method of accounting. As of the closing date in September 2022, the fair value of the Company’s investment in Orbital was $25.5 million. The fair value of the Orbital common stock was determined by management with the assistance of a third-party valuation specialist. In determining the fair value of the Company’s investment, the valuation specialist used an option pricing model backsolve approach based on Orbital's most recent funding of preferred stock. The valuation requires the input of certain subjective assumptions. The key assumptions used in the option pricing model, which are level 3 inputs, include the anticipated holding period to an exit and liquidity event, the volatility of market participants (68%) and the discount for lack of marketability (43%). At the date of the investment, a basis difference was identified as the carrying value of the Company’s investment in Orbital exceeded the Company’s proportionate share of the underlying net assets in Orbital. The Company concluded that the basis difference was primarily attributable to Orbital’s IPR&amp;D assets. As Orbital did not meet the definition of a business due to substantially all of the estimated fair value of the gross assets being concentrated in the group of similar IPR&amp;D assets, the basis difference attributable to the IPR&amp;D with no alternative future use was immediately expensed as of the date of the investment. The Company’s proportionate share of the basis difference exceeded its carrying value of the equity method investment in Orbital and the equity investment balance was reduced to zero. There is no commitment for the Company to provide financial support to Orbital. The Company did not recognize a gain or loss from the equity method investment for the year ended December 31, 2023 and recognized a loss of $25.5 million in association with the basis difference charge in the Company’s consolidated statements of operations for the year ended December 31, 2022.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December 2021, the Company entered into a research collaboration agreement, or the Pfizer Agreement, with Pfizer Inc., or Pfizer, focused on the use of certain of the Company’s base editing technology to develop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 for rare genetic diseases of the liver, muscle, and central nervous system. Under the terms of the Pfizer Agreement, the Company will conduct all research activities through development candidate selection for three base editing programs that target specific genes corresponding to specific diseases that are the subject of such programs. Pfizer will have exclusive rights to license each of the three programs at no additional cost, each an Opt-In Right, and will assume responsibility for subsequent development and commercialization. At the end of the Phase 1/2 clinical trials, the Company may elect to enter into a global co-development and co-commercialization agreement with Pfizer with respect to one program licensed under the collaboration for an option exercise fee equal to a percentage of the applicable development costs incurred by Pfizer, or the Participation Election. In the event the Company elects to exercise its Participation Election, upon the payment of its option exercise fee, Pfizer and the Company would share net profits as well as development and commercialization costs in a 65%/35% (Pfizer/Company) split for such program. The research collaboration is managed on an overall basis by a Joint Research Committee, or JRC, formed by an equal number of representatives from the Company and Pfizer.</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inception of the Pfizer Agreement, the Company was entitled to receive a nonrefundable upfront payment of $300.0 million in consideration for the rights granted to Pfizer under the collaboration. Should Pfizer exercise its Opt-In Right for any of the three programs, the Company would be eligible to receive development, regulatory, and commercial milestones of up to $350.0 million per program, for potential total consideration of up to $1.35 billion, plus royalty payments on global net sales for each licensed program, if any. If Pfizer does not exercise its Opt-In Right for a program, the Company’s rights in such program revert to the Company and the Company will be required to pay Pfizer earn-out payments equal to a low single digit percentage of net sales earned on such program for a ten-year period, if any. As the $300.0 million upfront fee was not received by the Company as of December 31, 2021, the Company recorded a collaboration receivable for $300.0 million with a corresponding deferred revenue liability. The Company received the $300.0 million upfront payment in January 2022.</w:t>
      </w:r>
    </w:p>
    <w:p>
      <w:pPr>
        <w:spacing w:after="0" w:line="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collaboration term, Pfizer has a one-time option to substitute a disease that is the subject of a specific program with one pre-defined substitute disease. The collaboration has an initial term of four years and may be extended for an additional year on a program-by-program basis. Pfizer may terminate the Pfizer Agreement for convenience on any or all of the programs by providing 90 days’ prior written notice.</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accounts for the Pfizer Agreement under ASC 606, as it includes a customer-vendor relationship as defined under ASC 606 and meets the criteria to be considered a contract.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overall transaction price as of the inception of the contract was determined to be $300.0 million, which is comprised entirely of the nonrefundable upfront payment. There is no variable consideration included in the transaction price at inception as the future milestone payments are fully constrained and the Company is not required to estimate variable consideration for the royalty payments at contract inception. The Company will re-evaluate the transaction price in each reporting period.</w:t>
      </w:r>
    </w:p>
    <w:p>
      <w:pPr>
        <w:spacing w:after="0" w:line="7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 licenses to its base editing technology, including the exclusive development and commercialization rights, are not capable of being distinct from the other performance obligations, and as such the Company has determined that the licenses combined with the other research and development services represent performance obligations and no up-front revenue was recognized for the licenses.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6" w:name="page167"/>
    <w:bookmarkEnd w:id="166"/>
    <w:p>
      <w:pPr>
        <w:spacing w:after="0" w:line="261" w:lineRule="auto"/>
        <w:rPr>
          <w:sz w:val="20"/>
          <w:szCs w:val="20"/>
          <w:color w:val="auto"/>
        </w:rPr>
      </w:pPr>
      <w:r>
        <w:rPr>
          <w:rFonts w:ascii="Times New Roman" w:cs="Times New Roman" w:eastAsia="Times New Roman" w:hAnsi="Times New Roman"/>
          <w:sz w:val="18"/>
          <w:szCs w:val="18"/>
          <w:color w:val="auto"/>
        </w:rPr>
        <w:t>The selling price of each performance obligation was determined based on the Company’s estimated standalone selling price, or the ESSP. The Company developed the ESSP for all of the performance obligations included in the Pfizer Agreement by determining the total estimated costs to fulfill each performance obligation identified with the objective of determining the price at which it would sell such an item if it were to be sold regularly on a standalone basis. The Company allocated the stand-alone selling price to the performance obligations based on the relative standalone selling price method.</w:t>
      </w:r>
    </w:p>
    <w:p>
      <w:pPr>
        <w:spacing w:after="0" w:line="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recognizes revenue for each performance obligation as it is satisfied during the term of the agreement using an input method. The Company allocated the transaction price of $300.0 million to each of the three performance obligations, which includes each of the three base editing programs combined with the research and development services, licenses, and exclusive development and commercialization rights. Revenue is recognized using an input method based on the actual costs incurred as a percentage of total estimated costs towards satisfying the performance obligation as this method provides the most faithful depiction of the entity’s performance in transferring control of the goods and services promised to Pfizer and represents the Company’s best estimate of the period of the obligation.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 During the year ended December 31, 2023, the Company recognized $134.3 million, which includes a cumulative catch-up adjustment to increase revenue due to changes in estimated total costs. In 2022 the Company recognized $48.2 million of revenue related to the Pfizer Agreement. There was no revenue recognized related to the Pfizer Agreement during the year ended December 31, 2021. As of December 31, 2023, there was $42.9 million and $74.6 million of current and long-term deferred revenue, respectively, related to the Pfizer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Sana Biotechnology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October 2021, the Company entered into an option and license agreement, or the Sana Agreement, with Sana Biotechnology, Inc., or Sana, under which the Company granted Sana a license for non-exclusive rights to its CRISPR Cas12b nuclease system for the development and commercialization of certain engineered cellular therapy programs. In addition to the license, the Company performed an initial technology transfer following the effective date of the Sana Agreement providing Sana with certain know-how, as required under the Sana Agreement. This technology transfer occurred in 2021. Following the license transfer and completion of the initial technology transfer, Sana is responsible, at its sole expense, for the development and commercialization of therapeutic products which must contain either specified CAR antigen targets or pluripotent stem cell, or PSC, product types.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consideration for the license, the Company received an upfront payment of $50.0 million from Sana in October 2021. In addition, the Company may be eligible to receive development, regulatory, and commercial milestones of up to $65.0 million from Sana on any product candidate or product. The Company will also be entitled to receive royalties equal to a low single digit percentage of net sales on any product.</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up to thirty months following the effective date of the Sana Agreement, Sana has the option to select up to a cumulative total of two additional CAR antigen targets or PSC product types for an additional fee of $10.0 million per additional CAR antigen target and additional PSC product type, or the Option Rights, for an aggregate potential additional consideration of $20.0 million. Further, for up to thirty months following the effective date of the Sana Agreement, Sana has a one-time right to substitute, in the aggregate, either one CAR antigen target or one PSC product type at no additional cost, or the Replacement Right. Sana may also select a specified number of additional or replacement genetic targets for each PSC product type at any time prior to the third anniversary of the effective date at no additional cost, or the Genetic Target Nomination Rights. Sana may terminate the Sana Agreement for convenience prior to the first commercial sale of any licensed product by providing 90 days’ prior written notice or upon 180 days’ prior written notice after first commercial sale.</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accounts for the Sana Agreement under ASC 606 as it includes a customer-vendor relationship as defined under ASC 606 and meets the criteria to be considered a contract. The overall transaction price as of the inception of the contract was determined to be $50.0 million, which is composed entirely of the nonrefundable upfront payment. There is no variable consideration included in the transaction price at inception as the future milestone payments are fully constrained and the Company is not required to estimate variable consideration for the royalty payments at contract inception. The Company will re-evaluate the transaction price in each reporting period.</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identified a single performance obligation, which includes (i) the non-exclusive license granted to Sana under the Company’s patent rights and know-how and (ii) the initial technology transfer following the effective date, which occurred in 2021. The Company further concluded that the Option Rights, Replacement Right, and Genetic Target Nomination Rights did not grant Sana a material right. As the Company only identified one performance obligation, no allocation of the transaction price is required.</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$50.0 million of revenue associated with the single performance obligation at a point in time upon the transfer of the license to Sana and completion of the initial technology transfer. The Company did not recognize revenue under the Sana Agreement for the year ended December 31, 2022. The Company recognized $1.8 million of revenue under the Sana Agreement during the year ended December 31, 2023.</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i w:val="1"/>
          <w:iCs w:val="1"/>
          <w:color w:val="auto"/>
        </w:rPr>
        <w:t>Apellis Pharmaceuticals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2021, the Company entered into a research collaboration agreement, or the Apellis Agreement, with Apellis Pharmaceuticals, Inc., or Apellis, focused on the use of certain of the Company’s base editing technology to discover new treatments for complement system-driven diseases. Under the terms of the Apellis Agreement, the Company will conduct preclinical research on up to six base editing programs that target specific genes within the complement system in various organs, including the eye, liver, and brain. Apellis has an exclusive option to license any or all of the six programs, or in each case, an Opt-In Right, and will assume responsibility for subsequent development. The Company may elect to enter into a 50-50 U.S. co-development and co-commercialization agreement with Apellis with respect to one program instead of a license. The collaboration is managed on an overall basis by an alliance steering committee formed by an equal number of representatives from the Company and Apellis.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part of the collaboration, the Company is eligible to receive a total of $75.0 million in upfront and near-term milestones from Apellis, which is comprised of $50.0 million received upon signing and an additional $25.0 million payment on June 30, 2022, the one-year anniversary of the effective date of the Apellis Agreement, or the First Anniversary Payment. Following any exercise of an Opt-In Right for any of the six programs, the Company will be eligible to receive development, regulatory, and sales milestones from Apellis, as well as royalty payments on sales. The collaboration has an initial term of five years and may be extended up to two years on a per year and program-by-program basis. During the collaboration term, Apellis may, subject to certain limitations, substitute a specific complement gene and/or organ for any of the initial base editing programs. Apellis may terminate the Apellis Agreement for convenience on any or all of the programs by providing prior written notice. The Company received the $50.0 million upfront payment from Apellis in July 2021 and the $25.0 million First Anniversary Payment in June 2022.</w:t>
      </w:r>
    </w:p>
    <w:p>
      <w:pPr>
        <w:spacing w:after="0" w:line="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accounts for the Apellis Agreement under ASC 606 as it includes a customer-vendor relationship as defined under ASC 606 and meets the criteria to be considered a contract.</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overall transaction price as of the inception of the contract was determined to be $75.0 million, which is composed of the upfront payment of $50.0 million and the First Anniversary Payment of $25.0 million. The Company will re-evaluate the transaction price in each reporting period.</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concluded that each of the six base editing programs combined with the research and development service, licenses, substitution rights and governance participation were material promises that were both capable of being distinct and were distinct within the context of the Apellis Agreement and represented separate performance obligations. Therefore, the Company did not recognize any upfront revenue related to the license. The Company further concluded that the Opt-In Rights and option to extend the collaboration term did not grant Apellis a material right. The Company determined that the term of the contract is five years, as this is the period during which both parties have enforceable rights.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price of each performance obligation was determined based on the Company’s estimated standalone selling price, or the ESSP. The Company developed the ESSP for all of the performance obligations included in the Apellis Agreement by determining the total estimated costs to fulfill each performance obligation identified with the objective of determining the price at which it would sell such an item if it were to be sold regularly on a standalone basis. The Company allocated the stand-alone selling price to the performance obligations based on the relative standalone selling price method.</w:t>
      </w:r>
    </w:p>
    <w:p>
      <w:pPr>
        <w:spacing w:after="0" w:line="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recognizes revenue for each performance obligation as it is satisfied over the five-year term using an input method. The Company allocated the transaction price of $75.0 million to each of the six performance obligations, which includes each of the six base editing programs combined with the research and development service, licenses, substitution rights and governance participation, and is being recognized using an input method based on the actual costs incurred as a percentage of total budgeted costs towards satisfying the performance obligation as this method provides the most faithful depiction of the entity’s performance in transferring control of the goods and services promised to Apellis and represents the Company’s best estimate of the period of the obligation. For the years ended December 31, 2023, 2022, and 2021, the Company recognized $16.4 million, $10.6 million and $1.8 million of revenue, respectively, related to the Apellis Agreement. As of December 31, 2023, there is $17.3 million and $28.9 million of current and long-term deferred revenue, respectively, related to the Apellis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Medicine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September 2019, the Company entered into a collaboration and license agreement with Prime Medicine to research and develop a novel gene editing technology developed by one of the Company’s founders. Under the terms of the agreement, the Company granted Prime Medicine a non-exclusive license to certain of its CRISPR technology (including Cas12b), delivery technology and certain other technology controlled by the Company to develop and commercialize gene editing products for the treatment of human diseases. Prime Medicine granted the Company an exclusive license to develop and commercialize prime gene editing technology for the creation or modification of any single base transition mutations, as well as any edits made for the treatment of sickle cell disease.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68" w:name="page169"/>
    <w:bookmarkEnd w:id="168"/>
    <w:p>
      <w:pPr>
        <w:ind w:right="60"/>
        <w:spacing w:after="0" w:line="256" w:lineRule="auto"/>
        <w:rPr>
          <w:sz w:val="20"/>
          <w:szCs w:val="20"/>
          <w:color w:val="auto"/>
        </w:rPr>
      </w:pPr>
      <w:r>
        <w:rPr>
          <w:rFonts w:ascii="Times New Roman" w:cs="Times New Roman" w:eastAsia="Times New Roman" w:hAnsi="Times New Roman"/>
          <w:sz w:val="18"/>
          <w:szCs w:val="18"/>
          <w:color w:val="auto"/>
        </w:rPr>
        <w:t>For any products that use technology licensed from Prime Medicine, the Company is required to make milestone payments to Prime Medicine upon the achievement of certain clinical, regulatory and commercial events. It is also required to use commercially reasonable efforts to develop and seek regulatory approval for two products that use licensed technology from Prime Medicine in certain specified countries and to commercialize any such product(s) for which approval has been obtained in certain specified countries. Prime Medicine has an option to jointly develop and commercialize, and share expenses and revenue for, certain products that use technology licensed from Prime Medicine in the United States. Royalty payments may become due by either party to the other based on the net sales of commercialized products under the agreement.</w:t>
      </w:r>
    </w:p>
    <w:p>
      <w:pPr>
        <w:spacing w:after="0" w:line="79" w:lineRule="exact"/>
        <w:rPr>
          <w:sz w:val="20"/>
          <w:szCs w:val="20"/>
          <w:color w:val="auto"/>
        </w:rPr>
      </w:pPr>
    </w:p>
    <w:p>
      <w:pPr>
        <w:jc w:val="both"/>
        <w:ind w:right="400"/>
        <w:spacing w:after="0" w:line="272" w:lineRule="auto"/>
        <w:rPr>
          <w:sz w:val="20"/>
          <w:szCs w:val="20"/>
          <w:color w:val="auto"/>
        </w:rPr>
      </w:pPr>
      <w:r>
        <w:rPr>
          <w:rFonts w:ascii="Times New Roman" w:cs="Times New Roman" w:eastAsia="Times New Roman" w:hAnsi="Times New Roman"/>
          <w:sz w:val="17"/>
          <w:szCs w:val="17"/>
          <w:color w:val="auto"/>
        </w:rPr>
        <w:t>The Company had an obligation to issue $5.0 million in shares of its common stock to Prime Medicine, and Prime Medicine had an obligation to issue 5,000,000 shares of its common stock to the Company, should the Company elect to extend the collaboration beyond one year. In September 2020, the Company elected to continue the collaboration and, in October 2020, issued 200,307 shares of the Company’s common stock to Prime Medicine.</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Additionally, in October 2020, the Company received 5,000,000 shares of Prime Medicine’s common stock. In October 2022, Prime completed an initial public offering of its common stock. In connection with Prime's initial public offering, Prime effected a one-for-3.1088 reverse stock split. As of December 31, 2023, the Company owned 1,608,337 shares of Prime's common stock valued at $14.2 million.</w:t>
      </w:r>
    </w:p>
    <w:p>
      <w:pPr>
        <w:spacing w:after="0" w:line="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Additionally, the Company provided immaterial interim management and startup services to Prime Medicine through March 2021 but did not provide any such services during 2022 or 2023.</w:t>
      </w:r>
    </w:p>
    <w:p>
      <w:pPr>
        <w:spacing w:after="0" w:line="54" w:lineRule="exact"/>
        <w:rPr>
          <w:sz w:val="20"/>
          <w:szCs w:val="20"/>
          <w:color w:val="auto"/>
        </w:rPr>
      </w:pPr>
    </w:p>
    <w:p>
      <w:pPr>
        <w:ind w:right="940"/>
        <w:spacing w:after="0" w:line="375" w:lineRule="auto"/>
        <w:rPr>
          <w:sz w:val="20"/>
          <w:szCs w:val="20"/>
          <w:color w:val="auto"/>
        </w:rPr>
      </w:pPr>
      <w:r>
        <w:rPr>
          <w:rFonts w:ascii="Times New Roman" w:cs="Times New Roman" w:eastAsia="Times New Roman" w:hAnsi="Times New Roman"/>
          <w:sz w:val="18"/>
          <w:szCs w:val="18"/>
          <w:color w:val="auto"/>
        </w:rPr>
        <w:t xml:space="preserve">As of December 31, 2023, the Company determined that future milestones and royalties under the agreement were not probable of recognition. </w:t>
      </w:r>
      <w:r>
        <w:rPr>
          <w:rFonts w:ascii="Times New Roman" w:cs="Times New Roman" w:eastAsia="Times New Roman" w:hAnsi="Times New Roman"/>
          <w:sz w:val="18"/>
          <w:szCs w:val="18"/>
          <w:b w:val="1"/>
          <w:bCs w:val="1"/>
          <w:i w:val="1"/>
          <w:iCs w:val="1"/>
          <w:color w:val="auto"/>
        </w:rPr>
        <w:t>Verve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2019, the Company entered into a collaboration and license agreement with Verve, or the Verve Agreement, to investigate gene editing strategies to modify genes associated with an increased risk of coronary diseases and in July 2022, the Company and Verve amended the Verve Agreement. Under the terms of the Verve Agreement, as amended, the Company granted Verve an exclusive license to certain base editor technology and improvements and Verve granted the Company a non-exclusive license under certain know-how and patents controlled by Verve, an interest in joint collaboration technology and a non-exclusive license under certain delivery technology.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Verve Agreement, Verve issued the Company 2.6 million shares of its common stock as partial consideration for the licenses granted, having a fair value of $0.5 million. The fair value of the Verve common stock was determined by management with the assistance of a third-party valuation specialist. In addition, to the extent certain clinical, regulatory, and commercial milestones were met with respect to licensed products, Verve was required to pay to the Company certain amounts, as defined in the agreement. Lastly, to the extent there were sales of a licensed product, Verve was obligated to pay the Company royalties, as defined in the agreement.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purchased shares of Verve's Series A preferred stock during the year ended December 31, 2020. During June 2021, Verve completed an initial public offering of its common stock. In connection with Verve’s initial public offering, Verve effected a one-for-9.2592 reverse stock split and also converted all shares of its preferred stock into shares of common stock. As of December 31, 2023, the Company owned 546,970 shares of Verve's common stock valued at $7.6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determined that the performance obligations associated with the Verve Agreement were the combined licenses and improvements related to the licensed technology. All other items promised to Verve were immaterial in the context of the agreement. The fair value of the shares issued by Verve to the Company were considered a fixed upfront payment of $0.5 million in the form of non-cash consideration.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the Company, Verve, and Lilly entered into a Side Letter Agreement whereby the Company agreed to delegate to Lilly certain rights and obligations existing under the Verve Agreement, including the Company’s rights and obligations to co-develop and co-commercialize opt-in products, the financial rights to milestone and royalty payments, and the right to participate on certain joint decision-making committees. The Company determined that the transfer and delegation of rights represents a modification of the Verve Agreement to be accounted for as if it were part of the existing contract in accordance with ASC 606. Prior to the modification, the Company determined that its performance obligations associated with the Verve Agreement at contract inception and subsequent modifications were not distinct and represented a single performance obligation, and that the obligation would be completed over the performance period of the agreement. Accordingly, the upfront payment was being recognized as revenue using a time-based proportional performance model over the contract term (April 2019 through 2038) of the collaboration, as license revenue. The milestone payments and royalties were considered variable consideration and were constrained up until the modification date as no milestones or royalties were achieved. Subsequent to the modification, management concluded that the Company does not have material ongoing obligations to Verve in the arrangement and that the remaining revenue under the agreement should be recognized at a point-in-time upon modification. Therefore, the Company recognized the remaining $0.3 of unrecognized revenue in October 2023.</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$0.4 of license revenue and has no remaining deferred revenue related to the Verve Agreement as of December 31, 2023. For each of the years ended December 31, 2022 and 2021, the Company recognized approximately $24,000 of license revenue.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12. Common stock</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January 2021, the Company issued and sold 2,795,700 shares of its common stock in a private placement at an offering price of $93.00 per share for aggregate gross proceeds of $260.0 million. The Company received $252.0 million in net proceeds after deducting fees to the placement agents and offering expenses payable by the Company.</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the Sales Agreement with Jefferies pursuant to which the Company was entitled to offer and sell, from time to time at prevailing market prices, shares of its common stock having aggregate gross proceeds of up to $300.0 million. The Company agreed to pay Jefferies a commission of up to 3.0% of the aggregate gross sale proceeds of any shares sold by Jefferies under the Sales Agreement. The Company sold 2,908,009 shares of its common stock under the Sales Agreement at an average price of $103.16 per share for aggregate gross proceeds of $300.0 million, before deducting commissions and offering expenses payable by it.</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July 2021 and May 2023, the Company and Jefferies entered into amendments to the Sales Agreement to provide for increases in the aggregate offering amount under the Sales Agreement, such that as of May 10, 2023, the Company may offer and sell shares of common stock having an aggregate offering price of an additional $800.0 million. As of December 31, 2023, the Company has sold 10,860,992 additional shares of its common stock under the amended Sales Agreement at an average price of $51.93 per share for aggregate gross proceeds of $564.0 million, before deducting commissions and offering expenses payable by it.</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May 2021, the first success payment measurements under each of the Harvard and Broad License Agreements occurred and success payments to Harvard and Broad Institute were calculated to be $15.0 million and $15.0 million, respectively. The Company elected to make each payment in shares of the Company’s common stock and issued 174,825 shares of the Company’s common stock to each of Harvard and Broad Institute to settle these liabilities in June 2021.</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holders of the Company’s common stock are entitled to one vote for each share of common stock. The holders of the Company’s common stock shall be entitled to receive ratably dividends out of funds legally available. In the event of any voluntary or involuntary liquidation, dissolution, or winding up of the Company, after the payment or provision for payment of all debts and liabilities of the Company, the holders of common stock shall be entitled to share ratably in the remaining assets of the Company available for distribution.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option and grant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June 2017, the Company’s board of directors adopted the Beam Therapeutics Inc. 2017 Stock Option and Grant Plan, or the 2017 Plan, which provided for the grant of qualified incentive stock options and nonqualified stock options, restricted stock or other awards to the Company’s employees, officers, directors, advisors, and outside consultants for the issuance or purchase of shares of the Company’s common stock.</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2017 Plan is administered by the board of directors. Stock options awarded under the 2017 Plan expire 10 years after the grant date. Vesting periods for awards under the 2017 Plan are determined at the discretion of the board of directors. Incentive stock options granted to employees and shares of restricted stock granted to officers, founders and consultants of the Company typically vest over four years. Certain options provide for accelerated vesting if there is a change in control, as defined in the 2017 Plan. Non-statutory options granted to employees, officers, members of the board of directors and consultants of the Company typically vest over four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incentive plan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October 2019, the Company’s board of directors adopted the Beam Therapeutics Inc. 2019 Equity Incentive Plan, or the 2019 Plan, and, following the IPO, all equity-based awards are granted under the 2019 Plan. The 2019 Plan provides for the grant of qualified and nonqualified stock options, stock appreciation rights, restricted and unrestricted stock and stock units, performance awards, and other share-based awards to the Company’s employees, officers, directors, advisors, and outside consultants.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maximum number of shares of the Company’s common stock that may be issued under the 2019 Plan was initially 3,700,000 shares, or the Share Pool, plus the number of shares of the Company’s common stock underlying awards under the 2017 Plan, not to exceed 5,639,818 shares, that become available again for grant under the 2017 Plan in accordance with its terms. The Share Pool will automatically increase on January 1st of each year from 2021 to 2029 by the lesser of (i) four percent of the number of shares of the Company’s common stock outstanding as of the close of business on the immediately preceding December 31st and (ii) the number of shares determined by the Company’s board of directors on or prior to such date for such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had 12,376,374 shares reserved and 1,173,189 shares available for future issuance under the 2019 Plan.</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0" w:name="page171"/>
    <w:bookmarkEnd w:id="170"/>
    <w:p>
      <w:pPr>
        <w:ind w:right="60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in the consolidated statements of operations and other comprehensive loss is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57,812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40,835</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100" w:type="dxa"/>
            <w:vAlign w:val="bottom"/>
          </w:tcPr>
          <w:p>
            <w:pPr>
              <w:spacing w:after="0"/>
              <w:rPr>
                <w:sz w:val="20"/>
                <w:szCs w:val="20"/>
                <w:color w:val="auto"/>
              </w:rPr>
            </w:pPr>
          </w:p>
        </w:tc>
      </w:tr>
      <w:tr>
        <w:trPr>
          <w:trHeight w:val="277"/>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98,647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84,321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for stock options granted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6"/>
        </w:trPr>
        <w:tc>
          <w:tcPr>
            <w:tcW w:w="43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20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76.3-78.8%</w:t>
            </w:r>
          </w:p>
        </w:tc>
        <w:tc>
          <w:tcPr>
            <w:tcW w:w="280" w:type="dxa"/>
            <w:vAlign w:val="bottom"/>
            <w:shd w:val="clear" w:color="auto" w:fill="CFF0FC"/>
          </w:tcPr>
          <w:p>
            <w:pPr>
              <w:spacing w:after="0"/>
              <w:rPr>
                <w:sz w:val="20"/>
                <w:szCs w:val="20"/>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74.8-77.3%</w:t>
            </w:r>
          </w:p>
        </w:tc>
        <w:tc>
          <w:tcPr>
            <w:tcW w:w="260" w:type="dxa"/>
            <w:vAlign w:val="bottom"/>
            <w:shd w:val="clear" w:color="auto" w:fill="CFF0FC"/>
          </w:tcPr>
          <w:p>
            <w:pPr>
              <w:spacing w:after="0"/>
              <w:rPr>
                <w:sz w:val="20"/>
                <w:szCs w:val="20"/>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71.4-76.7%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3.73 %</w:t>
            </w:r>
          </w:p>
        </w:tc>
        <w:tc>
          <w:tcPr>
            <w:tcW w:w="23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2.27 %</w:t>
            </w:r>
          </w:p>
        </w:tc>
        <w:tc>
          <w:tcPr>
            <w:tcW w:w="224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w w:val="90"/>
              </w:rPr>
              <w:t>1.11 %</w:t>
            </w:r>
          </w:p>
        </w:tc>
      </w:tr>
      <w:tr>
        <w:trPr>
          <w:trHeight w:val="238"/>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0.00 %</w:t>
            </w:r>
          </w:p>
        </w:tc>
        <w:tc>
          <w:tcPr>
            <w:tcW w:w="23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0.00 %</w:t>
            </w:r>
          </w:p>
        </w:tc>
        <w:tc>
          <w:tcPr>
            <w:tcW w:w="22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w w:val="94"/>
              </w:rPr>
              <w:t>0.00 %</w:t>
            </w:r>
          </w:p>
        </w:tc>
      </w:tr>
      <w:tr>
        <w:trPr>
          <w:trHeight w:val="24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6.03</w:t>
            </w:r>
          </w:p>
        </w:tc>
        <w:tc>
          <w:tcPr>
            <w:tcW w:w="280" w:type="dxa"/>
            <w:vAlign w:val="bottom"/>
          </w:tcPr>
          <w:p>
            <w:pPr>
              <w:spacing w:after="0"/>
              <w:rPr>
                <w:sz w:val="21"/>
                <w:szCs w:val="21"/>
                <w:color w:val="auto"/>
              </w:rPr>
            </w:pPr>
          </w:p>
        </w:tc>
        <w:tc>
          <w:tcPr>
            <w:tcW w:w="20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Pr>
          <w:p>
            <w:pPr>
              <w:spacing w:after="0"/>
              <w:rPr>
                <w:sz w:val="21"/>
                <w:szCs w:val="21"/>
                <w:color w:val="auto"/>
              </w:rPr>
            </w:pPr>
          </w:p>
        </w:tc>
        <w:tc>
          <w:tcPr>
            <w:tcW w:w="20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option activity under the Company’s equity award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4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value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80" w:type="dxa"/>
            <w:vAlign w:val="bottom"/>
          </w:tcPr>
          <w:p>
            <w:pPr>
              <w:spacing w:after="0"/>
              <w:rPr>
                <w:sz w:val="16"/>
                <w:szCs w:val="16"/>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7,548,392</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2,356,838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(797,709 )</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(831,488 )</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8,276,033</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4,818,116</w:t>
            </w: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2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45,895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-205105</wp:posOffset>
            </wp:positionV>
            <wp:extent cx="774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-187960</wp:posOffset>
            </wp:positionV>
            <wp:extent cx="774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left="520" w:right="220" w:hanging="512"/>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estimated fair value of the common stock for the options that were in the money as of December 31, 2023 and 2022.</w:t>
      </w:r>
    </w:p>
    <w:p>
      <w:pPr>
        <w:spacing w:after="0" w:line="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has granted stock options to certain employees to purchase shares of common stock that contain certain performance-based vesting criteria, primarily related to the achievement of certain development milestones related to editing applications, and the closing price of the Company’s common stock following an IPO.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There was no expense related to performance-based stock options for the year ended December 31, 2023. The expense related to performance-based options was immaterial for the years ended December 31, 2022 and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per share of stock options granted during the years ended December 31, 2023, 2022 and 2021, was $27.88,</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$40.86 and $58.56, respectively. The aggregate intrinsic value of stock options exercised during the years ended December 31, 2023, 2022 and 2021 was $20.0 million, $23.4 million and $85.1 million, respectively. The weighted-average exercise price of stock options exercised for the years ended December 31, 2023, 2022 and 2021 was $7.69, $5.64 and $9.88, respectively.</w:t>
      </w:r>
    </w:p>
    <w:p>
      <w:pPr>
        <w:spacing w:after="0" w:line="7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$111.5 million of unrecognized compensation cost related to unvested stock options, which is expected to be recognized over a weighted-average period of approximately 2.3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issued shares of restricted common stock during the years ended December 31, 2023, 2022 and 2021, which consisted only of restricted stock units. Restricted common stock issued generally vests over a period of two to four years.</w:t>
      </w:r>
    </w:p>
    <w:p>
      <w:pPr>
        <w:spacing w:after="0" w:line="54"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Generally, if the holders of restricted stock units cease to have a business relationship with the Company, any unvested restricted stock units will be cancelled.</w:t>
      </w:r>
    </w:p>
    <w:p>
      <w:pPr>
        <w:jc w:val="center"/>
        <w:ind w:right="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20" w:right="2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The following summarizes the Company’s restricted stock activity: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90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1,692,819</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2,050,025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(469,531 )</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(346,161 )</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2,927,152</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aggregate fair value of restricted shares that vested during the years ended December 31, 2023, 2022 and 2021 was $13.8 million, $53.1 million and $6.4 million, respectively.</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December 31, 2023, there was approximately $72.8 million of unrecognized stock-based compensation expense related to restricted stock that is expected to vest. These costs are expected to be recognized over a weighted-average remaining vesting period of approximately 2.2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2020, the Company’s board of directors adopted the Beam Therapeutics Inc. 2019 Employee Stock Purchase Plan, or ESPP, which was approved by the Company’s stockholders. Pursuant to the ESPP, certain employees of the Company, excluding consultants and non-employee directors, are eligible to purchase common stock of the Company at a reduced rate during offering periods. The ESPP permits participants to purchase common stock using funds contributed through payroll deductions, subject to a calendar year limit of $25,000 and at a purchase price of 85% of the lower of the fair market value of the Company’s common stock on the first trading day of the offering period or on the applicable purchase date, which will be the final trading day of the applicable purchase period.</w:t>
      </w:r>
    </w:p>
    <w:p>
      <w:pPr>
        <w:spacing w:after="0" w:line="29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used the Black-Scholes option valuation model to estimate the fair value of the purchase right under the ESPP on the date of grant. The expected volatility is based on the historical volatility of the Company's common stock for a period of years corresponding with the expected life of the option. The risk-free interest rate is based on the U.S. Treasury yield curve at the time of grant for securities with a maturity period similar to the expected life of the option. The expected life is based on the term of the purchase period for the grants made under the ESPP.</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uses the straight-line attribution approach to record the expense over the offering period. Stock-based compensation expense related to the ESPP for the years ended December 31, 2023, 2022 and 2021 was $1.3 million, $1.5 million, $0.3 million, respectively.</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issued 130,403 and 70,073 shares under the ESPP during the years ended December 31, 2023 and 2022, respectively. There were no shares issued under the ESPP during the year ended December 31, 2021. As of December 31, 2023, the Company had 2,247,569 shares available for issuance under the ESPP.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 attributable to common stockholders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noted above,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because including them would have had an anti-dilutive effect: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4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3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2,927,152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1,692,819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1,126,206</w:t>
            </w:r>
          </w:p>
        </w:tc>
        <w:tc>
          <w:tcPr>
            <w:tcW w:w="100" w:type="dxa"/>
            <w:vAlign w:val="bottom"/>
            <w:shd w:val="clear" w:color="auto" w:fill="CFF0FC"/>
          </w:tcPr>
          <w:p>
            <w:pPr>
              <w:spacing w:after="0"/>
              <w:rPr>
                <w:sz w:val="20"/>
                <w:szCs w:val="20"/>
                <w:color w:val="auto"/>
              </w:rPr>
            </w:pP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8,276,033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7,548,392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6,034,192</w:t>
            </w:r>
          </w:p>
        </w:tc>
        <w:tc>
          <w:tcPr>
            <w:tcW w:w="100" w:type="dxa"/>
            <w:vAlign w:val="bottom"/>
          </w:tcPr>
          <w:p>
            <w:pPr>
              <w:spacing w:after="0"/>
              <w:rPr>
                <w:sz w:val="20"/>
                <w:szCs w:val="20"/>
                <w:color w:val="auto"/>
              </w:rPr>
            </w:pPr>
          </w:p>
        </w:tc>
      </w:tr>
      <w:tr>
        <w:trPr>
          <w:trHeight w:val="243"/>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1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73,415</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45,906</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11,276,600</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9,287,117</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7,179,777</w:t>
            </w:r>
          </w:p>
        </w:tc>
        <w:tc>
          <w:tcPr>
            <w:tcW w:w="10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4440" w:type="dxa"/>
            <w:vAlign w:val="bottom"/>
          </w:tcPr>
          <w:p>
            <w:pPr>
              <w:spacing w:after="0"/>
              <w:rPr>
                <w:sz w:val="24"/>
                <w:szCs w:val="24"/>
                <w:color w:val="auto"/>
              </w:rPr>
            </w:pPr>
          </w:p>
        </w:tc>
        <w:tc>
          <w:tcPr>
            <w:tcW w:w="3540" w:type="dxa"/>
            <w:vAlign w:val="bottom"/>
            <w:gridSpan w:val="2"/>
          </w:tcPr>
          <w:p>
            <w:pPr>
              <w:jc w:val="right"/>
              <w:ind w:right="2096"/>
              <w:spacing w:after="0"/>
              <w:rPr>
                <w:sz w:val="20"/>
                <w:szCs w:val="20"/>
                <w:color w:val="auto"/>
              </w:rPr>
            </w:pPr>
            <w:r>
              <w:rPr>
                <w:rFonts w:ascii="Times New Roman" w:cs="Times New Roman" w:eastAsia="Times New Roman" w:hAnsi="Times New Roman"/>
                <w:sz w:val="18"/>
                <w:szCs w:val="18"/>
                <w:color w:val="auto"/>
              </w:rPr>
              <w:t>F-35</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-959485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-959485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2" w:name="page173"/>
    <w:bookmarkEnd w:id="172"/>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tbl>
      <w:tblPr>
        <w:tblLayout w:type="fixed"/>
        <w:tblInd w:w="0" w:type="dxa"/>
        <w:tblCellMar>
          <w:top w:w="0" w:type="dxa"/>
          <w:left w:w="0" w:type="dxa"/>
          <w:bottom w:w="0" w:type="dxa"/>
          <w:right w:w="0" w:type="dxa"/>
        </w:tblCellMar>
      </w:tblPr>
      <w:tr>
        <w:trPr>
          <w:trHeight w:val="164"/>
        </w:trPr>
        <w:tc>
          <w:tcPr>
            <w:tcW w:w="6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6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(132,527 )</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(289,088 )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(370,638 )</w:t>
            </w:r>
          </w:p>
        </w:tc>
      </w:tr>
      <w:tr>
        <w:trPr>
          <w:trHeight w:val="247"/>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77,151,771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70,015,305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64,227,676</w:t>
            </w:r>
          </w:p>
        </w:tc>
        <w:tc>
          <w:tcPr>
            <w:tcW w:w="100" w:type="dxa"/>
            <w:vAlign w:val="bottom"/>
          </w:tcPr>
          <w:p>
            <w:pPr>
              <w:spacing w:after="0"/>
              <w:rPr>
                <w:sz w:val="20"/>
                <w:szCs w:val="20"/>
                <w:color w:val="auto"/>
              </w:rPr>
            </w:pPr>
          </w:p>
        </w:tc>
      </w:tr>
      <w:tr>
        <w:trPr>
          <w:trHeight w:val="257"/>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(1.72 )</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(5.77 )</w:t>
            </w: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-25400</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income tax expense computed using the federal statutory income tax rate to the Company’s effective income tax rate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6600" w:type="dxa"/>
            <w:vAlign w:val="bottom"/>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7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21.0 %</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7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Nondeductible/ nontaxable permanent items</w:t>
            </w:r>
          </w:p>
        </w:tc>
        <w:tc>
          <w:tcPr>
            <w:tcW w:w="7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(2.5 )</w:t>
            </w:r>
          </w:p>
        </w:tc>
        <w:tc>
          <w:tcPr>
            <w:tcW w:w="15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IPR&amp;D Guide Acquisition</w:t>
            </w: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(8.8 )</w:t>
            </w:r>
          </w:p>
        </w:tc>
        <w:tc>
          <w:tcPr>
            <w:tcW w:w="60" w:type="dxa"/>
            <w:vAlign w:val="bottom"/>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20" w:type="dxa"/>
            <w:vAlign w:val="bottom"/>
          </w:tcPr>
          <w:p>
            <w:pPr>
              <w:spacing w:after="0"/>
              <w:rPr>
                <w:sz w:val="20"/>
                <w:szCs w:val="20"/>
                <w:color w:val="auto"/>
              </w:rPr>
            </w:pPr>
          </w:p>
        </w:tc>
        <w:tc>
          <w:tcPr>
            <w:tcW w:w="7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(50.9 )</w:t>
            </w:r>
          </w:p>
        </w:tc>
        <w:tc>
          <w:tcPr>
            <w:tcW w:w="15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(32.0 )</w:t>
            </w: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(20.6 )</w:t>
            </w:r>
          </w:p>
        </w:tc>
        <w:tc>
          <w:tcPr>
            <w:tcW w:w="6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20"/>
                <w:szCs w:val="20"/>
                <w:color w:val="auto"/>
              </w:rPr>
            </w:pPr>
          </w:p>
        </w:tc>
        <w:tc>
          <w:tcPr>
            <w:tcW w:w="7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-1.1 %</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6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9"/>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Company’s deferred taxes are as follows (in thousands):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6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2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56,759</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48,792</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137,721</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366,251</w:t>
            </w: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297,100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ROU asset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(30,830 )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(31,860 )</w:t>
            </w:r>
          </w:p>
        </w:tc>
        <w:tc>
          <w:tcPr>
            <w:tcW w:w="60" w:type="dxa"/>
            <w:vAlign w:val="bottom"/>
          </w:tcPr>
          <w:p>
            <w:pPr>
              <w:spacing w:after="0"/>
              <w:rPr>
                <w:sz w:val="20"/>
                <w:szCs w:val="20"/>
                <w:color w:val="auto"/>
              </w:rPr>
            </w:pPr>
          </w:p>
        </w:tc>
      </w:tr>
      <w:tr>
        <w:trPr>
          <w:trHeight w:val="247"/>
        </w:trPr>
        <w:tc>
          <w:tcPr>
            <w:tcW w:w="7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(649 )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(508 )</w:t>
            </w:r>
          </w:p>
        </w:tc>
        <w:tc>
          <w:tcPr>
            <w:tcW w:w="60" w:type="dxa"/>
            <w:vAlign w:val="bottom"/>
          </w:tcPr>
          <w:p>
            <w:pPr>
              <w:spacing w:after="0"/>
              <w:rPr>
                <w:sz w:val="21"/>
                <w:szCs w:val="21"/>
                <w:color w:val="auto"/>
              </w:rPr>
            </w:pPr>
          </w:p>
        </w:tc>
      </w:tr>
      <w:tr>
        <w:trPr>
          <w:trHeight w:val="239"/>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(5,415 )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(10,325 )</w:t>
            </w:r>
          </w:p>
        </w:tc>
        <w:tc>
          <w:tcPr>
            <w:tcW w:w="60" w:type="dxa"/>
            <w:vAlign w:val="bottom"/>
          </w:tcPr>
          <w:p>
            <w:pPr>
              <w:spacing w:after="0"/>
              <w:rPr>
                <w:sz w:val="20"/>
                <w:szCs w:val="20"/>
                <w:color w:val="auto"/>
              </w:rPr>
            </w:pPr>
          </w:p>
        </w:tc>
      </w:tr>
      <w:tr>
        <w:trPr>
          <w:trHeight w:val="243"/>
        </w:trPr>
        <w:tc>
          <w:tcPr>
            <w:tcW w:w="7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(329,357 )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(254,407 )</w:t>
            </w:r>
          </w:p>
        </w:tc>
        <w:tc>
          <w:tcPr>
            <w:tcW w:w="60" w:type="dxa"/>
            <w:vAlign w:val="bottom"/>
          </w:tcPr>
          <w:p>
            <w:pPr>
              <w:spacing w:after="0"/>
              <w:rPr>
                <w:sz w:val="21"/>
                <w:szCs w:val="21"/>
                <w:color w:val="auto"/>
              </w:rPr>
            </w:pPr>
          </w:p>
        </w:tc>
      </w:tr>
      <w:tr>
        <w:trPr>
          <w:trHeight w:val="236"/>
        </w:trPr>
        <w:tc>
          <w:tcPr>
            <w:tcW w:w="75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-4139565</wp:posOffset>
            </wp:positionV>
            <wp:extent cx="7132320" cy="154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803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a current tax provision of $1.4 million and $3.4 million of income tax expense, respectively, which reflects that Company generated taxable income that was not fully offset by the use of net operating loss carryforwards and tax credits. Management has evaluated the positive and negative evidence bearing upon the realizability of the Company’s deferred tax assets and has determined that it is more likely than not that the Company will not recognize the benefits of the deferred tax assets. As a result, the Company has recorded a full valuation allowance at December 31, 2023 and 2022. The valuation allowance increased by $75.0 million in 2023 due to the increase in deferred tax assets, primarily due to increased capitalization of research and development expenditures in 2023. The valuation allowance increased by $82.3 million in 2022.</w:t>
      </w:r>
    </w:p>
    <w:p>
      <w:pPr>
        <w:spacing w:after="0" w:line="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20" w:right="279" w:bottom="1440" w:gutter="0" w:footer="0" w:header="0"/>
        </w:sectPr>
      </w:pPr>
    </w:p>
    <w:bookmarkStart w:id="173" w:name="page174"/>
    <w:bookmarkEnd w:id="173"/>
    <w:p>
      <w:pPr>
        <w:ind w:right="100"/>
        <w:spacing w:after="0" w:line="254" w:lineRule="auto"/>
        <w:rPr>
          <w:sz w:val="20"/>
          <w:szCs w:val="20"/>
          <w:color w:val="auto"/>
        </w:rPr>
      </w:pPr>
      <w:r>
        <w:rPr>
          <w:rFonts w:ascii="Times New Roman" w:cs="Times New Roman" w:eastAsia="Times New Roman" w:hAnsi="Times New Roman"/>
          <w:sz w:val="18"/>
          <w:szCs w:val="18"/>
          <w:color w:val="auto"/>
        </w:rPr>
        <w:t>Additionally, Sections 382 and 383 of the Internal Revenue Code of 1986, as amended, limit a corporation’s ability to utilize tax attributes to the extent the corporation experiences an “ownership change,” generally defined as a greater than 50 percentage point change in ownership, measured by value, among 5% or greater shareholders over a rolling three-year testing period. To the extent a corporation experiences an ownership change, utilization of pre-ownership change tax attributes (e.g., net operating losses and general business tax credits) to offset post-ownership change taxable income or taxes, is subject to an annual limitation, generally calculated as the pre-ownership change equity value of the corporation, subject to certain prescribed adjustments, multiplied by the long-term tax exempt rate published monthly by the Internal Revenue Service. The Company completed a Section 382 study as of December 31, 2023, and determined that historical ownership changes occurred in June 2017, December 2018, and December 2021. In addition, the Company may experience ownership changes in the future as a result of shifts in stock ownership.</w:t>
      </w:r>
    </w:p>
    <w:p>
      <w:pPr>
        <w:spacing w:after="0" w:line="8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$16.6 million and $120.3 million, respectively, of federal net operating loss carryforwards that do not expire. Additionally, as of December 31, 2023, the Company had $41.3 million of federal and $19.5 million of Massachusetts tax credits that expire starting in 2042 and 2037.</w:t>
      </w:r>
    </w:p>
    <w:p>
      <w:pPr>
        <w:spacing w:after="0" w:line="6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no uncertain tax positions. The Company recognizes both interest and penalties associated with unrecognized tax benefits as a component of income tax expense. The Company has not recorded any interest or penalties for unrecognized tax benefits since its inception.</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filed income tax returns in the United States and the Commonwealth of Massachusetts in all tax years since inception. Tax years beginning in 2020 remain open to examination in these jurisdictions, as carryforward attributes generated in past years may be adjusted in a future period. The IRS has not made any assessments as of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described in Note 11, the Company has significant influence over, but does not control, Orbital through its noncontrolling representation on Orbital's board of directors and the Company’s equity interest in Orbital. The Company and Orbital are also parties to a collaboration and license agreement and have multiple common board members.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made payments of $0.4 million, $0.4 million and $0.5 million, respectively, to its three founder shareholders for scientific consulting and other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Verve</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and Verve are parties to a collaboration and license agreement and had a common board member through the first half of 2022. As of December 31, 2023, the Company owned 546,970 shares of Verve's common stock, the value of which is included in marketable securities in the consolidated balance sheet. See discussion of the collaboration and license agreement in Note 11 and the Company's investment in Verve's common stock in Note 5.</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purchased an immaterial amount of certain materials from Verve, which is recorded as research and development expenses within the accompanying consolidated statements of operations and other comprehensive loss for the years ended December 31, 2022, and 2021 respectively. The Company did not purchase any materials from Verve during the year ended December 31, 2023.</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October 2021, the Company entered into an agreement pursuant to which Verve subleased 12,000 square feet of the Company’s existing office and laboratory space for a term of one year which began in December 2021. The Company recorded $1.3 million and $0.1 million of sublease income related to this sublease within the accompanying consolidated statements of operations and other comprehensive loss for the years ended December 31, 2022 and 2021, respectively, as well as its proportionate costs for the landlord’s operating expense, insurance, property taxes, and utilities. As of December 31, 2022, the Verve sublease agreement had expired and as such no sublease income was recognized during the year ended December 31,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Medicine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Prime Medicine are parties to a collaboration and license agreement and have a common founder and had a common board member into the third quarter of 2022. As of December 31, 2023, the Company owned 1,608,337 shares of Prime's common stock, the value of which is included in marketable securities in the consolidated balance sheet. See discussion of the collaboration and license agreement in Note 11 and the Company's investment in Prime's common stock in Note 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2018, the Company established a defined-contribution plan under Section 401(k) of the Internal Revenue Code, or the 401(k) Plan. The 401(k) Plan covers all employees who meet defined minimum age and service requirements and allows participants to defer a portion of their annual compensation on a pre-tax basis. Beginning January 1, 2020, the Company made matching contributions equal to 50% of the employee’s contributions, subject to a maximum of 6% of eligible compensation. The Company made matching contributions of $2.5 million, $2.0 million, and $1.1 million for the years ended December 31, 2023, 2022, and 2021 respectively.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color w:val="auto"/>
        </w:rPr>
        <w:t>Exhibit 10.29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w:t>
      </w:r>
      <w:r>
        <w:rPr>
          <w:rFonts w:ascii="Times New Roman" w:cs="Times New Roman" w:eastAsia="Times New Roman" w:hAnsi="Times New Roman"/>
          <w:sz w:val="17"/>
          <w:szCs w:val="17"/>
          <w:b w:val="1"/>
          <w:bCs w:val="1"/>
          <w:color w:val="auto"/>
        </w:rPr>
        <w:t>eam</w:t>
      </w:r>
      <w:r>
        <w:rPr>
          <w:rFonts w:ascii="Times New Roman" w:cs="Times New Roman" w:eastAsia="Times New Roman" w:hAnsi="Times New Roman"/>
          <w:sz w:val="25"/>
          <w:szCs w:val="25"/>
          <w:b w:val="1"/>
          <w:bCs w:val="1"/>
          <w:color w:val="auto"/>
        </w:rPr>
        <w:t xml:space="preserve"> T</w:t>
      </w:r>
      <w:r>
        <w:rPr>
          <w:rFonts w:ascii="Times New Roman" w:cs="Times New Roman" w:eastAsia="Times New Roman" w:hAnsi="Times New Roman"/>
          <w:sz w:val="17"/>
          <w:szCs w:val="17"/>
          <w:b w:val="1"/>
          <w:bCs w:val="1"/>
          <w:color w:val="auto"/>
        </w:rPr>
        <w:t>herapeutics</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w:t>
      </w:r>
      <w:r>
        <w:rPr>
          <w:rFonts w:ascii="Times New Roman" w:cs="Times New Roman" w:eastAsia="Times New Roman" w:hAnsi="Times New Roman"/>
          <w:sz w:val="17"/>
          <w:szCs w:val="17"/>
          <w:b w:val="1"/>
          <w:bCs w:val="1"/>
          <w:color w:val="auto"/>
        </w:rPr>
        <w:t>on</w:t>
      </w:r>
      <w:r>
        <w:rPr>
          <w:rFonts w:ascii="Times New Roman" w:cs="Times New Roman" w:eastAsia="Times New Roman" w:hAnsi="Times New Roman"/>
          <w:sz w:val="25"/>
          <w:szCs w:val="25"/>
          <w:b w:val="1"/>
          <w:bCs w:val="1"/>
          <w:color w:val="auto"/>
        </w:rPr>
        <w:t>-E</w:t>
      </w:r>
      <w:r>
        <w:rPr>
          <w:rFonts w:ascii="Times New Roman" w:cs="Times New Roman" w:eastAsia="Times New Roman" w:hAnsi="Times New Roman"/>
          <w:sz w:val="17"/>
          <w:szCs w:val="17"/>
          <w:b w:val="1"/>
          <w:bCs w:val="1"/>
          <w:color w:val="auto"/>
        </w:rPr>
        <w:t>mployee</w:t>
      </w:r>
      <w:r>
        <w:rPr>
          <w:rFonts w:ascii="Times New Roman" w:cs="Times New Roman" w:eastAsia="Times New Roman" w:hAnsi="Times New Roman"/>
          <w:sz w:val="25"/>
          <w:szCs w:val="25"/>
          <w:b w:val="1"/>
          <w:bCs w:val="1"/>
          <w:color w:val="auto"/>
        </w:rPr>
        <w:t xml:space="preserve"> D</w:t>
      </w:r>
      <w:r>
        <w:rPr>
          <w:rFonts w:ascii="Times New Roman" w:cs="Times New Roman" w:eastAsia="Times New Roman" w:hAnsi="Times New Roman"/>
          <w:sz w:val="17"/>
          <w:szCs w:val="17"/>
          <w:b w:val="1"/>
          <w:bCs w:val="1"/>
          <w:color w:val="auto"/>
        </w:rPr>
        <w:t>irector</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ompensation</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olicy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7"/>
          <w:szCs w:val="17"/>
          <w:b w:val="1"/>
          <w:bCs w:val="1"/>
          <w:color w:val="auto"/>
        </w:rPr>
        <w:t>as amended and restated as of</w:t>
      </w:r>
      <w:r>
        <w:rPr>
          <w:rFonts w:ascii="Times New Roman" w:cs="Times New Roman" w:eastAsia="Times New Roman" w:hAnsi="Times New Roman"/>
          <w:sz w:val="25"/>
          <w:szCs w:val="25"/>
          <w:b w:val="1"/>
          <w:bCs w:val="1"/>
          <w:color w:val="auto"/>
        </w:rPr>
        <w:t xml:space="preserve"> J</w:t>
      </w:r>
      <w:r>
        <w:rPr>
          <w:rFonts w:ascii="Times New Roman" w:cs="Times New Roman" w:eastAsia="Times New Roman" w:hAnsi="Times New Roman"/>
          <w:sz w:val="17"/>
          <w:szCs w:val="17"/>
          <w:b w:val="1"/>
          <w:bCs w:val="1"/>
          <w:color w:val="auto"/>
        </w:rPr>
        <w:t>anuary</w:t>
      </w:r>
      <w:r>
        <w:rPr>
          <w:rFonts w:ascii="Times New Roman" w:cs="Times New Roman" w:eastAsia="Times New Roman" w:hAnsi="Times New Roman"/>
          <w:sz w:val="25"/>
          <w:szCs w:val="25"/>
          <w:b w:val="1"/>
          <w:bCs w:val="1"/>
          <w:color w:val="auto"/>
        </w:rPr>
        <w:t xml:space="preserve"> 22, 2024)</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Effective as of the date set forth above, each individual who provides services to Beam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a director, other than a director who is employed by the Company or a subsidiary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shall be entitled to receive the following amounts of compensation, subject to the limitations on annual Non-Employee Director compensation set forth in the Company’s 2019 Equity Incentive Plan: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0" w:type="dxa"/>
            <w:vAlign w:val="bottom"/>
            <w:tcBorders>
              <w:right w:val="single" w:sz="8" w:color="auto"/>
            </w:tcBorders>
          </w:tcPr>
          <w:p>
            <w:pPr>
              <w:spacing w:after="0"/>
              <w:rPr>
                <w:sz w:val="24"/>
                <w:szCs w:val="24"/>
                <w:color w:val="auto"/>
              </w:rPr>
            </w:pPr>
          </w:p>
        </w:tc>
        <w:tc>
          <w:tcPr>
            <w:tcW w:w="4860" w:type="dxa"/>
            <w:vAlign w:val="bottom"/>
            <w:tcBorders>
              <w:top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22"/>
                <w:szCs w:val="22"/>
                <w:b w:val="1"/>
                <w:bCs w:val="1"/>
                <w:color w:val="auto"/>
              </w:rPr>
              <w:t>Type of</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520" w:type="dxa"/>
            <w:vAlign w:val="bottom"/>
            <w:tcBorders>
              <w:top w:val="single" w:sz="8" w:color="auto"/>
              <w:right w:val="single" w:sz="8" w:color="auto"/>
            </w:tcBorders>
            <w:gridSpan w:val="7"/>
          </w:tcPr>
          <w:p>
            <w:pPr>
              <w:jc w:val="center"/>
              <w:ind w:right="740"/>
              <w:spacing w:after="0"/>
              <w:rPr>
                <w:sz w:val="20"/>
                <w:szCs w:val="20"/>
                <w:color w:val="auto"/>
              </w:rPr>
            </w:pPr>
            <w:r>
              <w:rPr>
                <w:rFonts w:ascii="Times New Roman" w:cs="Times New Roman" w:eastAsia="Times New Roman" w:hAnsi="Times New Roman"/>
                <w:sz w:val="22"/>
                <w:szCs w:val="22"/>
                <w:b w:val="1"/>
                <w:bCs w:val="1"/>
                <w:color w:val="auto"/>
                <w:w w:val="96"/>
              </w:rPr>
              <w:t>Amount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0" w:type="dxa"/>
            <w:vAlign w:val="bottom"/>
            <w:tcBorders>
              <w:right w:val="single" w:sz="8" w:color="auto"/>
            </w:tcBorders>
          </w:tcPr>
          <w:p>
            <w:pPr>
              <w:spacing w:after="0"/>
              <w:rPr>
                <w:sz w:val="24"/>
                <w:szCs w:val="24"/>
                <w:color w:val="auto"/>
              </w:rPr>
            </w:pPr>
          </w:p>
        </w:tc>
        <w:tc>
          <w:tcPr>
            <w:tcW w:w="486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22"/>
                <w:szCs w:val="22"/>
                <w:b w:val="1"/>
                <w:bCs w:val="1"/>
                <w:color w:val="auto"/>
              </w:rPr>
              <w:t>Compensation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20" w:type="dxa"/>
            <w:vAlign w:val="bottom"/>
            <w:tcBorders>
              <w:right w:val="single" w:sz="8" w:color="auto"/>
            </w:tcBorders>
            <w:gridSpan w:val="7"/>
          </w:tcPr>
          <w:p>
            <w:pPr>
              <w:jc w:val="center"/>
              <w:ind w:right="740"/>
              <w:spacing w:after="0"/>
              <w:rPr>
                <w:sz w:val="20"/>
                <w:szCs w:val="20"/>
                <w:color w:val="auto"/>
              </w:rPr>
            </w:pPr>
            <w:r>
              <w:rPr>
                <w:rFonts w:ascii="Times New Roman" w:cs="Times New Roman" w:eastAsia="Times New Roman" w:hAnsi="Times New Roman"/>
                <w:sz w:val="22"/>
                <w:szCs w:val="22"/>
                <w:b w:val="1"/>
                <w:bCs w:val="1"/>
                <w:color w:val="auto"/>
                <w:w w:val="98"/>
              </w:rPr>
              <w:t>Form of Payment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20" w:type="dxa"/>
            <w:vAlign w:val="bottom"/>
            <w:tcBorders>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20" w:type="dxa"/>
            <w:vAlign w:val="bottom"/>
            <w:tcBorders>
              <w:right w:val="single" w:sz="8" w:color="auto"/>
            </w:tcBorders>
          </w:tcPr>
          <w:p>
            <w:pPr>
              <w:spacing w:after="0"/>
              <w:rPr>
                <w:sz w:val="17"/>
                <w:szCs w:val="17"/>
                <w:color w:val="auto"/>
              </w:rPr>
            </w:pPr>
          </w:p>
        </w:tc>
        <w:tc>
          <w:tcPr>
            <w:tcW w:w="48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Annual cash fee</w:t>
            </w:r>
          </w:p>
        </w:tc>
        <w:tc>
          <w:tcPr>
            <w:tcW w:w="100" w:type="dxa"/>
            <w:vAlign w:val="bottom"/>
          </w:tcPr>
          <w:p>
            <w:pPr>
              <w:spacing w:after="0"/>
              <w:rPr>
                <w:sz w:val="17"/>
                <w:szCs w:val="17"/>
                <w:color w:val="auto"/>
              </w:rPr>
            </w:pPr>
          </w:p>
        </w:tc>
        <w:tc>
          <w:tcPr>
            <w:tcW w:w="6140" w:type="dxa"/>
            <w:vAlign w:val="bottom"/>
            <w:tcBorders>
              <w:right w:val="single" w:sz="8" w:color="auto"/>
            </w:tcBorders>
            <w:gridSpan w:val="11"/>
          </w:tcPr>
          <w:p>
            <w:pPr>
              <w:spacing w:after="0" w:line="206" w:lineRule="exact"/>
              <w:rPr>
                <w:sz w:val="20"/>
                <w:szCs w:val="20"/>
                <w:color w:val="auto"/>
              </w:rPr>
            </w:pPr>
            <w:r>
              <w:rPr>
                <w:rFonts w:ascii="Times New Roman" w:cs="Times New Roman" w:eastAsia="Times New Roman" w:hAnsi="Times New Roman"/>
                <w:sz w:val="22"/>
                <w:szCs w:val="22"/>
                <w:color w:val="auto"/>
              </w:rPr>
              <w:t>$45,000 ($75,000 for the chair of the Board of Directors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0" w:type="dxa"/>
            <w:vAlign w:val="bottom"/>
            <w:tcBorders>
              <w:right w:val="single" w:sz="8" w:color="auto"/>
            </w:tcBorders>
          </w:tcPr>
          <w:p>
            <w:pPr>
              <w:spacing w:after="0"/>
              <w:rPr>
                <w:sz w:val="13"/>
                <w:szCs w:val="13"/>
                <w:color w:val="auto"/>
              </w:rPr>
            </w:pPr>
          </w:p>
        </w:tc>
        <w:tc>
          <w:tcPr>
            <w:tcW w:w="48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140" w:type="dxa"/>
            <w:vAlign w:val="bottom"/>
            <w:tcBorders>
              <w:right w:val="single" w:sz="8" w:color="auto"/>
            </w:tcBorders>
            <w:gridSpan w:val="11"/>
            <w:vMerge w:val="restart"/>
          </w:tcPr>
          <w:p>
            <w:pPr>
              <w:spacing w:after="0" w:line="230" w:lineRule="exact"/>
              <w:rPr>
                <w:sz w:val="20"/>
                <w:szCs w:val="20"/>
                <w:color w:val="auto"/>
              </w:rPr>
            </w:pPr>
            <w:r>
              <w:rPr>
                <w:rFonts w:ascii="Times New Roman" w:cs="Times New Roman" w:eastAsia="Times New Roman" w:hAnsi="Times New Roman"/>
                <w:sz w:val="22"/>
                <w:szCs w:val="22"/>
                <w:color w:val="auto"/>
              </w:rPr>
              <w:t>“Board”) and $60,000 for the lead independent director)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120" w:type="dxa"/>
            <w:vAlign w:val="bottom"/>
            <w:tcBorders>
              <w:right w:val="single" w:sz="8" w:color="auto"/>
            </w:tcBorders>
          </w:tcPr>
          <w:p>
            <w:pPr>
              <w:spacing w:after="0"/>
              <w:rPr>
                <w:sz w:val="6"/>
                <w:szCs w:val="6"/>
                <w:color w:val="auto"/>
              </w:rPr>
            </w:pPr>
          </w:p>
        </w:tc>
        <w:tc>
          <w:tcPr>
            <w:tcW w:w="4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140" w:type="dxa"/>
            <w:vAlign w:val="bottom"/>
            <w:tcBorders>
              <w:right w:val="single" w:sz="8" w:color="auto"/>
            </w:tcBorders>
            <w:gridSpan w:val="11"/>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20" w:type="dxa"/>
            <w:vAlign w:val="bottom"/>
            <w:tcBorders>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Additional annual cash fee for members of the Audit</w:t>
            </w:r>
          </w:p>
        </w:tc>
        <w:tc>
          <w:tcPr>
            <w:tcW w:w="100" w:type="dxa"/>
            <w:vAlign w:val="bottom"/>
          </w:tcPr>
          <w:p>
            <w:pPr>
              <w:spacing w:after="0"/>
              <w:rPr>
                <w:sz w:val="19"/>
                <w:szCs w:val="19"/>
                <w:color w:val="auto"/>
              </w:rPr>
            </w:pPr>
          </w:p>
        </w:tc>
        <w:tc>
          <w:tcPr>
            <w:tcW w:w="6140" w:type="dxa"/>
            <w:vAlign w:val="bottom"/>
            <w:tcBorders>
              <w:right w:val="single" w:sz="8" w:color="auto"/>
            </w:tcBorders>
            <w:gridSpan w:val="11"/>
            <w:vMerge w:val="restart"/>
          </w:tcPr>
          <w:p>
            <w:pPr>
              <w:spacing w:after="0"/>
              <w:rPr>
                <w:sz w:val="20"/>
                <w:szCs w:val="20"/>
                <w:color w:val="auto"/>
              </w:rPr>
            </w:pPr>
            <w:r>
              <w:rPr>
                <w:rFonts w:ascii="Times New Roman" w:cs="Times New Roman" w:eastAsia="Times New Roman" w:hAnsi="Times New Roman"/>
                <w:sz w:val="22"/>
                <w:szCs w:val="22"/>
                <w:color w:val="auto"/>
              </w:rPr>
              <w:t>$10,000 ($20,000 for the Audit Committee chair)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20" w:type="dxa"/>
            <w:vAlign w:val="bottom"/>
            <w:tcBorders>
              <w:right w:val="single" w:sz="8" w:color="auto"/>
            </w:tcBorders>
          </w:tcPr>
          <w:p>
            <w:pPr>
              <w:spacing w:after="0"/>
              <w:rPr>
                <w:sz w:val="13"/>
                <w:szCs w:val="13"/>
                <w:color w:val="auto"/>
              </w:rPr>
            </w:pPr>
          </w:p>
        </w:tc>
        <w:tc>
          <w:tcPr>
            <w:tcW w:w="48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Committee</w:t>
            </w:r>
          </w:p>
        </w:tc>
        <w:tc>
          <w:tcPr>
            <w:tcW w:w="100" w:type="dxa"/>
            <w:vAlign w:val="bottom"/>
          </w:tcPr>
          <w:p>
            <w:pPr>
              <w:spacing w:after="0"/>
              <w:rPr>
                <w:sz w:val="13"/>
                <w:szCs w:val="13"/>
                <w:color w:val="auto"/>
              </w:rPr>
            </w:pPr>
          </w:p>
        </w:tc>
        <w:tc>
          <w:tcPr>
            <w:tcW w:w="6140" w:type="dxa"/>
            <w:vAlign w:val="bottom"/>
            <w:tcBorders>
              <w:right w:val="single" w:sz="8" w:color="auto"/>
            </w:tcBorders>
            <w:gridSpan w:val="11"/>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0" w:type="dxa"/>
            <w:vAlign w:val="bottom"/>
            <w:tcBorders>
              <w:right w:val="single" w:sz="8" w:color="auto"/>
            </w:tcBorders>
          </w:tcPr>
          <w:p>
            <w:pPr>
              <w:spacing w:after="0"/>
              <w:rPr>
                <w:sz w:val="10"/>
                <w:szCs w:val="10"/>
                <w:color w:val="auto"/>
              </w:rPr>
            </w:pPr>
          </w:p>
        </w:tc>
        <w:tc>
          <w:tcPr>
            <w:tcW w:w="486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2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Additional annual cash fee for members of the</w:t>
            </w:r>
          </w:p>
        </w:tc>
        <w:tc>
          <w:tcPr>
            <w:tcW w:w="100" w:type="dxa"/>
            <w:vAlign w:val="bottom"/>
          </w:tcPr>
          <w:p>
            <w:pPr>
              <w:spacing w:after="0"/>
              <w:rPr>
                <w:sz w:val="19"/>
                <w:szCs w:val="19"/>
                <w:color w:val="auto"/>
              </w:rPr>
            </w:pPr>
          </w:p>
        </w:tc>
        <w:tc>
          <w:tcPr>
            <w:tcW w:w="6140" w:type="dxa"/>
            <w:vAlign w:val="bottom"/>
            <w:tcBorders>
              <w:right w:val="single" w:sz="8" w:color="auto"/>
            </w:tcBorders>
            <w:gridSpan w:val="11"/>
            <w:vMerge w:val="restart"/>
          </w:tcPr>
          <w:p>
            <w:pPr>
              <w:spacing w:after="0"/>
              <w:rPr>
                <w:sz w:val="20"/>
                <w:szCs w:val="20"/>
                <w:color w:val="auto"/>
              </w:rPr>
            </w:pPr>
            <w:r>
              <w:rPr>
                <w:rFonts w:ascii="Times New Roman" w:cs="Times New Roman" w:eastAsia="Times New Roman" w:hAnsi="Times New Roman"/>
                <w:sz w:val="22"/>
                <w:szCs w:val="22"/>
                <w:color w:val="auto"/>
              </w:rPr>
              <w:t>$7,500 ($15,000 for the Compensation Committee chair)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20" w:type="dxa"/>
            <w:vAlign w:val="bottom"/>
            <w:tcBorders>
              <w:right w:val="single" w:sz="8" w:color="auto"/>
            </w:tcBorders>
          </w:tcPr>
          <w:p>
            <w:pPr>
              <w:spacing w:after="0"/>
              <w:rPr>
                <w:sz w:val="13"/>
                <w:szCs w:val="13"/>
                <w:color w:val="auto"/>
              </w:rPr>
            </w:pPr>
          </w:p>
        </w:tc>
        <w:tc>
          <w:tcPr>
            <w:tcW w:w="48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Compensation Committee</w:t>
            </w:r>
          </w:p>
        </w:tc>
        <w:tc>
          <w:tcPr>
            <w:tcW w:w="100" w:type="dxa"/>
            <w:vAlign w:val="bottom"/>
          </w:tcPr>
          <w:p>
            <w:pPr>
              <w:spacing w:after="0"/>
              <w:rPr>
                <w:sz w:val="13"/>
                <w:szCs w:val="13"/>
                <w:color w:val="auto"/>
              </w:rPr>
            </w:pPr>
          </w:p>
        </w:tc>
        <w:tc>
          <w:tcPr>
            <w:tcW w:w="6140" w:type="dxa"/>
            <w:vAlign w:val="bottom"/>
            <w:tcBorders>
              <w:right w:val="single" w:sz="8" w:color="auto"/>
            </w:tcBorders>
            <w:gridSpan w:val="11"/>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0" w:type="dxa"/>
            <w:vAlign w:val="bottom"/>
            <w:tcBorders>
              <w:right w:val="single" w:sz="8" w:color="auto"/>
            </w:tcBorders>
          </w:tcPr>
          <w:p>
            <w:pPr>
              <w:spacing w:after="0"/>
              <w:rPr>
                <w:sz w:val="10"/>
                <w:szCs w:val="10"/>
                <w:color w:val="auto"/>
              </w:rPr>
            </w:pPr>
          </w:p>
        </w:tc>
        <w:tc>
          <w:tcPr>
            <w:tcW w:w="486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2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Additional annual cash fee for members of the</w:t>
            </w:r>
          </w:p>
        </w:tc>
        <w:tc>
          <w:tcPr>
            <w:tcW w:w="100" w:type="dxa"/>
            <w:vAlign w:val="bottom"/>
          </w:tcPr>
          <w:p>
            <w:pPr>
              <w:spacing w:after="0"/>
              <w:rPr>
                <w:sz w:val="19"/>
                <w:szCs w:val="19"/>
                <w:color w:val="auto"/>
              </w:rPr>
            </w:pPr>
          </w:p>
        </w:tc>
        <w:tc>
          <w:tcPr>
            <w:tcW w:w="6140" w:type="dxa"/>
            <w:vAlign w:val="bottom"/>
            <w:tcBorders>
              <w:right w:val="single" w:sz="8" w:color="auto"/>
            </w:tcBorders>
            <w:gridSpan w:val="11"/>
          </w:tcPr>
          <w:p>
            <w:pPr>
              <w:spacing w:after="0" w:line="223" w:lineRule="exact"/>
              <w:rPr>
                <w:sz w:val="20"/>
                <w:szCs w:val="20"/>
                <w:color w:val="auto"/>
              </w:rPr>
            </w:pPr>
            <w:r>
              <w:rPr>
                <w:rFonts w:ascii="Times New Roman" w:cs="Times New Roman" w:eastAsia="Times New Roman" w:hAnsi="Times New Roman"/>
                <w:sz w:val="22"/>
                <w:szCs w:val="22"/>
                <w:color w:val="auto"/>
              </w:rPr>
              <w:t>$5,000 ($10,000 for the Nominating and Corporate Governance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20" w:type="dxa"/>
            <w:vAlign w:val="bottom"/>
            <w:tcBorders>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Nominating and Corporate Governance Committee</w:t>
            </w:r>
          </w:p>
        </w:tc>
        <w:tc>
          <w:tcPr>
            <w:tcW w:w="100" w:type="dxa"/>
            <w:vAlign w:val="bottom"/>
            <w:tcBorders>
              <w:bottom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22"/>
                <w:szCs w:val="22"/>
                <w:color w:val="auto"/>
              </w:rPr>
              <w:t>Committee chair)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Additional annual cash fee for members of the</w:t>
            </w:r>
          </w:p>
        </w:tc>
        <w:tc>
          <w:tcPr>
            <w:tcW w:w="100" w:type="dxa"/>
            <w:vAlign w:val="bottom"/>
          </w:tcPr>
          <w:p>
            <w:pPr>
              <w:spacing w:after="0"/>
              <w:rPr>
                <w:sz w:val="19"/>
                <w:szCs w:val="19"/>
                <w:color w:val="auto"/>
              </w:rPr>
            </w:pPr>
          </w:p>
        </w:tc>
        <w:tc>
          <w:tcPr>
            <w:tcW w:w="6140" w:type="dxa"/>
            <w:vAlign w:val="bottom"/>
            <w:tcBorders>
              <w:right w:val="single" w:sz="8" w:color="auto"/>
            </w:tcBorders>
            <w:gridSpan w:val="11"/>
            <w:vMerge w:val="restart"/>
          </w:tcPr>
          <w:p>
            <w:pPr>
              <w:spacing w:after="0"/>
              <w:rPr>
                <w:sz w:val="20"/>
                <w:szCs w:val="20"/>
                <w:color w:val="auto"/>
              </w:rPr>
            </w:pPr>
            <w:r>
              <w:rPr>
                <w:rFonts w:ascii="Times New Roman" w:cs="Times New Roman" w:eastAsia="Times New Roman" w:hAnsi="Times New Roman"/>
                <w:sz w:val="22"/>
                <w:szCs w:val="22"/>
                <w:color w:val="auto"/>
              </w:rPr>
              <w:t>$7,500 ($15,000 for the Compensation Committee chair)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20" w:type="dxa"/>
            <w:vAlign w:val="bottom"/>
            <w:tcBorders>
              <w:right w:val="single" w:sz="8" w:color="auto"/>
            </w:tcBorders>
          </w:tcPr>
          <w:p>
            <w:pPr>
              <w:spacing w:after="0"/>
              <w:rPr>
                <w:sz w:val="13"/>
                <w:szCs w:val="13"/>
                <w:color w:val="auto"/>
              </w:rPr>
            </w:pPr>
          </w:p>
        </w:tc>
        <w:tc>
          <w:tcPr>
            <w:tcW w:w="48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Science and Technology Committee</w:t>
            </w:r>
          </w:p>
        </w:tc>
        <w:tc>
          <w:tcPr>
            <w:tcW w:w="100" w:type="dxa"/>
            <w:vAlign w:val="bottom"/>
          </w:tcPr>
          <w:p>
            <w:pPr>
              <w:spacing w:after="0"/>
              <w:rPr>
                <w:sz w:val="13"/>
                <w:szCs w:val="13"/>
                <w:color w:val="auto"/>
              </w:rPr>
            </w:pPr>
          </w:p>
        </w:tc>
        <w:tc>
          <w:tcPr>
            <w:tcW w:w="6140" w:type="dxa"/>
            <w:vAlign w:val="bottom"/>
            <w:tcBorders>
              <w:right w:val="single" w:sz="8" w:color="auto"/>
            </w:tcBorders>
            <w:gridSpan w:val="11"/>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0" w:type="dxa"/>
            <w:vAlign w:val="bottom"/>
            <w:tcBorders>
              <w:right w:val="single" w:sz="8" w:color="auto"/>
            </w:tcBorders>
          </w:tcPr>
          <w:p>
            <w:pPr>
              <w:spacing w:after="0"/>
              <w:rPr>
                <w:sz w:val="10"/>
                <w:szCs w:val="10"/>
                <w:color w:val="auto"/>
              </w:rPr>
            </w:pPr>
          </w:p>
        </w:tc>
        <w:tc>
          <w:tcPr>
            <w:tcW w:w="486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2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Equity compensation</w:t>
            </w:r>
          </w:p>
        </w:tc>
        <w:tc>
          <w:tcPr>
            <w:tcW w:w="100" w:type="dxa"/>
            <w:vAlign w:val="bottom"/>
          </w:tcPr>
          <w:p>
            <w:pPr>
              <w:spacing w:after="0"/>
              <w:rPr>
                <w:sz w:val="19"/>
                <w:szCs w:val="19"/>
                <w:color w:val="auto"/>
              </w:rPr>
            </w:pPr>
          </w:p>
        </w:tc>
        <w:tc>
          <w:tcPr>
            <w:tcW w:w="6140" w:type="dxa"/>
            <w:vAlign w:val="bottom"/>
            <w:tcBorders>
              <w:right w:val="single" w:sz="8" w:color="auto"/>
            </w:tcBorders>
            <w:gridSpan w:val="11"/>
          </w:tcPr>
          <w:p>
            <w:pPr>
              <w:spacing w:after="0" w:line="223" w:lineRule="exact"/>
              <w:rPr>
                <w:sz w:val="20"/>
                <w:szCs w:val="20"/>
                <w:color w:val="auto"/>
              </w:rPr>
            </w:pPr>
            <w:r>
              <w:rPr>
                <w:rFonts w:ascii="Times New Roman" w:cs="Times New Roman" w:eastAsia="Times New Roman" w:hAnsi="Times New Roman"/>
                <w:sz w:val="22"/>
                <w:szCs w:val="22"/>
                <w:color w:val="auto"/>
              </w:rPr>
              <w:t>Each Non-Employee Director who is first elected or appointed to the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140" w:type="dxa"/>
            <w:vAlign w:val="bottom"/>
            <w:tcBorders>
              <w:right w:val="single" w:sz="8" w:color="auto"/>
            </w:tcBorders>
            <w:gridSpan w:val="11"/>
          </w:tcPr>
          <w:p>
            <w:pPr>
              <w:spacing w:after="0" w:line="243" w:lineRule="exact"/>
              <w:rPr>
                <w:sz w:val="20"/>
                <w:szCs w:val="20"/>
                <w:color w:val="auto"/>
              </w:rPr>
            </w:pPr>
            <w:r>
              <w:rPr>
                <w:rFonts w:ascii="Times New Roman" w:cs="Times New Roman" w:eastAsia="Times New Roman" w:hAnsi="Times New Roman"/>
                <w:sz w:val="22"/>
                <w:szCs w:val="22"/>
                <w:color w:val="auto"/>
              </w:rPr>
              <w:t>Board shall, upon his or her initial election or appointment to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140" w:type="dxa"/>
            <w:vAlign w:val="bottom"/>
            <w:tcBorders>
              <w:right w:val="single" w:sz="8" w:color="auto"/>
            </w:tcBorders>
            <w:gridSpan w:val="11"/>
          </w:tcPr>
          <w:p>
            <w:pPr>
              <w:spacing w:after="0" w:line="243" w:lineRule="exact"/>
              <w:rPr>
                <w:sz w:val="20"/>
                <w:szCs w:val="20"/>
                <w:color w:val="auto"/>
              </w:rPr>
            </w:pPr>
            <w:r>
              <w:rPr>
                <w:rFonts w:ascii="Times New Roman" w:cs="Times New Roman" w:eastAsia="Times New Roman" w:hAnsi="Times New Roman"/>
                <w:sz w:val="22"/>
                <w:szCs w:val="22"/>
                <w:color w:val="auto"/>
              </w:rPr>
              <w:t>Board, be granted automatically and without the need for any further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140" w:type="dxa"/>
            <w:vAlign w:val="bottom"/>
            <w:tcBorders>
              <w:right w:val="single" w:sz="8" w:color="auto"/>
            </w:tcBorders>
            <w:gridSpan w:val="11"/>
          </w:tcPr>
          <w:p>
            <w:pPr>
              <w:spacing w:after="0" w:line="243" w:lineRule="exact"/>
              <w:rPr>
                <w:sz w:val="20"/>
                <w:szCs w:val="20"/>
                <w:color w:val="auto"/>
              </w:rPr>
            </w:pPr>
            <w:r>
              <w:rPr>
                <w:rFonts w:ascii="Times New Roman" w:cs="Times New Roman" w:eastAsia="Times New Roman" w:hAnsi="Times New Roman"/>
                <w:sz w:val="22"/>
                <w:szCs w:val="22"/>
                <w:color w:val="auto"/>
              </w:rPr>
              <w:t>action by the Board (or compensation committee thereof), an option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140" w:type="dxa"/>
            <w:vAlign w:val="bottom"/>
            <w:tcBorders>
              <w:right w:val="single" w:sz="8" w:color="auto"/>
            </w:tcBorders>
            <w:gridSpan w:val="11"/>
          </w:tcPr>
          <w:p>
            <w:pPr>
              <w:spacing w:after="0" w:line="230" w:lineRule="exact"/>
              <w:rPr>
                <w:sz w:val="20"/>
                <w:szCs w:val="20"/>
                <w:color w:val="auto"/>
              </w:rPr>
            </w:pPr>
            <w:r>
              <w:rPr>
                <w:rFonts w:ascii="Times New Roman" w:cs="Times New Roman" w:eastAsia="Times New Roman" w:hAnsi="Times New Roman"/>
                <w:sz w:val="22"/>
                <w:szCs w:val="22"/>
                <w:color w:val="auto"/>
              </w:rPr>
              <w:t>to purchase shares of the Company’s common stock (“Common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auto"/>
              </w:rPr>
              <w:t>Stock”) having a grant date fair value, determined in</w:t>
            </w:r>
          </w:p>
        </w:tc>
        <w:tc>
          <w:tcPr>
            <w:tcW w:w="84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w w:val="82"/>
              </w:rPr>
              <w:t>accordance</w:t>
            </w:r>
          </w:p>
        </w:tc>
        <w:tc>
          <w:tcPr>
            <w:tcW w:w="580" w:type="dxa"/>
            <w:vAlign w:val="bottom"/>
            <w:tcBorders>
              <w:right w:val="single" w:sz="8" w:color="auto"/>
            </w:tcBorders>
            <w:gridSpan w:val="2"/>
          </w:tcPr>
          <w:p>
            <w:pPr>
              <w:ind w:left="60"/>
              <w:spacing w:after="0" w:line="223" w:lineRule="exact"/>
              <w:rPr>
                <w:sz w:val="20"/>
                <w:szCs w:val="20"/>
                <w:color w:val="auto"/>
              </w:rPr>
            </w:pPr>
            <w:r>
              <w:rPr>
                <w:rFonts w:ascii="Times New Roman" w:cs="Times New Roman" w:eastAsia="Times New Roman" w:hAnsi="Times New Roman"/>
                <w:sz w:val="22"/>
                <w:szCs w:val="22"/>
                <w:color w:val="auto"/>
              </w:rPr>
              <w:t>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w w:val="83"/>
              </w:rPr>
              <w:t>FASB</w:t>
            </w:r>
          </w:p>
        </w:tc>
        <w:tc>
          <w:tcPr>
            <w:tcW w:w="5660" w:type="dxa"/>
            <w:vAlign w:val="bottom"/>
            <w:tcBorders>
              <w:right w:val="single" w:sz="8" w:color="auto"/>
            </w:tcBorders>
            <w:gridSpan w:val="8"/>
          </w:tcPr>
          <w:p>
            <w:pPr>
              <w:ind w:left="100"/>
              <w:spacing w:after="0" w:line="223" w:lineRule="exact"/>
              <w:rPr>
                <w:sz w:val="20"/>
                <w:szCs w:val="20"/>
                <w:color w:val="auto"/>
              </w:rPr>
            </w:pPr>
            <w:r>
              <w:rPr>
                <w:rFonts w:ascii="Times New Roman" w:cs="Times New Roman" w:eastAsia="Times New Roman" w:hAnsi="Times New Roman"/>
                <w:sz w:val="22"/>
                <w:szCs w:val="22"/>
                <w:color w:val="auto"/>
              </w:rPr>
              <w:t>ASC Topic 718 (or any successor provision) (“ASC Topic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48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gridSpan w:val="6"/>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718”), approximately equal to $770,000 (the “Initial</w:t>
            </w:r>
          </w:p>
        </w:tc>
        <w:tc>
          <w:tcPr>
            <w:tcW w:w="52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gridSpan w:val="6"/>
            <w:vMerge w:val="continue"/>
          </w:tcPr>
          <w:p>
            <w:pPr>
              <w:spacing w:after="0"/>
              <w:rPr>
                <w:sz w:val="19"/>
                <w:szCs w:val="19"/>
                <w:color w:val="auto"/>
              </w:rPr>
            </w:pPr>
          </w:p>
        </w:tc>
        <w:tc>
          <w:tcPr>
            <w:tcW w:w="1500" w:type="dxa"/>
            <w:vAlign w:val="bottom"/>
            <w:tcBorders>
              <w:right w:val="single" w:sz="8" w:color="auto"/>
            </w:tcBorders>
            <w:gridSpan w:val="5"/>
          </w:tcPr>
          <w:p>
            <w:pPr>
              <w:spacing w:after="0" w:line="223" w:lineRule="exact"/>
              <w:rPr>
                <w:sz w:val="20"/>
                <w:szCs w:val="20"/>
                <w:color w:val="auto"/>
              </w:rPr>
            </w:pPr>
            <w:r>
              <w:rPr>
                <w:rFonts w:ascii="Times New Roman" w:cs="Times New Roman" w:eastAsia="Times New Roman" w:hAnsi="Times New Roman"/>
                <w:sz w:val="22"/>
                <w:szCs w:val="22"/>
                <w:color w:val="auto"/>
              </w:rPr>
              <w:t>Option”), such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48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980" w:type="dxa"/>
            <w:vAlign w:val="bottom"/>
            <w:tcBorders>
              <w:righ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0" w:type="dxa"/>
            <w:vAlign w:val="bottom"/>
            <w:tcBorders>
              <w:right w:val="single" w:sz="8" w:color="auto"/>
            </w:tcBorders>
          </w:tcPr>
          <w:p>
            <w:pPr>
              <w:spacing w:after="0"/>
              <w:rPr>
                <w:sz w:val="20"/>
                <w:szCs w:val="20"/>
                <w:color w:val="auto"/>
              </w:rPr>
            </w:pPr>
          </w:p>
        </w:tc>
        <w:tc>
          <w:tcPr>
            <w:tcW w:w="4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140" w:type="dxa"/>
            <w:vAlign w:val="bottom"/>
            <w:tcBorders>
              <w:right w:val="single" w:sz="8" w:color="auto"/>
            </w:tcBorders>
            <w:gridSpan w:val="11"/>
          </w:tcPr>
          <w:p>
            <w:pPr>
              <w:spacing w:after="0" w:line="236" w:lineRule="exact"/>
              <w:rPr>
                <w:sz w:val="20"/>
                <w:szCs w:val="20"/>
                <w:color w:val="auto"/>
              </w:rPr>
            </w:pPr>
            <w:r>
              <w:rPr>
                <w:rFonts w:ascii="Times New Roman" w:cs="Times New Roman" w:eastAsia="Times New Roman" w:hAnsi="Times New Roman"/>
                <w:sz w:val="22"/>
                <w:szCs w:val="22"/>
                <w:color w:val="auto"/>
                <w:w w:val="99"/>
              </w:rPr>
              <w:t>Initial Option to vest as to one-third of the shares subject to the Initial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140" w:type="dxa"/>
            <w:vAlign w:val="bottom"/>
            <w:tcBorders>
              <w:right w:val="single" w:sz="8" w:color="auto"/>
            </w:tcBorders>
            <w:gridSpan w:val="11"/>
          </w:tcPr>
          <w:p>
            <w:pPr>
              <w:spacing w:after="0" w:line="243" w:lineRule="exact"/>
              <w:rPr>
                <w:sz w:val="20"/>
                <w:szCs w:val="20"/>
                <w:color w:val="auto"/>
              </w:rPr>
            </w:pPr>
            <w:r>
              <w:rPr>
                <w:rFonts w:ascii="Times New Roman" w:cs="Times New Roman" w:eastAsia="Times New Roman" w:hAnsi="Times New Roman"/>
                <w:sz w:val="22"/>
                <w:szCs w:val="22"/>
                <w:color w:val="auto"/>
                <w:w w:val="99"/>
              </w:rPr>
              <w:t>Option on the first anniversary of the grant date and in equal monthly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140" w:type="dxa"/>
            <w:vAlign w:val="bottom"/>
            <w:tcBorders>
              <w:right w:val="single" w:sz="8" w:color="auto"/>
            </w:tcBorders>
            <w:gridSpan w:val="11"/>
          </w:tcPr>
          <w:p>
            <w:pPr>
              <w:spacing w:after="0" w:line="243" w:lineRule="exact"/>
              <w:rPr>
                <w:sz w:val="20"/>
                <w:szCs w:val="20"/>
                <w:color w:val="auto"/>
              </w:rPr>
            </w:pPr>
            <w:r>
              <w:rPr>
                <w:rFonts w:ascii="Times New Roman" w:cs="Times New Roman" w:eastAsia="Times New Roman" w:hAnsi="Times New Roman"/>
                <w:sz w:val="22"/>
                <w:szCs w:val="22"/>
                <w:color w:val="auto"/>
                <w:w w:val="99"/>
              </w:rPr>
              <w:t>installments as to the remainder of the shares for two years thereafter,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140" w:type="dxa"/>
            <w:vAlign w:val="bottom"/>
            <w:tcBorders>
              <w:right w:val="single" w:sz="8" w:color="auto"/>
            </w:tcBorders>
            <w:gridSpan w:val="11"/>
          </w:tcPr>
          <w:p>
            <w:pPr>
              <w:spacing w:after="0" w:line="243" w:lineRule="exact"/>
              <w:rPr>
                <w:sz w:val="20"/>
                <w:szCs w:val="20"/>
                <w:color w:val="auto"/>
              </w:rPr>
            </w:pPr>
            <w:r>
              <w:rPr>
                <w:rFonts w:ascii="Times New Roman" w:cs="Times New Roman" w:eastAsia="Times New Roman" w:hAnsi="Times New Roman"/>
                <w:sz w:val="22"/>
                <w:szCs w:val="22"/>
                <w:color w:val="auto"/>
              </w:rPr>
              <w:t>subject to the Non-Employee Director’s continued service to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20" w:type="dxa"/>
            <w:vAlign w:val="bottom"/>
            <w:tcBorders>
              <w:right w:val="single" w:sz="8" w:color="auto"/>
            </w:tcBorders>
          </w:tcPr>
          <w:p>
            <w:pPr>
              <w:spacing w:after="0"/>
              <w:rPr>
                <w:sz w:val="24"/>
                <w:szCs w:val="24"/>
                <w:color w:val="auto"/>
              </w:rPr>
            </w:pPr>
          </w:p>
        </w:tc>
        <w:tc>
          <w:tcPr>
            <w:tcW w:w="4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22"/>
                <w:szCs w:val="22"/>
                <w:color w:val="auto"/>
              </w:rPr>
              <w:t>Board through each applicable vesting date.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0" w:type="dxa"/>
            <w:vAlign w:val="bottom"/>
            <w:tcBorders>
              <w:right w:val="single" w:sz="8" w:color="auto"/>
            </w:tcBorders>
          </w:tcPr>
          <w:p>
            <w:pPr>
              <w:spacing w:after="0"/>
              <w:rPr>
                <w:sz w:val="21"/>
                <w:szCs w:val="21"/>
                <w:color w:val="auto"/>
              </w:rPr>
            </w:pPr>
          </w:p>
        </w:tc>
        <w:tc>
          <w:tcPr>
            <w:tcW w:w="48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5"/>
        </w:trPr>
        <w:tc>
          <w:tcPr>
            <w:tcW w:w="1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0"/>
          <w:szCs w:val="20"/>
          <w:color w:val="auto"/>
        </w:rPr>
        <w:t>Exhibit 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278130</wp:posOffset>
            </wp:positionV>
            <wp:extent cx="7057390" cy="36042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6">
                      <a:extLst>
                        <a:ext uri="{28A0092B-C50C-407E-A947-70E740481C1C}"/>
                      </a:extLst>
                    </a:blip>
                    <a:srcRect/>
                    <a:stretch>
                      <a:fillRect/>
                    </a:stretch>
                  </pic:blipFill>
                  <pic:spPr bwMode="auto">
                    <a:xfrm>
                      <a:off x="0" y="0"/>
                      <a:ext cx="7057390" cy="36042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080" w:right="160"/>
        <w:spacing w:after="0" w:line="248" w:lineRule="auto"/>
        <w:rPr>
          <w:sz w:val="20"/>
          <w:szCs w:val="20"/>
          <w:color w:val="auto"/>
        </w:rPr>
      </w:pPr>
      <w:r>
        <w:rPr>
          <w:rFonts w:ascii="Times New Roman" w:cs="Times New Roman" w:eastAsia="Times New Roman" w:hAnsi="Times New Roman"/>
          <w:sz w:val="21"/>
          <w:szCs w:val="21"/>
          <w:color w:val="auto"/>
        </w:rPr>
        <w:t>On the date of each annual meeting of stockholders of the Company, each Non-Employee Director who is both serving on the Board immediately prior to and immediately following such annual meeting and who was not first elected or appointed to the Board during the calendar year of such annual meeting (including, for the avoidance of doubt, at the time of such annual meeting) shall be granted</w:t>
      </w:r>
    </w:p>
    <w:p>
      <w:pPr>
        <w:ind w:left="5080" w:right="180"/>
        <w:spacing w:after="0" w:line="233" w:lineRule="auto"/>
        <w:rPr>
          <w:sz w:val="20"/>
          <w:szCs w:val="20"/>
          <w:color w:val="auto"/>
        </w:rPr>
      </w:pPr>
      <w:r>
        <w:rPr>
          <w:rFonts w:ascii="Times New Roman" w:cs="Times New Roman" w:eastAsia="Times New Roman" w:hAnsi="Times New Roman"/>
          <w:sz w:val="22"/>
          <w:szCs w:val="22"/>
          <w:color w:val="auto"/>
        </w:rPr>
        <w:t>automatically and without the need for any further action by the Board (or compensation committee thereof), an option to purchase shares of Common Stock having a grant date fair value, determined in accordance with ASC Topic 718, approximately equal to $385,000 (the “</w:t>
      </w:r>
      <w:r>
        <w:rPr>
          <w:rFonts w:ascii="Times New Roman" w:cs="Times New Roman" w:eastAsia="Times New Roman" w:hAnsi="Times New Roman"/>
          <w:sz w:val="22"/>
          <w:szCs w:val="22"/>
          <w:u w:val="single" w:color="auto"/>
          <w:color w:val="auto"/>
        </w:rPr>
        <w:t>Annual Option</w:t>
      </w:r>
      <w:r>
        <w:rPr>
          <w:rFonts w:ascii="Times New Roman" w:cs="Times New Roman" w:eastAsia="Times New Roman" w:hAnsi="Times New Roman"/>
          <w:sz w:val="22"/>
          <w:szCs w:val="22"/>
          <w:color w:val="auto"/>
        </w:rPr>
        <w:t>”), such Annual Option to vest in full on the earlier of either (i) the first anniversary of the grant date and (ii) immediately prior to the next annual meeting of stockholders of the Company that occurs following the grant date, subject to the Non-Employee Director’s continued service to the Board through the applicable vesting date.</w:t>
      </w:r>
    </w:p>
    <w:p>
      <w:pPr>
        <w:spacing w:after="0" w:line="205" w:lineRule="exact"/>
        <w:rPr>
          <w:sz w:val="20"/>
          <w:szCs w:val="20"/>
          <w:color w:val="auto"/>
        </w:rPr>
      </w:pPr>
    </w:p>
    <w:p>
      <w:pPr>
        <w:ind w:left="5080" w:right="220"/>
        <w:spacing w:after="0" w:line="249" w:lineRule="auto"/>
        <w:rPr>
          <w:sz w:val="20"/>
          <w:szCs w:val="20"/>
          <w:color w:val="auto"/>
        </w:rPr>
      </w:pPr>
      <w:r>
        <w:rPr>
          <w:rFonts w:ascii="Times New Roman" w:cs="Times New Roman" w:eastAsia="Times New Roman" w:hAnsi="Times New Roman"/>
          <w:sz w:val="21"/>
          <w:szCs w:val="21"/>
          <w:color w:val="auto"/>
        </w:rPr>
        <w:t>Each option granted to any Non-Employee Director will have a per share exercise price equal to the fair market value of a share of Common Stock on the date of grant, have a term of no more than ten</w:t>
      </w:r>
    </w:p>
    <w:p>
      <w:pPr>
        <w:spacing w:after="0" w:line="1" w:lineRule="exact"/>
        <w:rPr>
          <w:sz w:val="20"/>
          <w:szCs w:val="20"/>
          <w:color w:val="auto"/>
        </w:rPr>
      </w:pPr>
    </w:p>
    <w:p>
      <w:pPr>
        <w:jc w:val="both"/>
        <w:ind w:left="5080" w:right="660" w:hanging="5"/>
        <w:spacing w:after="0" w:line="258" w:lineRule="auto"/>
        <w:tabs>
          <w:tab w:leader="none" w:pos="549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and will be subject to the terms and conditions of the Company’s 2019 Equity Incentive Plan (or any successor plan).</w:t>
      </w:r>
    </w:p>
    <w:p>
      <w:pPr>
        <w:spacing w:after="0" w:line="200" w:lineRule="exact"/>
        <w:rPr>
          <w:sz w:val="20"/>
          <w:szCs w:val="20"/>
          <w:color w:val="auto"/>
        </w:rPr>
      </w:pPr>
    </w:p>
    <w:p>
      <w:pPr>
        <w:spacing w:after="0" w:line="256"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22"/>
          <w:szCs w:val="22"/>
          <w:color w:val="auto"/>
        </w:rPr>
        <w:t>All cash fees shall be payable in arrears on a quarterly basis or upon the earlier resignation or removal of the Non-Employee Director and shall be prorated for any calendar quarter of partial service, based on the number of calendar days the Non-Employee Director was a member of the Board.</w:t>
      </w:r>
    </w:p>
    <w:p>
      <w:pPr>
        <w:spacing w:after="0" w:line="20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In addition, Non-Employee Directors will be reimbursed by the Company for (i) reasonable travel and other expenses incurred in connection with the Non-Employee Director’s attendance at Board and committee meetings and (ii) reasonable expenses incurred related to continuing director education, in accordance with the Company’s policies as in effect from time to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Board (or the compensation committee thereof) may amend this Non-Employee Director Compensation Policy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FIRST AMENDMENT TO LEASE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First Amendment to Lease (this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is made as of June </w:t>
      </w:r>
      <w:r>
        <w:rPr>
          <w:rFonts w:ascii="Arial" w:cs="Arial" w:eastAsia="Arial" w:hAnsi="Arial"/>
          <w:sz w:val="16"/>
          <w:szCs w:val="16"/>
          <w:color w:val="auto"/>
        </w:rPr>
        <w:t>23</w:t>
      </w:r>
      <w:r>
        <w:rPr>
          <w:rFonts w:ascii="Arial" w:cs="Arial" w:eastAsia="Arial" w:hAnsi="Arial"/>
          <w:sz w:val="18"/>
          <w:szCs w:val="18"/>
          <w:color w:val="auto"/>
        </w:rPr>
        <w:t xml:space="preserve">__, 2022, by and between </w:t>
      </w:r>
      <w:r>
        <w:rPr>
          <w:rFonts w:ascii="Arial" w:cs="Arial" w:eastAsia="Arial" w:hAnsi="Arial"/>
          <w:sz w:val="18"/>
          <w:szCs w:val="18"/>
          <w:b w:val="1"/>
          <w:bCs w:val="1"/>
          <w:color w:val="auto"/>
        </w:rPr>
        <w:t>ARE-NC REGION NO.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BEAM 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RECITALS</w:t>
      </w:r>
    </w:p>
    <w:p>
      <w:pPr>
        <w:spacing w:after="0" w:line="198" w:lineRule="exact"/>
        <w:rPr>
          <w:sz w:val="20"/>
          <w:szCs w:val="20"/>
          <w:color w:val="auto"/>
        </w:rPr>
      </w:pPr>
    </w:p>
    <w:p>
      <w:pPr>
        <w:jc w:val="both"/>
        <w:ind w:left="360" w:firstLine="756"/>
        <w:spacing w:after="0" w:line="247" w:lineRule="auto"/>
        <w:tabs>
          <w:tab w:leader="none" w:pos="1528"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Landlord and Tenant are parties to that certain Lease Agreement dated as of August 11, 2020 (the “</w:t>
      </w:r>
      <w:r>
        <w:rPr>
          <w:rFonts w:ascii="Arial" w:cs="Arial" w:eastAsia="Arial" w:hAnsi="Arial"/>
          <w:sz w:val="18"/>
          <w:szCs w:val="18"/>
          <w:b w:val="1"/>
          <w:bCs w:val="1"/>
          <w:color w:val="auto"/>
        </w:rPr>
        <w:t>Lease</w:t>
      </w:r>
      <w:r>
        <w:rPr>
          <w:rFonts w:ascii="Arial" w:cs="Arial" w:eastAsia="Arial" w:hAnsi="Arial"/>
          <w:sz w:val="18"/>
          <w:szCs w:val="18"/>
          <w:color w:val="auto"/>
        </w:rPr>
        <w:t>”), wherein Landlord leases to Tenant that to-be-constructed building containing approximately 100,000 rentable square feet (the “</w:t>
      </w:r>
      <w:r>
        <w:rPr>
          <w:rFonts w:ascii="Arial" w:cs="Arial" w:eastAsia="Arial" w:hAnsi="Arial"/>
          <w:sz w:val="18"/>
          <w:szCs w:val="18"/>
          <w:b w:val="1"/>
          <w:bCs w:val="1"/>
          <w:color w:val="auto"/>
        </w:rPr>
        <w:t>Premises</w:t>
      </w:r>
      <w:r>
        <w:rPr>
          <w:rFonts w:ascii="Arial" w:cs="Arial" w:eastAsia="Arial" w:hAnsi="Arial"/>
          <w:sz w:val="18"/>
          <w:szCs w:val="18"/>
          <w:color w:val="auto"/>
        </w:rPr>
        <w:t>”) to be known as 10 Davis Drive, Durham, North Carolina, as more particularly described in the Lease. Capitalized terms used herein without definition shall have the meanings defined for such terms in the Lease.</w:t>
      </w:r>
    </w:p>
    <w:p>
      <w:pPr>
        <w:spacing w:after="0" w:line="173" w:lineRule="exact"/>
        <w:rPr>
          <w:rFonts w:ascii="Arial" w:cs="Arial" w:eastAsia="Arial" w:hAnsi="Arial"/>
          <w:sz w:val="18"/>
          <w:szCs w:val="18"/>
          <w:b w:val="1"/>
          <w:bCs w:val="1"/>
          <w:color w:val="auto"/>
        </w:rPr>
      </w:pPr>
    </w:p>
    <w:p>
      <w:pPr>
        <w:ind w:left="1540" w:hanging="424"/>
        <w:spacing w:after="0"/>
        <w:tabs>
          <w:tab w:leader="none" w:pos="154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Landlord and Tenant desire to amend the Lease as set forth below.</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AGREEMENT</w:t>
      </w:r>
    </w:p>
    <w:p>
      <w:pPr>
        <w:spacing w:after="0" w:line="19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w:t>
      </w:r>
      <w:r>
        <w:rPr>
          <w:rFonts w:ascii="Arial" w:cs="Arial" w:eastAsia="Arial" w:hAnsi="Arial"/>
          <w:sz w:val="18"/>
          <w:szCs w:val="18"/>
          <w:b w:val="1"/>
          <w:bCs w:val="1"/>
          <w:color w:val="auto"/>
        </w:rPr>
        <w:t xml:space="preserve"> </w:t>
      </w:r>
      <w:r>
        <w:rPr>
          <w:rFonts w:ascii="Arial" w:cs="Arial" w:eastAsia="Arial" w:hAnsi="Arial"/>
          <w:sz w:val="18"/>
          <w:szCs w:val="18"/>
          <w:color w:val="auto"/>
        </w:rPr>
        <w:t>promises and conditions contained herein, and for other good and valuable consideration, the receipt and sufficiency of which are hereby acknowledged, Landlord and Tenant hereby agree as follows:</w:t>
      </w:r>
    </w:p>
    <w:p>
      <w:pPr>
        <w:spacing w:after="0" w:line="169" w:lineRule="exact"/>
        <w:rPr>
          <w:sz w:val="20"/>
          <w:szCs w:val="20"/>
          <w:color w:val="auto"/>
        </w:rPr>
      </w:pPr>
    </w:p>
    <w:p>
      <w:pPr>
        <w:ind w:left="760" w:hanging="752"/>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Letter</w:t>
      </w:r>
      <w:r>
        <w:rPr>
          <w:rFonts w:ascii="Arial" w:cs="Arial" w:eastAsia="Arial" w:hAnsi="Arial"/>
          <w:sz w:val="18"/>
          <w:szCs w:val="18"/>
          <w:color w:val="auto"/>
        </w:rPr>
        <w:t>. The Work Letter is amended as follows:</w:t>
      </w:r>
    </w:p>
    <w:p>
      <w:pPr>
        <w:spacing w:after="0" w:line="198" w:lineRule="exact"/>
        <w:rPr>
          <w:rFonts w:ascii="Arial" w:cs="Arial" w:eastAsia="Arial" w:hAnsi="Arial"/>
          <w:sz w:val="18"/>
          <w:szCs w:val="18"/>
          <w:color w:val="auto"/>
        </w:rPr>
      </w:pPr>
    </w:p>
    <w:p>
      <w:pPr>
        <w:ind w:left="1500" w:hanging="758"/>
        <w:spacing w:after="0"/>
        <w:tabs>
          <w:tab w:leader="none" w:pos="15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The penultimate paragraph of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the Work Letter which reads as following is hereby deleted in its entirety:</w:t>
      </w:r>
    </w:p>
    <w:p>
      <w:pPr>
        <w:spacing w:after="0" w:line="211" w:lineRule="exact"/>
        <w:rPr>
          <w:rFonts w:ascii="Arial" w:cs="Arial" w:eastAsia="Arial" w:hAnsi="Arial"/>
          <w:sz w:val="18"/>
          <w:szCs w:val="18"/>
          <w:color w:val="auto"/>
        </w:rPr>
      </w:pPr>
    </w:p>
    <w:p>
      <w:pPr>
        <w:jc w:val="both"/>
        <w:ind w:left="1520" w:hanging="10"/>
        <w:spacing w:after="0" w:line="244" w:lineRule="auto"/>
        <w:rPr>
          <w:rFonts w:ascii="Arial" w:cs="Arial" w:eastAsia="Arial" w:hAnsi="Arial"/>
          <w:sz w:val="18"/>
          <w:szCs w:val="18"/>
          <w:color w:val="auto"/>
        </w:rPr>
      </w:pPr>
      <w:r>
        <w:rPr>
          <w:rFonts w:ascii="Arial" w:cs="Arial" w:eastAsia="Arial" w:hAnsi="Arial"/>
          <w:sz w:val="18"/>
          <w:szCs w:val="18"/>
          <w:color w:val="auto"/>
        </w:rPr>
        <w:t>“By the date set forth on the Critical Dates Schedule for Tenant to make its election, Tenant shall notify Landlord how much Additional Tenant Improvement Allowance Tenant has elected to receive from Landlord. Such election shall be final and binding on Tenant, and may not thereafter be modified without Landlord’s consent, which may be granted or withheld in Landlord’s sole and absolute subjective discretion. The TI Allowance shall be disbursed in accordance with this Work Letter.”</w:t>
      </w:r>
    </w:p>
    <w:p>
      <w:pPr>
        <w:spacing w:after="0" w:line="162" w:lineRule="exact"/>
        <w:rPr>
          <w:rFonts w:ascii="Arial" w:cs="Arial" w:eastAsia="Arial" w:hAnsi="Arial"/>
          <w:sz w:val="18"/>
          <w:szCs w:val="18"/>
          <w:color w:val="auto"/>
        </w:rPr>
      </w:pPr>
    </w:p>
    <w:p>
      <w:pPr>
        <w:ind w:left="1500" w:hanging="758"/>
        <w:spacing w:after="0"/>
        <w:tabs>
          <w:tab w:leader="none" w:pos="15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The following paragraph is inserted in place of the paragraph that was deleted in </w:t>
      </w:r>
      <w:r>
        <w:rPr>
          <w:rFonts w:ascii="Arial" w:cs="Arial" w:eastAsia="Arial" w:hAnsi="Arial"/>
          <w:sz w:val="18"/>
          <w:szCs w:val="18"/>
          <w:u w:val="single" w:color="auto"/>
          <w:color w:val="auto"/>
        </w:rPr>
        <w:t>Section1(a)</w:t>
      </w:r>
      <w:r>
        <w:rPr>
          <w:rFonts w:ascii="Arial" w:cs="Arial" w:eastAsia="Arial" w:hAnsi="Arial"/>
          <w:sz w:val="18"/>
          <w:szCs w:val="18"/>
          <w:color w:val="auto"/>
        </w:rPr>
        <w:t xml:space="preserve"> above:</w:t>
      </w:r>
    </w:p>
    <w:p>
      <w:pPr>
        <w:spacing w:after="0" w:line="211" w:lineRule="exact"/>
        <w:rPr>
          <w:rFonts w:ascii="Arial" w:cs="Arial" w:eastAsia="Arial" w:hAnsi="Arial"/>
          <w:sz w:val="18"/>
          <w:szCs w:val="18"/>
          <w:color w:val="auto"/>
        </w:rPr>
      </w:pPr>
    </w:p>
    <w:p>
      <w:pPr>
        <w:jc w:val="both"/>
        <w:ind w:left="1520" w:hanging="10"/>
        <w:spacing w:after="0" w:line="244" w:lineRule="auto"/>
        <w:rPr>
          <w:rFonts w:ascii="Arial" w:cs="Arial" w:eastAsia="Arial" w:hAnsi="Arial"/>
          <w:sz w:val="18"/>
          <w:szCs w:val="18"/>
          <w:color w:val="auto"/>
        </w:rPr>
      </w:pPr>
      <w:r>
        <w:rPr>
          <w:rFonts w:ascii="Arial" w:cs="Arial" w:eastAsia="Arial" w:hAnsi="Arial"/>
          <w:sz w:val="18"/>
          <w:szCs w:val="18"/>
          <w:color w:val="auto"/>
        </w:rPr>
        <w:t xml:space="preserve">“Tenant shall be deemed to have elected to use the Additional Tenant Improvement Allowance (or portions thereof, as applicable) as of the date that Tenant submits a draw request to Landlord pursuant to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below for all or any portion of the Additional Tenant Improvement Allowance, provided that Tenant may not request a draw with respect to the Additional Tenant Improvement Allowance until the Tenant Improvement Allowance has been fully disbursed. The TI Allowance shall be disbursed in accordance with this Work Letter.”</w:t>
      </w:r>
    </w:p>
    <w:p>
      <w:pPr>
        <w:spacing w:after="0" w:line="162" w:lineRule="exact"/>
        <w:rPr>
          <w:rFonts w:ascii="Arial" w:cs="Arial" w:eastAsia="Arial" w:hAnsi="Arial"/>
          <w:sz w:val="18"/>
          <w:szCs w:val="18"/>
          <w:color w:val="auto"/>
        </w:rPr>
      </w:pPr>
    </w:p>
    <w:p>
      <w:pPr>
        <w:jc w:val="both"/>
        <w:ind w:left="760" w:hanging="752"/>
        <w:spacing w:after="0" w:line="247" w:lineRule="auto"/>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and Landlord are currently (a) in compliance with and shall at all times during the Term of the Lease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77" w:name="page178"/>
    <w:bookmarkEnd w:id="177"/>
    <w:p>
      <w:pPr>
        <w:jc w:val="both"/>
        <w:ind w:left="752"/>
        <w:spacing w:after="0" w:line="253" w:lineRule="auto"/>
        <w:rPr>
          <w:sz w:val="20"/>
          <w:szCs w:val="20"/>
          <w:color w:val="auto"/>
        </w:rPr>
      </w:pPr>
      <w:r>
        <w:rPr>
          <w:rFonts w:ascii="Arial" w:cs="Arial" w:eastAsia="Arial" w:hAnsi="Arial"/>
          <w:sz w:val="18"/>
          <w:szCs w:val="18"/>
          <w:color w:val="auto"/>
        </w:rPr>
        <w:t>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69" w:lineRule="exact"/>
        <w:rPr>
          <w:sz w:val="20"/>
          <w:szCs w:val="20"/>
          <w:color w:val="auto"/>
        </w:rPr>
      </w:pPr>
    </w:p>
    <w:p>
      <w:pPr>
        <w:ind w:left="752" w:hanging="752"/>
        <w:spacing w:after="0"/>
        <w:tabs>
          <w:tab w:leader="none" w:pos="752"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492" w:hanging="758"/>
        <w:spacing w:after="0" w:line="253" w:lineRule="auto"/>
        <w:tabs>
          <w:tab w:leader="none" w:pos="14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168" w:lineRule="exact"/>
        <w:rPr>
          <w:rFonts w:ascii="Arial" w:cs="Arial" w:eastAsia="Arial" w:hAnsi="Arial"/>
          <w:sz w:val="18"/>
          <w:szCs w:val="18"/>
          <w:color w:val="auto"/>
        </w:rPr>
      </w:pPr>
    </w:p>
    <w:p>
      <w:pPr>
        <w:ind w:left="1492" w:hanging="758"/>
        <w:spacing w:after="0" w:line="271" w:lineRule="auto"/>
        <w:tabs>
          <w:tab w:leader="none" w:pos="14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This First Amendment is binding upon and shall inure to the benefit of the parties hereto and their respective agents and assigns.</w:t>
      </w:r>
    </w:p>
    <w:p>
      <w:pPr>
        <w:spacing w:after="0" w:line="140" w:lineRule="exact"/>
        <w:rPr>
          <w:rFonts w:ascii="Arial" w:cs="Arial" w:eastAsia="Arial" w:hAnsi="Arial"/>
          <w:sz w:val="18"/>
          <w:szCs w:val="18"/>
          <w:color w:val="auto"/>
        </w:rPr>
      </w:pPr>
    </w:p>
    <w:p>
      <w:pPr>
        <w:jc w:val="both"/>
        <w:ind w:left="1492" w:hanging="758"/>
        <w:spacing w:after="0"/>
        <w:tabs>
          <w:tab w:leader="none" w:pos="14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This First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First Amendment and all matters related thereto, with such electronic signatures having the same legal effect as original signatures.</w:t>
      </w:r>
    </w:p>
    <w:p>
      <w:pPr>
        <w:spacing w:after="0" w:line="184" w:lineRule="exact"/>
        <w:rPr>
          <w:rFonts w:ascii="Arial" w:cs="Arial" w:eastAsia="Arial" w:hAnsi="Arial"/>
          <w:sz w:val="18"/>
          <w:szCs w:val="18"/>
          <w:color w:val="auto"/>
        </w:rPr>
      </w:pPr>
    </w:p>
    <w:p>
      <w:pPr>
        <w:jc w:val="both"/>
        <w:ind w:left="1492" w:hanging="758"/>
        <w:spacing w:after="0" w:line="244" w:lineRule="auto"/>
        <w:tabs>
          <w:tab w:leader="none" w:pos="14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Landlord and Tenant each represents and warrants that it has not dealt with any broker, agent or other 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 First Amendment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First Amendment.</w:t>
      </w:r>
    </w:p>
    <w:p>
      <w:pPr>
        <w:spacing w:after="0" w:line="162" w:lineRule="exact"/>
        <w:rPr>
          <w:rFonts w:ascii="Arial" w:cs="Arial" w:eastAsia="Arial" w:hAnsi="Arial"/>
          <w:sz w:val="18"/>
          <w:szCs w:val="18"/>
          <w:color w:val="auto"/>
        </w:rPr>
      </w:pPr>
    </w:p>
    <w:p>
      <w:pPr>
        <w:jc w:val="both"/>
        <w:ind w:left="1492" w:hanging="758"/>
        <w:spacing w:after="0" w:line="244" w:lineRule="auto"/>
        <w:tabs>
          <w:tab w:leader="none" w:pos="14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76" w:lineRule="exact"/>
        <w:rPr>
          <w:sz w:val="20"/>
          <w:szCs w:val="20"/>
          <w:color w:val="auto"/>
        </w:rPr>
      </w:pPr>
    </w:p>
    <w:p>
      <w:pPr>
        <w:ind w:left="4912"/>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1153795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78" w:name="page179"/>
    <w:bookmarkEnd w:id="178"/>
    <w:p>
      <w:pPr>
        <w:jc w:val="center"/>
        <w:ind w:right="-59"/>
        <w:spacing w:after="0"/>
        <w:rPr>
          <w:sz w:val="20"/>
          <w:szCs w:val="20"/>
          <w:color w:val="auto"/>
        </w:rPr>
      </w:pPr>
      <w:r>
        <w:rPr>
          <w:rFonts w:ascii="Arial" w:cs="Arial" w:eastAsia="Arial" w:hAnsi="Arial"/>
          <w:sz w:val="18"/>
          <w:szCs w:val="18"/>
          <w:color w:val="auto"/>
        </w:rPr>
        <w:t>IN WITNESS WHEREOF, the parties hereto have executed this First Amendment as of the day and year first above written.</w:t>
      </w:r>
    </w:p>
    <w:p>
      <w:pPr>
        <w:spacing w:after="0" w:line="200" w:lineRule="exact"/>
        <w:rPr>
          <w:sz w:val="20"/>
          <w:szCs w:val="20"/>
          <w:color w:val="auto"/>
        </w:rPr>
      </w:pPr>
    </w:p>
    <w:p>
      <w:pPr>
        <w:spacing w:after="0" w:line="228"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TENANT:</w:t>
      </w:r>
    </w:p>
    <w:p>
      <w:pPr>
        <w:spacing w:after="0" w:line="13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BEAM THERAPEUTICS INC.</w:t>
      </w:r>
      <w:r>
        <w:rPr>
          <w:rFonts w:ascii="Arial" w:cs="Arial" w:eastAsia="Arial" w:hAnsi="Arial"/>
          <w:sz w:val="18"/>
          <w:szCs w:val="18"/>
          <w:color w:val="auto"/>
        </w:rPr>
        <w:t>,</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69" w:lineRule="exact"/>
        <w:rPr>
          <w:sz w:val="20"/>
          <w:szCs w:val="20"/>
          <w:color w:val="auto"/>
        </w:rPr>
      </w:pPr>
    </w:p>
    <w:tbl>
      <w:tblPr>
        <w:tblLayout w:type="fixed"/>
        <w:tblInd w:w="376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24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/s/ John Evans</w:t>
            </w:r>
          </w:p>
        </w:tc>
      </w:tr>
      <w:tr>
        <w:trPr>
          <w:trHeight w:val="376"/>
        </w:trPr>
        <w:tc>
          <w:tcPr>
            <w:tcW w:w="400" w:type="dxa"/>
            <w:vAlign w:val="bottom"/>
          </w:tcPr>
          <w:p>
            <w:pPr>
              <w:spacing w:after="0"/>
              <w:rPr>
                <w:sz w:val="24"/>
                <w:szCs w:val="24"/>
                <w:color w:val="auto"/>
              </w:rPr>
            </w:pPr>
          </w:p>
        </w:tc>
        <w:tc>
          <w:tcPr>
            <w:tcW w:w="2400" w:type="dxa"/>
            <w:vAlign w:val="bottom"/>
          </w:tcPr>
          <w:p>
            <w:pPr>
              <w:ind w:left="1240"/>
              <w:spacing w:after="0"/>
              <w:rPr>
                <w:sz w:val="20"/>
                <w:szCs w:val="20"/>
                <w:color w:val="auto"/>
              </w:rPr>
            </w:pPr>
            <w:r>
              <w:rPr>
                <w:rFonts w:ascii="Arial" w:cs="Arial" w:eastAsia="Arial" w:hAnsi="Arial"/>
                <w:sz w:val="18"/>
                <w:szCs w:val="18"/>
                <w:color w:val="auto"/>
              </w:rPr>
              <w:t>John Evans</w:t>
            </w:r>
          </w:p>
        </w:tc>
      </w:tr>
      <w:tr>
        <w:trPr>
          <w:trHeight w:val="306"/>
        </w:trPr>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24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81" w:lineRule="exact"/>
        <w:rPr>
          <w:sz w:val="20"/>
          <w:szCs w:val="20"/>
          <w:color w:val="auto"/>
        </w:rPr>
      </w:pPr>
    </w:p>
    <w:p>
      <w:pPr>
        <w:ind w:left="3960" w:hanging="208"/>
        <w:spacing w:after="0"/>
        <w:tabs>
          <w:tab w:leader="none" w:pos="3960" w:val="left"/>
        </w:tabs>
        <w:numPr>
          <w:ilvl w:val="0"/>
          <w:numId w:val="80"/>
        </w:numPr>
        <w:rPr>
          <w:rFonts w:ascii="MS PGothic" w:cs="MS PGothic" w:eastAsia="MS PGothic" w:hAnsi="MS PGothic"/>
          <w:sz w:val="18"/>
          <w:szCs w:val="18"/>
          <w:color w:val="auto"/>
        </w:rPr>
      </w:pPr>
      <w:r>
        <w:rPr>
          <w:rFonts w:ascii="Arial" w:cs="Arial" w:eastAsia="Arial" w:hAnsi="Arial"/>
          <w:sz w:val="18"/>
          <w:szCs w:val="18"/>
          <w:color w:val="auto"/>
        </w:rPr>
        <w:t>I hereby certify that the signature, name, and title above are my signature, name and title.</w:t>
      </w:r>
    </w:p>
    <w:p>
      <w:pPr>
        <w:spacing w:after="0" w:line="200" w:lineRule="exact"/>
        <w:rPr>
          <w:sz w:val="20"/>
          <w:szCs w:val="20"/>
          <w:color w:val="auto"/>
        </w:rPr>
      </w:pPr>
    </w:p>
    <w:p>
      <w:pPr>
        <w:spacing w:after="0" w:line="28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LANDLORD:</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ARE-NC REGION NO. 14, LLC</w:t>
      </w:r>
      <w:r>
        <w:rPr>
          <w:rFonts w:ascii="Arial" w:cs="Arial" w:eastAsia="Arial" w:hAnsi="Arial"/>
          <w:sz w:val="18"/>
          <w:szCs w:val="18"/>
          <w:color w:val="auto"/>
        </w:rPr>
        <w:t>,</w:t>
      </w:r>
    </w:p>
    <w:p>
      <w:pPr>
        <w:spacing w:after="0" w:line="13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9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By: ALEXANDRIA REAL ESTATE EQUITIES, L.P.,</w:t>
      </w:r>
    </w:p>
    <w:p>
      <w:pPr>
        <w:spacing w:after="0" w:line="13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 Delaware limited partnership, managing member</w:t>
      </w:r>
    </w:p>
    <w:p>
      <w:pPr>
        <w:spacing w:after="0" w:line="200" w:lineRule="exact"/>
        <w:rPr>
          <w:sz w:val="20"/>
          <w:szCs w:val="20"/>
          <w:color w:val="auto"/>
        </w:rPr>
      </w:pPr>
    </w:p>
    <w:p>
      <w:pPr>
        <w:spacing w:after="0" w:line="29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ARE-QRS CORP.,</w:t>
      </w:r>
    </w:p>
    <w:p>
      <w:pPr>
        <w:spacing w:after="0" w:line="1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Maryland corporation,</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ind w:left="4500"/>
              <w:spacing w:after="0"/>
              <w:rPr>
                <w:sz w:val="20"/>
                <w:szCs w:val="20"/>
                <w:color w:val="auto"/>
              </w:rPr>
            </w:pPr>
            <w:r>
              <w:rPr>
                <w:rFonts w:ascii="Arial" w:cs="Arial" w:eastAsia="Arial" w:hAnsi="Arial"/>
                <w:sz w:val="18"/>
                <w:szCs w:val="18"/>
                <w:color w:val="auto"/>
              </w:rPr>
              <w:t>By:</w:t>
            </w:r>
          </w:p>
        </w:tc>
        <w:tc>
          <w:tcPr>
            <w:tcW w:w="24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 Mark Hikin</w:t>
            </w:r>
          </w:p>
        </w:tc>
        <w:tc>
          <w:tcPr>
            <w:tcW w:w="3940" w:type="dxa"/>
            <w:vAlign w:val="bottom"/>
            <w:gridSpan w:val="2"/>
          </w:tcPr>
          <w:p>
            <w:pPr>
              <w:spacing w:after="0"/>
              <w:rPr>
                <w:sz w:val="18"/>
                <w:szCs w:val="18"/>
                <w:color w:val="auto"/>
              </w:rPr>
            </w:pPr>
          </w:p>
        </w:tc>
      </w:tr>
      <w:tr>
        <w:trPr>
          <w:trHeight w:val="375"/>
        </w:trPr>
        <w:tc>
          <w:tcPr>
            <w:tcW w:w="4900" w:type="dxa"/>
            <w:vAlign w:val="bottom"/>
          </w:tcPr>
          <w:p>
            <w:pPr>
              <w:spacing w:after="0"/>
              <w:rPr>
                <w:sz w:val="24"/>
                <w:szCs w:val="24"/>
                <w:color w:val="auto"/>
              </w:rPr>
            </w:pPr>
          </w:p>
        </w:tc>
        <w:tc>
          <w:tcPr>
            <w:tcW w:w="6340" w:type="dxa"/>
            <w:vAlign w:val="bottom"/>
            <w:gridSpan w:val="3"/>
          </w:tcPr>
          <w:p>
            <w:pPr>
              <w:ind w:left="1160"/>
              <w:spacing w:after="0"/>
              <w:rPr>
                <w:sz w:val="20"/>
                <w:szCs w:val="20"/>
                <w:color w:val="auto"/>
              </w:rPr>
            </w:pPr>
            <w:r>
              <w:rPr>
                <w:rFonts w:ascii="Arial" w:cs="Arial" w:eastAsia="Arial" w:hAnsi="Arial"/>
                <w:sz w:val="18"/>
                <w:szCs w:val="18"/>
                <w:color w:val="auto"/>
              </w:rPr>
              <w:t>Mark Hikin</w:t>
            </w:r>
          </w:p>
        </w:tc>
      </w:tr>
      <w:tr>
        <w:trPr>
          <w:trHeight w:val="307"/>
        </w:trPr>
        <w:tc>
          <w:tcPr>
            <w:tcW w:w="4900" w:type="dxa"/>
            <w:vAlign w:val="bottom"/>
          </w:tcPr>
          <w:p>
            <w:pPr>
              <w:ind w:left="4500"/>
              <w:spacing w:after="0"/>
              <w:rPr>
                <w:sz w:val="20"/>
                <w:szCs w:val="20"/>
                <w:color w:val="auto"/>
              </w:rPr>
            </w:pPr>
            <w:r>
              <w:rPr>
                <w:rFonts w:ascii="Arial" w:cs="Arial" w:eastAsia="Arial" w:hAnsi="Arial"/>
                <w:sz w:val="18"/>
                <w:szCs w:val="18"/>
                <w:color w:val="auto"/>
              </w:rPr>
              <w:t>Its:</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VP Real Estate Legal Affairs</w:t>
            </w:r>
          </w:p>
        </w:tc>
      </w:tr>
      <w:tr>
        <w:trPr>
          <w:trHeight w:val="1918"/>
        </w:trPr>
        <w:tc>
          <w:tcPr>
            <w:tcW w:w="4900" w:type="dxa"/>
            <w:vAlign w:val="bottom"/>
            <w:tcBorders>
              <w:bottom w:val="single" w:sz="8" w:color="9A9A9A"/>
            </w:tcBorders>
          </w:tcPr>
          <w:p>
            <w:pPr>
              <w:spacing w:after="0"/>
              <w:rPr>
                <w:sz w:val="24"/>
                <w:szCs w:val="24"/>
                <w:color w:val="auto"/>
              </w:rPr>
            </w:pPr>
          </w:p>
        </w:tc>
        <w:tc>
          <w:tcPr>
            <w:tcW w:w="2400" w:type="dxa"/>
            <w:vAlign w:val="bottom"/>
            <w:tcBorders>
              <w:top w:val="single" w:sz="8" w:color="auto"/>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SECOND AMENDMENT TO LEASE</w:t>
      </w:r>
    </w:p>
    <w:p>
      <w:pPr>
        <w:spacing w:after="0" w:line="77" w:lineRule="exact"/>
        <w:rPr>
          <w:sz w:val="20"/>
          <w:szCs w:val="20"/>
          <w:color w:val="auto"/>
        </w:rPr>
      </w:pPr>
    </w:p>
    <w:p>
      <w:pPr>
        <w:ind w:right="20" w:firstLine="758"/>
        <w:spacing w:after="0" w:line="281" w:lineRule="auto"/>
        <w:rPr>
          <w:sz w:val="20"/>
          <w:szCs w:val="20"/>
          <w:color w:val="auto"/>
        </w:rPr>
      </w:pPr>
      <w:r>
        <w:rPr>
          <w:rFonts w:ascii="Arial" w:cs="Arial" w:eastAsia="Arial" w:hAnsi="Arial"/>
          <w:sz w:val="18"/>
          <w:szCs w:val="18"/>
          <w:color w:val="auto"/>
        </w:rPr>
        <w:t>This Second Amendment to Lease (this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is made as of March 31, 2023, by and between </w:t>
      </w:r>
      <w:r>
        <w:rPr>
          <w:rFonts w:ascii="Arial" w:cs="Arial" w:eastAsia="Arial" w:hAnsi="Arial"/>
          <w:sz w:val="18"/>
          <w:szCs w:val="18"/>
          <w:b w:val="1"/>
          <w:bCs w:val="1"/>
          <w:color w:val="auto"/>
        </w:rPr>
        <w:t>ARE-NC REGION</w:t>
      </w:r>
      <w:r>
        <w:rPr>
          <w:rFonts w:ascii="Arial" w:cs="Arial" w:eastAsia="Arial" w:hAnsi="Arial"/>
          <w:sz w:val="18"/>
          <w:szCs w:val="18"/>
          <w:color w:val="auto"/>
        </w:rPr>
        <w:t xml:space="preserve"> </w:t>
      </w:r>
      <w:r>
        <w:rPr>
          <w:rFonts w:ascii="Arial" w:cs="Arial" w:eastAsia="Arial" w:hAnsi="Arial"/>
          <w:sz w:val="18"/>
          <w:szCs w:val="18"/>
          <w:b w:val="1"/>
          <w:bCs w:val="1"/>
          <w:color w:val="auto"/>
        </w:rPr>
        <w:t>NO. 14,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BEAM 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77" w:lineRule="exact"/>
        <w:rPr>
          <w:sz w:val="20"/>
          <w:szCs w:val="20"/>
          <w:color w:val="auto"/>
        </w:rPr>
      </w:pPr>
    </w:p>
    <w:p>
      <w:pPr>
        <w:jc w:val="both"/>
        <w:ind w:right="20" w:firstLine="751"/>
        <w:spacing w:after="0" w:line="247" w:lineRule="auto"/>
        <w:tabs>
          <w:tab w:leader="none" w:pos="1143"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Landlord and Tenant are parties to that certain Lease Agreement dated as of August 11, 2020, as amended by that certain First Amendment to Lease dated as of June 23, 2022 (as amended, the “</w:t>
      </w:r>
      <w:r>
        <w:rPr>
          <w:rFonts w:ascii="Arial" w:cs="Arial" w:eastAsia="Arial" w:hAnsi="Arial"/>
          <w:sz w:val="18"/>
          <w:szCs w:val="18"/>
          <w:b w:val="1"/>
          <w:bCs w:val="1"/>
          <w:color w:val="auto"/>
        </w:rPr>
        <w:t>Lease</w:t>
      </w:r>
      <w:r>
        <w:rPr>
          <w:rFonts w:ascii="Arial" w:cs="Arial" w:eastAsia="Arial" w:hAnsi="Arial"/>
          <w:sz w:val="18"/>
          <w:szCs w:val="18"/>
          <w:color w:val="auto"/>
        </w:rPr>
        <w:t>”), wherein Landlord leases to Tenant that building containing approximately 100,000 rentable square feet (the “</w:t>
      </w:r>
      <w:r>
        <w:rPr>
          <w:rFonts w:ascii="Arial" w:cs="Arial" w:eastAsia="Arial" w:hAnsi="Arial"/>
          <w:sz w:val="18"/>
          <w:szCs w:val="18"/>
          <w:b w:val="1"/>
          <w:bCs w:val="1"/>
          <w:color w:val="auto"/>
        </w:rPr>
        <w:t>Premises</w:t>
      </w:r>
      <w:r>
        <w:rPr>
          <w:rFonts w:ascii="Arial" w:cs="Arial" w:eastAsia="Arial" w:hAnsi="Arial"/>
          <w:sz w:val="18"/>
          <w:szCs w:val="18"/>
          <w:color w:val="auto"/>
        </w:rPr>
        <w:t>”) to be known as 10 Davis Drive, Durham, North Carolina, as more particularly described in the Lease. Capitalized terms used herein without definition shall have the meanings defined for such terms in the Lease.</w:t>
      </w:r>
    </w:p>
    <w:p>
      <w:pPr>
        <w:spacing w:after="0" w:line="214" w:lineRule="exact"/>
        <w:rPr>
          <w:rFonts w:ascii="Arial" w:cs="Arial" w:eastAsia="Arial" w:hAnsi="Arial"/>
          <w:sz w:val="18"/>
          <w:szCs w:val="18"/>
          <w:b w:val="1"/>
          <w:bCs w:val="1"/>
          <w:color w:val="auto"/>
        </w:rPr>
      </w:pPr>
    </w:p>
    <w:p>
      <w:pPr>
        <w:jc w:val="both"/>
        <w:ind w:right="20" w:firstLine="766"/>
        <w:spacing w:after="0" w:line="253" w:lineRule="auto"/>
        <w:tabs>
          <w:tab w:leader="none" w:pos="1158" w:val="left"/>
        </w:tabs>
        <w:numPr>
          <w:ilvl w:val="2"/>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The (i) Architect re-measured the Building as contemplated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Lease confirming the rentable square footage of the Building as 100,000 rentable square feet, and (ii) the square footage of the existing Project Amenities has been determined, resulting in an adjustment to the rentable square footage of the Project.</w:t>
      </w:r>
    </w:p>
    <w:p>
      <w:pPr>
        <w:spacing w:after="0" w:line="276" w:lineRule="exact"/>
        <w:rPr>
          <w:rFonts w:ascii="Arial" w:cs="Arial" w:eastAsia="Arial" w:hAnsi="Arial"/>
          <w:sz w:val="18"/>
          <w:szCs w:val="18"/>
          <w:b w:val="1"/>
          <w:bCs w:val="1"/>
          <w:color w:val="auto"/>
        </w:rPr>
      </w:pPr>
    </w:p>
    <w:p>
      <w:pPr>
        <w:ind w:left="800" w:hanging="392"/>
        <w:spacing w:after="0"/>
        <w:tabs>
          <w:tab w:leader="none" w:pos="80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Landlord and Tenant desire to amend the Lease as set forth below.</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AGREEMENT</w:t>
      </w:r>
    </w:p>
    <w:p>
      <w:pPr>
        <w:spacing w:after="0" w:line="131" w:lineRule="exact"/>
        <w:rPr>
          <w:sz w:val="20"/>
          <w:szCs w:val="20"/>
          <w:color w:val="auto"/>
        </w:rPr>
      </w:pPr>
    </w:p>
    <w:p>
      <w:pPr>
        <w:jc w:val="both"/>
        <w:ind w:right="20" w:firstLine="758"/>
        <w:spacing w:after="0" w:line="253"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w:t>
      </w:r>
      <w:r>
        <w:rPr>
          <w:rFonts w:ascii="Arial" w:cs="Arial" w:eastAsia="Arial" w:hAnsi="Arial"/>
          <w:sz w:val="18"/>
          <w:szCs w:val="18"/>
          <w:b w:val="1"/>
          <w:bCs w:val="1"/>
          <w:color w:val="auto"/>
        </w:rPr>
        <w:t xml:space="preserve"> </w:t>
      </w:r>
      <w:r>
        <w:rPr>
          <w:rFonts w:ascii="Arial" w:cs="Arial" w:eastAsia="Arial" w:hAnsi="Arial"/>
          <w:sz w:val="18"/>
          <w:szCs w:val="18"/>
          <w:color w:val="auto"/>
        </w:rPr>
        <w:t>promises and conditions contained herein, and for other good and valuable consideration, the receipt and sufficiency of which are hereby acknowledged, Landlord and Tenant hereby agree as follows:</w:t>
      </w:r>
    </w:p>
    <w:p>
      <w:pPr>
        <w:spacing w:after="0" w:line="196" w:lineRule="exact"/>
        <w:rPr>
          <w:sz w:val="20"/>
          <w:szCs w:val="20"/>
          <w:color w:val="auto"/>
        </w:rPr>
      </w:pPr>
    </w:p>
    <w:p>
      <w:pPr>
        <w:jc w:val="both"/>
        <w:ind w:left="780" w:right="20" w:hanging="757"/>
        <w:spacing w:after="0" w:line="247" w:lineRule="auto"/>
        <w:tabs>
          <w:tab w:leader="none" w:pos="780" w:val="left"/>
        </w:tabs>
        <w:numPr>
          <w:ilvl w:val="1"/>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Commencement Date: Rent Commencement Date: Opex Commencement Date</w:t>
      </w:r>
      <w:r>
        <w:rPr>
          <w:rFonts w:ascii="Arial" w:cs="Arial" w:eastAsia="Arial" w:hAnsi="Arial"/>
          <w:sz w:val="18"/>
          <w:szCs w:val="18"/>
          <w:color w:val="auto"/>
        </w:rPr>
        <w:t>. Landlord and Tenant hereby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that, notwithstanding anything to the contrary contained in the Lease, (a) the “</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occurred on October 28, 2021, (b) the </w:t>
      </w:r>
      <w:r>
        <w:rPr>
          <w:rFonts w:ascii="Calibri" w:cs="Calibri" w:eastAsia="Calibri" w:hAnsi="Calibri"/>
          <w:sz w:val="19"/>
          <w:szCs w:val="19"/>
          <w:color w:val="auto"/>
        </w:rPr>
        <w:t>“</w:t>
      </w:r>
      <w:r>
        <w:rPr>
          <w:rFonts w:ascii="Arial" w:cs="Arial" w:eastAsia="Arial" w:hAnsi="Arial"/>
          <w:sz w:val="18"/>
          <w:szCs w:val="18"/>
          <w:b w:val="1"/>
          <w:bCs w:val="1"/>
          <w:color w:val="auto"/>
        </w:rPr>
        <w:t>Rent Commencement Date</w:t>
      </w:r>
      <w:r>
        <w:rPr>
          <w:rFonts w:ascii="Arial" w:cs="Arial" w:eastAsia="Arial" w:hAnsi="Arial"/>
          <w:sz w:val="18"/>
          <w:szCs w:val="18"/>
          <w:color w:val="auto"/>
        </w:rPr>
        <w:t>” occurred on October 12, 2022, (c) notwithstanding that the Rent Commencement Date occurred on October 12, 2022, because of certain Base Rent abatement to which Tenant was entitled under the Lease, Tenant was not required to commence paying Base Rent under the Lease until December 20, 2022, (d) the “</w:t>
      </w:r>
      <w:r>
        <w:rPr>
          <w:rFonts w:ascii="Arial" w:cs="Arial" w:eastAsia="Arial" w:hAnsi="Arial"/>
          <w:sz w:val="18"/>
          <w:szCs w:val="18"/>
          <w:b w:val="1"/>
          <w:bCs w:val="1"/>
          <w:color w:val="auto"/>
        </w:rPr>
        <w:t>OPEX</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occurred on October 28, 2022, and (e) the expiration date of the Lease is October 31, 2037.</w:t>
      </w:r>
    </w:p>
    <w:p>
      <w:pPr>
        <w:spacing w:after="0" w:line="127" w:lineRule="exact"/>
        <w:rPr>
          <w:rFonts w:ascii="Arial" w:cs="Arial" w:eastAsia="Arial" w:hAnsi="Arial"/>
          <w:sz w:val="18"/>
          <w:szCs w:val="18"/>
          <w:color w:val="auto"/>
        </w:rPr>
      </w:pPr>
    </w:p>
    <w:p>
      <w:pPr>
        <w:jc w:val="both"/>
        <w:ind w:left="780" w:right="20" w:hanging="772"/>
        <w:spacing w:after="0" w:line="257"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Landlord and Tenant hereby agree that, commencing on October 12, 2022, the defined terms “</w:t>
      </w:r>
      <w:r>
        <w:rPr>
          <w:rFonts w:ascii="Arial" w:cs="Arial" w:eastAsia="Arial" w:hAnsi="Arial"/>
          <w:sz w:val="18"/>
          <w:szCs w:val="18"/>
          <w:b w:val="1"/>
          <w:bCs w:val="1"/>
          <w:color w:val="auto"/>
        </w:rPr>
        <w:t>Premises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Rentable Area of Premises and Building</w:t>
      </w:r>
      <w:r>
        <w:rPr>
          <w:rFonts w:ascii="Arial" w:cs="Arial" w:eastAsia="Arial" w:hAnsi="Arial"/>
          <w:sz w:val="18"/>
          <w:szCs w:val="18"/>
          <w:color w:val="auto"/>
        </w:rPr>
        <w:t>,” “</w:t>
      </w:r>
      <w:r>
        <w:rPr>
          <w:rFonts w:ascii="Arial" w:cs="Arial" w:eastAsia="Arial" w:hAnsi="Arial"/>
          <w:sz w:val="18"/>
          <w:szCs w:val="18"/>
          <w:b w:val="1"/>
          <w:bCs w:val="1"/>
          <w:color w:val="auto"/>
        </w:rPr>
        <w:t>Rentable Area of Project</w:t>
      </w:r>
      <w:r>
        <w:rPr>
          <w:rFonts w:ascii="Arial" w:cs="Arial" w:eastAsia="Arial" w:hAnsi="Arial"/>
          <w:sz w:val="18"/>
          <w:szCs w:val="18"/>
          <w:color w:val="auto"/>
        </w:rPr>
        <w:t>” and “</w:t>
      </w:r>
      <w:r>
        <w:rPr>
          <w:rFonts w:ascii="Arial" w:cs="Arial" w:eastAsia="Arial" w:hAnsi="Arial"/>
          <w:sz w:val="18"/>
          <w:szCs w:val="18"/>
          <w:b w:val="1"/>
          <w:bCs w:val="1"/>
          <w:color w:val="auto"/>
        </w:rPr>
        <w:t>Building's Share of Operating Expenses of</w:t>
      </w:r>
      <w:r>
        <w:rPr>
          <w:rFonts w:ascii="Arial" w:cs="Arial" w:eastAsia="Arial" w:hAnsi="Arial"/>
          <w:sz w:val="18"/>
          <w:szCs w:val="18"/>
          <w:color w:val="auto"/>
        </w:rPr>
        <w:t xml:space="preserve"> </w:t>
      </w:r>
      <w:r>
        <w:rPr>
          <w:rFonts w:ascii="Arial" w:cs="Arial" w:eastAsia="Arial" w:hAnsi="Arial"/>
          <w:sz w:val="18"/>
          <w:szCs w:val="18"/>
          <w:b w:val="1"/>
          <w:bCs w:val="1"/>
          <w:color w:val="auto"/>
        </w:rPr>
        <w:t>Building</w:t>
      </w:r>
      <w:r>
        <w:rPr>
          <w:rFonts w:ascii="Arial" w:cs="Arial" w:eastAsia="Arial" w:hAnsi="Arial"/>
          <w:sz w:val="18"/>
          <w:szCs w:val="18"/>
          <w:color w:val="auto"/>
        </w:rPr>
        <w:t>” on page 1 of the Lease are hereby deleted and replaced with the following:</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The entire Building, containing approximately 100,000 rentable square feet,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Area of Premises and Building</w:t>
      </w:r>
      <w:r>
        <w:rPr>
          <w:rFonts w:ascii="Arial" w:cs="Arial" w:eastAsia="Arial" w:hAnsi="Arial"/>
          <w:sz w:val="18"/>
          <w:szCs w:val="18"/>
          <w:color w:val="auto"/>
        </w:rPr>
        <w:t>: 100,000 sq. ft.”</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Area of Project</w:t>
      </w:r>
      <w:r>
        <w:rPr>
          <w:rFonts w:ascii="Arial" w:cs="Arial" w:eastAsia="Arial" w:hAnsi="Arial"/>
          <w:sz w:val="18"/>
          <w:szCs w:val="18"/>
          <w:color w:val="auto"/>
        </w:rPr>
        <w:t>: 348,890 sq. ft.”</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Building's Share of Operating Expenses of Project</w:t>
      </w:r>
      <w:r>
        <w:rPr>
          <w:rFonts w:ascii="Arial" w:cs="Arial" w:eastAsia="Arial" w:hAnsi="Arial"/>
          <w:sz w:val="18"/>
          <w:szCs w:val="18"/>
          <w:color w:val="auto"/>
        </w:rPr>
        <w:t>: 28.66%”</w:t>
      </w:r>
    </w:p>
    <w:p>
      <w:pPr>
        <w:spacing w:after="0" w:line="131" w:lineRule="exact"/>
        <w:rPr>
          <w:sz w:val="20"/>
          <w:szCs w:val="20"/>
          <w:color w:val="auto"/>
        </w:rPr>
      </w:pPr>
    </w:p>
    <w:p>
      <w:pPr>
        <w:ind w:left="780" w:right="20" w:hanging="772"/>
        <w:spacing w:after="0" w:line="271"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Potential Building Expansion</w:t>
      </w:r>
      <w:r>
        <w:rPr>
          <w:rFonts w:ascii="Arial" w:cs="Arial" w:eastAsia="Arial" w:hAnsi="Arial"/>
          <w:sz w:val="18"/>
          <w:szCs w:val="18"/>
          <w:color w:val="auto"/>
        </w:rPr>
        <w:t>. Landlord and Tenant acknowledge and agree that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43(v)</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is hereby deleted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and is of no further force or effect.</w:t>
      </w:r>
    </w:p>
    <w:p>
      <w:pPr>
        <w:spacing w:after="0" w:line="140" w:lineRule="exact"/>
        <w:rPr>
          <w:rFonts w:ascii="Arial" w:cs="Arial" w:eastAsia="Arial" w:hAnsi="Arial"/>
          <w:sz w:val="18"/>
          <w:szCs w:val="18"/>
          <w:color w:val="auto"/>
        </w:rPr>
      </w:pPr>
    </w:p>
    <w:p>
      <w:pPr>
        <w:ind w:left="780" w:right="20" w:hanging="772"/>
        <w:spacing w:after="0" w:line="253"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Reconciliation of Tl Costs and Total Proiect Costs</w:t>
      </w:r>
      <w:r>
        <w:rPr>
          <w:rFonts w:ascii="Arial" w:cs="Arial" w:eastAsia="Arial" w:hAnsi="Arial"/>
          <w:sz w:val="18"/>
          <w:szCs w:val="18"/>
          <w:color w:val="auto"/>
        </w:rPr>
        <w:t>. Landlord and Tenant acknowledge and agree that (a) as of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Second Amendment, Landlord is in the process of conducting</w:t>
      </w:r>
    </w:p>
    <w:p>
      <w:pPr>
        <w:ind w:left="8480"/>
        <w:spacing w:after="0" w:line="208" w:lineRule="auto"/>
        <w:rPr>
          <w:sz w:val="20"/>
          <w:szCs w:val="20"/>
          <w:color w:val="auto"/>
        </w:rPr>
      </w:pPr>
      <w:r>
        <w:rPr>
          <w:rFonts w:ascii="Calibri" w:cs="Calibri" w:eastAsia="Calibri" w:hAnsi="Calibri"/>
          <w:sz w:val="11"/>
          <w:szCs w:val="11"/>
          <w:color w:val="auto"/>
        </w:rPr>
        <w:t xml:space="preserve">Copyright </w:t>
      </w:r>
      <w:r>
        <w:rPr>
          <w:rFonts w:ascii="Calibri" w:cs="Calibri" w:eastAsia="Calibri" w:hAnsi="Calibri"/>
          <w:sz w:val="17"/>
          <w:szCs w:val="17"/>
          <w:color w:val="auto"/>
        </w:rPr>
        <w:t>0</w:t>
      </w:r>
      <w:r>
        <w:rPr>
          <w:rFonts w:ascii="Calibri" w:cs="Calibri" w:eastAsia="Calibri" w:hAnsi="Calibri"/>
          <w:sz w:val="11"/>
          <w:szCs w:val="11"/>
          <w:color w:val="auto"/>
        </w:rPr>
        <w:t xml:space="preserve"> 2005, Alexandria Real Estate Equites, Inc. ALL</w:t>
      </w:r>
    </w:p>
    <w:p>
      <w:pPr>
        <w:spacing w:after="0" w:line="10" w:lineRule="exact"/>
        <w:rPr>
          <w:sz w:val="20"/>
          <w:szCs w:val="20"/>
          <w:color w:val="auto"/>
        </w:rPr>
      </w:pPr>
    </w:p>
    <w:p>
      <w:pPr>
        <w:ind w:left="8600"/>
        <w:spacing w:after="0"/>
        <w:rPr>
          <w:sz w:val="20"/>
          <w:szCs w:val="20"/>
          <w:color w:val="auto"/>
        </w:rPr>
      </w:pPr>
      <w:r>
        <w:rPr>
          <w:rFonts w:ascii="Calibri" w:cs="Calibri" w:eastAsia="Calibri" w:hAnsi="Calibri"/>
          <w:sz w:val="11"/>
          <w:szCs w:val="11"/>
          <w:color w:val="auto"/>
        </w:rPr>
        <w:t xml:space="preserve">RIGHTS RESERVED. Confdental and Proprietary </w:t>
      </w:r>
      <w:r>
        <w:rPr>
          <w:rFonts w:ascii="Calibri" w:cs="Calibri" w:eastAsia="Calibri" w:hAnsi="Calibri"/>
          <w:sz w:val="5"/>
          <w:szCs w:val="5"/>
          <w:color w:val="auto"/>
        </w:rPr>
        <w:t>—</w:t>
      </w:r>
      <w:r>
        <w:rPr>
          <w:rFonts w:ascii="Calibri" w:cs="Calibri" w:eastAsia="Calibri" w:hAnsi="Calibri"/>
          <w:sz w:val="11"/>
          <w:szCs w:val="11"/>
          <w:color w:val="auto"/>
        </w:rPr>
        <w:t xml:space="preserve"> Do </w:t>
      </w:r>
      <w:r>
        <w:rPr>
          <w:rFonts w:ascii="Calibri" w:cs="Calibri" w:eastAsia="Calibri" w:hAnsi="Calibri"/>
          <w:sz w:val="8"/>
          <w:szCs w:val="8"/>
          <w:color w:val="auto"/>
        </w:rPr>
        <w:t>Not</w:t>
      </w:r>
    </w:p>
    <w:p>
      <w:pPr>
        <w:spacing w:after="0" w:line="14" w:lineRule="exact"/>
        <w:rPr>
          <w:sz w:val="20"/>
          <w:szCs w:val="20"/>
          <w:color w:val="auto"/>
        </w:rPr>
      </w:pPr>
    </w:p>
    <w:p>
      <w:pPr>
        <w:ind w:left="4800"/>
        <w:spacing w:after="0"/>
        <w:rPr>
          <w:sz w:val="20"/>
          <w:szCs w:val="20"/>
          <w:color w:val="auto"/>
        </w:rPr>
      </w:pPr>
      <w:r>
        <w:rPr>
          <w:rFonts w:ascii="Calibri" w:cs="Calibri" w:eastAsia="Calibri" w:hAnsi="Calibri"/>
          <w:sz w:val="11"/>
          <w:szCs w:val="11"/>
          <w:color w:val="auto"/>
        </w:rPr>
        <w:t xml:space="preserve">A L E XA </w:t>
      </w:r>
      <w:r>
        <w:rPr>
          <w:rFonts w:ascii="Calibri" w:cs="Calibri" w:eastAsia="Calibri" w:hAnsi="Calibri"/>
          <w:sz w:val="8"/>
          <w:szCs w:val="8"/>
          <w:color w:val="auto"/>
        </w:rPr>
        <w:t>N</w:t>
      </w:r>
      <w:r>
        <w:rPr>
          <w:rFonts w:ascii="Calibri" w:cs="Calibri" w:eastAsia="Calibri" w:hAnsi="Calibri"/>
          <w:sz w:val="11"/>
          <w:szCs w:val="11"/>
          <w:color w:val="auto"/>
        </w:rPr>
        <w:t xml:space="preserve"> D R </w:t>
      </w:r>
      <w:r>
        <w:rPr>
          <w:rFonts w:ascii="Calibri" w:cs="Calibri" w:eastAsia="Calibri" w:hAnsi="Calibri"/>
          <w:sz w:val="5"/>
          <w:szCs w:val="5"/>
          <w:color w:val="auto"/>
        </w:rPr>
        <w:t>I</w:t>
      </w:r>
      <w:r>
        <w:rPr>
          <w:rFonts w:ascii="Calibri" w:cs="Calibri" w:eastAsia="Calibri" w:hAnsi="Calibri"/>
          <w:sz w:val="11"/>
          <w:szCs w:val="11"/>
          <w:color w:val="auto"/>
        </w:rPr>
        <w:t xml:space="preserve"> </w:t>
      </w:r>
      <w:r>
        <w:rPr>
          <w:rFonts w:ascii="Calibri" w:cs="Calibri" w:eastAsia="Calibri" w:hAnsi="Calibri"/>
          <w:sz w:val="8"/>
          <w:szCs w:val="8"/>
          <w:color w:val="auto"/>
        </w:rPr>
        <w:t>A.</w:t>
      </w:r>
      <w:r>
        <w:rPr>
          <w:rFonts w:ascii="Calibri" w:cs="Calibri" w:eastAsia="Calibri" w:hAnsi="Calibri"/>
          <w:sz w:val="11"/>
          <w:szCs w:val="11"/>
          <w:color w:val="auto"/>
        </w:rPr>
        <w:t xml:space="preserve"> Copy or Distribute. Alexandria and the Alexandria Logo are registered trademarks Alexandria Real Estate Equites, Inc.</w:t>
      </w:r>
    </w:p>
    <w:p>
      <w:pPr>
        <w:jc w:val="center"/>
        <w:ind w:right="580"/>
        <w:spacing w:after="0" w:line="220" w:lineRule="auto"/>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0" w:name="page181"/>
    <w:bookmarkEnd w:id="180"/>
    <w:p>
      <w:pPr>
        <w:spacing w:after="0" w:line="4" w:lineRule="exact"/>
        <w:rPr>
          <w:sz w:val="20"/>
          <w:szCs w:val="20"/>
          <w:color w:val="auto"/>
        </w:rPr>
      </w:pPr>
    </w:p>
    <w:p>
      <w:pPr>
        <w:ind w:left="780"/>
        <w:spacing w:after="0" w:line="245" w:lineRule="auto"/>
        <w:rPr>
          <w:sz w:val="20"/>
          <w:szCs w:val="20"/>
          <w:color w:val="auto"/>
        </w:rPr>
      </w:pPr>
      <w:r>
        <w:rPr>
          <w:rFonts w:ascii="Arial" w:cs="Arial" w:eastAsia="Arial" w:hAnsi="Arial"/>
          <w:sz w:val="18"/>
          <w:szCs w:val="18"/>
          <w:color w:val="auto"/>
        </w:rPr>
        <w:t>reconciliations of Tl Costs and Total Project Costs in order to achieve Project Close-Out, (b) Tenant shall deliver funds to Landlord in an amount equal to all Tl Costs and costs of Minor</w:t>
      </w:r>
    </w:p>
    <w:p>
      <w:pPr>
        <w:ind w:left="760"/>
        <w:spacing w:after="0" w:line="250" w:lineRule="auto"/>
        <w:rPr>
          <w:sz w:val="20"/>
          <w:szCs w:val="20"/>
          <w:color w:val="auto"/>
        </w:rPr>
      </w:pPr>
      <w:r>
        <w:rPr>
          <w:rFonts w:ascii="Arial" w:cs="Arial" w:eastAsia="Arial" w:hAnsi="Arial"/>
          <w:sz w:val="18"/>
          <w:szCs w:val="18"/>
          <w:color w:val="auto"/>
        </w:rPr>
        <w:t xml:space="preserve">Variations in excess of the Tl Allowance remaining unpaid by Tenant within 30 days after Landlord's delivery to Tenant of an invoice therefor, and (c) the Actual Initial Base Rent remains subject to determination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the Lease.</w:t>
      </w:r>
    </w:p>
    <w:p>
      <w:pPr>
        <w:spacing w:after="0" w:line="172" w:lineRule="exact"/>
        <w:rPr>
          <w:sz w:val="20"/>
          <w:szCs w:val="20"/>
          <w:color w:val="auto"/>
        </w:rPr>
      </w:pPr>
    </w:p>
    <w:p>
      <w:pPr>
        <w:jc w:val="both"/>
        <w:ind w:left="780" w:hanging="772"/>
        <w:spacing w:after="0" w:line="242"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and Landlord are currently (a) in compliance with and shall at all times during the Term of the Lease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38" w:lineRule="exact"/>
        <w:rPr>
          <w:rFonts w:ascii="Arial" w:cs="Arial" w:eastAsia="Arial" w:hAnsi="Arial"/>
          <w:sz w:val="18"/>
          <w:szCs w:val="18"/>
          <w:color w:val="auto"/>
        </w:rPr>
      </w:pPr>
    </w:p>
    <w:p>
      <w:pPr>
        <w:ind w:left="780" w:hanging="772"/>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500" w:hanging="743"/>
        <w:spacing w:after="0" w:line="253" w:lineRule="auto"/>
        <w:tabs>
          <w:tab w:leader="none" w:pos="15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This Second Amendment is the entire agreement between the parties with respect to the subject matter hereof and supersedes all prior and contemporaneous oral and written agreements and discussions. This Second Amendment may be amended only by an agreement in writing, signed by the parties hereto.</w:t>
      </w:r>
    </w:p>
    <w:p>
      <w:pPr>
        <w:spacing w:after="0" w:line="168" w:lineRule="exact"/>
        <w:rPr>
          <w:rFonts w:ascii="Arial" w:cs="Arial" w:eastAsia="Arial" w:hAnsi="Arial"/>
          <w:sz w:val="18"/>
          <w:szCs w:val="18"/>
          <w:color w:val="auto"/>
        </w:rPr>
      </w:pPr>
    </w:p>
    <w:p>
      <w:pPr>
        <w:ind w:left="1500" w:hanging="743"/>
        <w:spacing w:after="0" w:line="271" w:lineRule="auto"/>
        <w:tabs>
          <w:tab w:leader="none" w:pos="15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This Second Amendment is binding upon and shall inure to the benefit of the parties hereto and their respective agents and assigns.</w:t>
      </w:r>
    </w:p>
    <w:p>
      <w:pPr>
        <w:spacing w:after="0" w:line="113" w:lineRule="exact"/>
        <w:rPr>
          <w:rFonts w:ascii="Arial" w:cs="Arial" w:eastAsia="Arial" w:hAnsi="Arial"/>
          <w:sz w:val="18"/>
          <w:szCs w:val="18"/>
          <w:color w:val="auto"/>
        </w:rPr>
      </w:pPr>
    </w:p>
    <w:p>
      <w:pPr>
        <w:jc w:val="both"/>
        <w:ind w:left="1500" w:hanging="743"/>
        <w:spacing w:after="0"/>
        <w:tabs>
          <w:tab w:leader="none" w:pos="15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This Second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Second Amendment and all matters related thereto, with such electronic signatures having the same legal effect as original signatures.</w:t>
      </w:r>
    </w:p>
    <w:p>
      <w:pPr>
        <w:spacing w:after="0" w:line="157" w:lineRule="exact"/>
        <w:rPr>
          <w:rFonts w:ascii="Arial" w:cs="Arial" w:eastAsia="Arial" w:hAnsi="Arial"/>
          <w:sz w:val="18"/>
          <w:szCs w:val="18"/>
          <w:color w:val="auto"/>
        </w:rPr>
      </w:pPr>
    </w:p>
    <w:p>
      <w:pPr>
        <w:jc w:val="both"/>
        <w:ind w:left="1500" w:hanging="743"/>
        <w:spacing w:after="0" w:line="244" w:lineRule="auto"/>
        <w:tabs>
          <w:tab w:leader="none" w:pos="15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Landlord and Tenant each represents and warrants that it has not dealt with any broker, agent or other 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 Second Amendment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Second Amendment.</w:t>
      </w:r>
    </w:p>
    <w:p>
      <w:pPr>
        <w:spacing w:after="0" w:line="135" w:lineRule="exact"/>
        <w:rPr>
          <w:rFonts w:ascii="Arial" w:cs="Arial" w:eastAsia="Arial" w:hAnsi="Arial"/>
          <w:sz w:val="18"/>
          <w:szCs w:val="18"/>
          <w:color w:val="auto"/>
        </w:rPr>
      </w:pPr>
    </w:p>
    <w:p>
      <w:pPr>
        <w:jc w:val="both"/>
        <w:ind w:left="1500" w:hanging="743"/>
        <w:spacing w:after="0" w:line="242" w:lineRule="auto"/>
        <w:tabs>
          <w:tab w:leader="none" w:pos="15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Except as amended and/or modified by this Second Amendment, the Lease is hereby ratified and confirmed and all other terms of the Lease shall remain in full force and effect, unaltered and unchanged by this Second Amendment. In the event of any conflict between the provisions of this Second Amendment and the provisions of the Lease, the provisions of this Second Amendment shall prevail. Whether or not specifically amended by this Second Amendment, all of the terms and provisions of the Lease are hereby amended to the extent necessary to give effect to the purpose and intent of this Second Amendment.</w:t>
      </w:r>
    </w:p>
    <w:p>
      <w:pPr>
        <w:spacing w:after="0" w:line="13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Signatures are on the next page</w:t>
      </w:r>
      <w:r>
        <w:rPr>
          <w:rFonts w:ascii="Arial" w:cs="Arial" w:eastAsia="Arial" w:hAnsi="Arial"/>
          <w:sz w:val="18"/>
          <w:szCs w:val="18"/>
          <w:color w:val="auto"/>
        </w:rPr>
        <w:t>]</w:t>
      </w:r>
    </w:p>
    <w:p>
      <w:pPr>
        <w:spacing w:after="0" w:line="200" w:lineRule="exact"/>
        <w:rPr>
          <w:sz w:val="20"/>
          <w:szCs w:val="20"/>
          <w:color w:val="auto"/>
        </w:rPr>
      </w:pPr>
    </w:p>
    <w:p>
      <w:pPr>
        <w:spacing w:after="0" w:line="388" w:lineRule="exact"/>
        <w:rPr>
          <w:sz w:val="20"/>
          <w:szCs w:val="20"/>
          <w:color w:val="auto"/>
        </w:rPr>
      </w:pPr>
    </w:p>
    <w:p>
      <w:pPr>
        <w:jc w:val="center"/>
        <w:ind w:right="560"/>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505460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Second Amendment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6358890</wp:posOffset>
            </wp:positionH>
            <wp:positionV relativeFrom="paragraph">
              <wp:posOffset>-24765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TENANT:</w:t>
      </w:r>
    </w:p>
    <w:p>
      <w:pPr>
        <w:spacing w:after="0" w:line="13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BEAM THERAPEUTICS INC.</w:t>
      </w:r>
      <w:r>
        <w:rPr>
          <w:rFonts w:ascii="Arial" w:cs="Arial" w:eastAsia="Arial" w:hAnsi="Arial"/>
          <w:sz w:val="18"/>
          <w:szCs w:val="18"/>
          <w:color w:val="auto"/>
        </w:rPr>
        <w:t>,</w:t>
      </w:r>
    </w:p>
    <w:p>
      <w:pPr>
        <w:spacing w:after="0" w:line="14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69" w:lineRule="exact"/>
        <w:rPr>
          <w:sz w:val="20"/>
          <w:szCs w:val="20"/>
          <w:color w:val="auto"/>
        </w:rPr>
      </w:pPr>
    </w:p>
    <w:tbl>
      <w:tblPr>
        <w:tblLayout w:type="fixed"/>
        <w:tblInd w:w="372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24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/s/ John Evans</w:t>
            </w:r>
          </w:p>
        </w:tc>
      </w:tr>
      <w:tr>
        <w:trPr>
          <w:trHeight w:val="376"/>
        </w:trPr>
        <w:tc>
          <w:tcPr>
            <w:tcW w:w="400" w:type="dxa"/>
            <w:vAlign w:val="bottom"/>
          </w:tcPr>
          <w:p>
            <w:pPr>
              <w:spacing w:after="0"/>
              <w:rPr>
                <w:sz w:val="24"/>
                <w:szCs w:val="24"/>
                <w:color w:val="auto"/>
              </w:rPr>
            </w:pPr>
          </w:p>
        </w:tc>
        <w:tc>
          <w:tcPr>
            <w:tcW w:w="2400" w:type="dxa"/>
            <w:vAlign w:val="bottom"/>
          </w:tcPr>
          <w:p>
            <w:pPr>
              <w:ind w:left="1140"/>
              <w:spacing w:after="0"/>
              <w:rPr>
                <w:sz w:val="20"/>
                <w:szCs w:val="20"/>
                <w:color w:val="auto"/>
              </w:rPr>
            </w:pPr>
            <w:r>
              <w:rPr>
                <w:rFonts w:ascii="Arial" w:cs="Arial" w:eastAsia="Arial" w:hAnsi="Arial"/>
                <w:sz w:val="18"/>
                <w:szCs w:val="18"/>
                <w:color w:val="auto"/>
              </w:rPr>
              <w:t>John Evans</w:t>
            </w:r>
          </w:p>
        </w:tc>
      </w:tr>
      <w:tr>
        <w:trPr>
          <w:trHeight w:val="306"/>
        </w:trPr>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24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81" w:lineRule="exact"/>
        <w:rPr>
          <w:sz w:val="20"/>
          <w:szCs w:val="20"/>
          <w:color w:val="auto"/>
        </w:rPr>
      </w:pPr>
    </w:p>
    <w:p>
      <w:pPr>
        <w:ind w:left="3720" w:firstLine="1"/>
        <w:spacing w:after="0" w:line="271" w:lineRule="auto"/>
        <w:tabs>
          <w:tab w:leader="none" w:pos="3932" w:val="left"/>
        </w:tabs>
        <w:numPr>
          <w:ilvl w:val="0"/>
          <w:numId w:val="87"/>
        </w:numPr>
        <w:rPr>
          <w:rFonts w:ascii="MS PGothic" w:cs="MS PGothic" w:eastAsia="MS PGothic" w:hAnsi="MS PGothic"/>
          <w:sz w:val="18"/>
          <w:szCs w:val="18"/>
          <w:color w:val="auto"/>
        </w:rPr>
      </w:pPr>
      <w:r>
        <w:rPr>
          <w:rFonts w:ascii="Arial" w:cs="Arial" w:eastAsia="Arial" w:hAnsi="Arial"/>
          <w:sz w:val="18"/>
          <w:szCs w:val="18"/>
          <w:color w:val="auto"/>
        </w:rPr>
        <w:t>I hereby certify that the signature, name, and title above are my signature, name and title.</w:t>
      </w:r>
    </w:p>
    <w:p>
      <w:pPr>
        <w:spacing w:after="0" w:line="200" w:lineRule="exact"/>
        <w:rPr>
          <w:sz w:val="20"/>
          <w:szCs w:val="20"/>
          <w:color w:val="auto"/>
        </w:rPr>
      </w:pPr>
    </w:p>
    <w:p>
      <w:pPr>
        <w:spacing w:after="0" w:line="22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LANDLORD:</w:t>
      </w:r>
    </w:p>
    <w:p>
      <w:pPr>
        <w:spacing w:after="0" w:line="14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ARE-NC REGION NO. 14, LLC</w:t>
      </w:r>
      <w:r>
        <w:rPr>
          <w:rFonts w:ascii="Arial" w:cs="Arial" w:eastAsia="Arial" w:hAnsi="Arial"/>
          <w:sz w:val="18"/>
          <w:szCs w:val="18"/>
          <w:color w:val="auto"/>
        </w:rPr>
        <w:t>,</w:t>
      </w:r>
    </w:p>
    <w:p>
      <w:pPr>
        <w:spacing w:after="0" w:line="14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8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By: ALEXANDRIA REAL ESTATE EQUITIES, L.P.,</w:t>
      </w:r>
    </w:p>
    <w:p>
      <w:pPr>
        <w:spacing w:after="0" w:line="14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 Delaware limited partnership, managing member</w:t>
      </w:r>
    </w:p>
    <w:p>
      <w:pPr>
        <w:spacing w:after="0" w:line="200" w:lineRule="exact"/>
        <w:rPr>
          <w:sz w:val="20"/>
          <w:szCs w:val="20"/>
          <w:color w:val="auto"/>
        </w:rPr>
      </w:pPr>
    </w:p>
    <w:p>
      <w:pPr>
        <w:spacing w:after="0" w:line="2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ARE-QRS CORP.,</w:t>
      </w:r>
    </w:p>
    <w:p>
      <w:pPr>
        <w:spacing w:after="0" w:line="14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 Maryland corporation,</w:t>
      </w:r>
    </w:p>
    <w:p>
      <w:pPr>
        <w:spacing w:after="0" w:line="13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69" w:lineRule="exact"/>
        <w:rPr>
          <w:sz w:val="20"/>
          <w:szCs w:val="20"/>
          <w:color w:val="auto"/>
        </w:rPr>
      </w:pPr>
    </w:p>
    <w:tbl>
      <w:tblPr>
        <w:tblLayout w:type="fixed"/>
        <w:tblInd w:w="446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24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 Mark Hikin</w:t>
            </w:r>
          </w:p>
        </w:tc>
        <w:tc>
          <w:tcPr>
            <w:tcW w:w="400" w:type="dxa"/>
            <w:vAlign w:val="bottom"/>
          </w:tcPr>
          <w:p>
            <w:pPr>
              <w:spacing w:after="0"/>
              <w:rPr>
                <w:sz w:val="18"/>
                <w:szCs w:val="18"/>
                <w:color w:val="auto"/>
              </w:rPr>
            </w:pPr>
          </w:p>
        </w:tc>
      </w:tr>
      <w:tr>
        <w:trPr>
          <w:trHeight w:val="375"/>
        </w:trPr>
        <w:tc>
          <w:tcPr>
            <w:tcW w:w="400" w:type="dxa"/>
            <w:vAlign w:val="bottom"/>
          </w:tcPr>
          <w:p>
            <w:pPr>
              <w:spacing w:after="0"/>
              <w:rPr>
                <w:sz w:val="24"/>
                <w:szCs w:val="24"/>
                <w:color w:val="auto"/>
              </w:rPr>
            </w:pPr>
          </w:p>
        </w:tc>
        <w:tc>
          <w:tcPr>
            <w:tcW w:w="2800" w:type="dxa"/>
            <w:vAlign w:val="bottom"/>
            <w:gridSpan w:val="2"/>
          </w:tcPr>
          <w:p>
            <w:pPr>
              <w:ind w:left="1160"/>
              <w:spacing w:after="0"/>
              <w:rPr>
                <w:sz w:val="20"/>
                <w:szCs w:val="20"/>
                <w:color w:val="auto"/>
              </w:rPr>
            </w:pPr>
            <w:r>
              <w:rPr>
                <w:rFonts w:ascii="Arial" w:cs="Arial" w:eastAsia="Arial" w:hAnsi="Arial"/>
                <w:sz w:val="18"/>
                <w:szCs w:val="18"/>
                <w:color w:val="auto"/>
              </w:rPr>
              <w:t>Mark Hikin</w:t>
            </w:r>
          </w:p>
        </w:tc>
      </w:tr>
      <w:tr>
        <w:trPr>
          <w:trHeight w:val="306"/>
        </w:trPr>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2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VP Real Estate Legal Affairs</w:t>
            </w:r>
          </w:p>
        </w:tc>
      </w:tr>
    </w:tbl>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505460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100" w:top="1440" w:right="47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THIRD AMENDMENT TO LEASE</w:t>
      </w:r>
    </w:p>
    <w:p>
      <w:pPr>
        <w:spacing w:after="0" w:line="204"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18"/>
          <w:szCs w:val="18"/>
          <w:color w:val="auto"/>
        </w:rPr>
        <w:t>This Third Amendment to Lease (this “</w:t>
      </w:r>
      <w:r>
        <w:rPr>
          <w:rFonts w:ascii="Arial" w:cs="Arial" w:eastAsia="Arial" w:hAnsi="Arial"/>
          <w:sz w:val="18"/>
          <w:szCs w:val="18"/>
          <w:b w:val="1"/>
          <w:bCs w:val="1"/>
          <w:color w:val="auto"/>
        </w:rPr>
        <w:t>Third Amendment</w:t>
      </w:r>
      <w:r>
        <w:rPr>
          <w:rFonts w:ascii="Arial" w:cs="Arial" w:eastAsia="Arial" w:hAnsi="Arial"/>
          <w:sz w:val="18"/>
          <w:szCs w:val="18"/>
          <w:color w:val="auto"/>
        </w:rPr>
        <w:t>”) is made as of January 1</w:t>
      </w:r>
      <w:r>
        <w:rPr>
          <w:rFonts w:ascii="Arial" w:cs="Arial" w:eastAsia="Arial" w:hAnsi="Arial"/>
          <w:sz w:val="24"/>
          <w:szCs w:val="24"/>
          <w:color w:val="auto"/>
          <w:vertAlign w:val="superscript"/>
        </w:rPr>
        <w:t>st</w:t>
      </w:r>
      <w:r>
        <w:rPr>
          <w:rFonts w:ascii="Arial" w:cs="Arial" w:eastAsia="Arial" w:hAnsi="Arial"/>
          <w:sz w:val="18"/>
          <w:szCs w:val="18"/>
          <w:color w:val="auto"/>
        </w:rPr>
        <w:t>, 2024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ARE-NC REGION NO. 14,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BEAM THERAPEUTICS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RECITALS</w:t>
      </w:r>
    </w:p>
    <w:p>
      <w:pPr>
        <w:spacing w:after="0" w:line="198" w:lineRule="exact"/>
        <w:rPr>
          <w:sz w:val="20"/>
          <w:szCs w:val="20"/>
          <w:color w:val="auto"/>
        </w:rPr>
      </w:pPr>
    </w:p>
    <w:p>
      <w:pPr>
        <w:jc w:val="both"/>
        <w:ind w:firstLine="757"/>
        <w:spacing w:after="0" w:line="244" w:lineRule="auto"/>
        <w:tabs>
          <w:tab w:leader="none" w:pos="1018"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Landlord and Tenant are parties to that certain Lease Agreement dated as of August 11, 2020, as amended by that certain First Amendment to Lease dated as of June 23, 2022, and as further amended by that certain Second Amendment to Lease dated as of March 31, 2023 (as amended, the “</w:t>
      </w:r>
      <w:r>
        <w:rPr>
          <w:rFonts w:ascii="Arial" w:cs="Arial" w:eastAsia="Arial" w:hAnsi="Arial"/>
          <w:sz w:val="18"/>
          <w:szCs w:val="18"/>
          <w:b w:val="1"/>
          <w:bCs w:val="1"/>
          <w:color w:val="auto"/>
        </w:rPr>
        <w:t>Lease</w:t>
      </w:r>
      <w:r>
        <w:rPr>
          <w:rFonts w:ascii="Arial" w:cs="Arial" w:eastAsia="Arial" w:hAnsi="Arial"/>
          <w:sz w:val="18"/>
          <w:szCs w:val="18"/>
          <w:color w:val="auto"/>
        </w:rPr>
        <w:t>”), wherein Landlord leases to Tenant that building containing approximately 100,000 rentable square feet (the “</w:t>
      </w:r>
      <w:r>
        <w:rPr>
          <w:rFonts w:ascii="Arial" w:cs="Arial" w:eastAsia="Arial" w:hAnsi="Arial"/>
          <w:sz w:val="18"/>
          <w:szCs w:val="18"/>
          <w:b w:val="1"/>
          <w:bCs w:val="1"/>
          <w:color w:val="auto"/>
        </w:rPr>
        <w:t>Premises</w:t>
      </w:r>
      <w:r>
        <w:rPr>
          <w:rFonts w:ascii="Arial" w:cs="Arial" w:eastAsia="Arial" w:hAnsi="Arial"/>
          <w:sz w:val="18"/>
          <w:szCs w:val="18"/>
          <w:color w:val="auto"/>
        </w:rPr>
        <w:t>”) to be known as 10 Davis Drive, Durham, North Carolina, as more particularly described in the Lease. Capitalized terms used herein without definition shall have the meanings defined for such terms in the Lease.</w:t>
      </w:r>
    </w:p>
    <w:p>
      <w:pPr>
        <w:spacing w:after="0" w:line="162" w:lineRule="exact"/>
        <w:rPr>
          <w:rFonts w:ascii="Arial" w:cs="Arial" w:eastAsia="Arial" w:hAnsi="Arial"/>
          <w:sz w:val="18"/>
          <w:szCs w:val="18"/>
          <w:b w:val="1"/>
          <w:bCs w:val="1"/>
          <w:color w:val="auto"/>
        </w:rPr>
      </w:pPr>
    </w:p>
    <w:p>
      <w:pPr>
        <w:ind w:firstLine="757"/>
        <w:spacing w:after="0" w:line="271" w:lineRule="auto"/>
        <w:tabs>
          <w:tab w:leader="none" w:pos="1018"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Project Close-Out occurred on December 7, 2023, the Total Project Costs have been determined and Landlord had delivered the calculation of Total Projects Costs and documentation supporting such calculation to Tenant.</w:t>
      </w:r>
    </w:p>
    <w:p>
      <w:pPr>
        <w:spacing w:after="0" w:line="153" w:lineRule="exact"/>
        <w:rPr>
          <w:rFonts w:ascii="Arial" w:cs="Arial" w:eastAsia="Arial" w:hAnsi="Arial"/>
          <w:sz w:val="18"/>
          <w:szCs w:val="18"/>
          <w:b w:val="1"/>
          <w:bCs w:val="1"/>
          <w:color w:val="auto"/>
        </w:rPr>
      </w:pPr>
    </w:p>
    <w:p>
      <w:pPr>
        <w:ind w:firstLine="757"/>
        <w:spacing w:after="0" w:line="271" w:lineRule="auto"/>
        <w:tabs>
          <w:tab w:leader="none" w:pos="1018"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Landlord and Tenant desire to amend the Lease to, among other things, memorialize the Actual Initial Base Rent payable under the Lease based on the Total Project Costs.</w:t>
      </w:r>
    </w:p>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AGREEMENT</w:t>
      </w:r>
    </w:p>
    <w:p>
      <w:pPr>
        <w:spacing w:after="0" w:line="19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w:t>
      </w:r>
      <w:r>
        <w:rPr>
          <w:rFonts w:ascii="Arial" w:cs="Arial" w:eastAsia="Arial" w:hAnsi="Arial"/>
          <w:sz w:val="18"/>
          <w:szCs w:val="18"/>
          <w:b w:val="1"/>
          <w:bCs w:val="1"/>
          <w:color w:val="auto"/>
        </w:rPr>
        <w:t xml:space="preserve"> </w:t>
      </w:r>
      <w:r>
        <w:rPr>
          <w:rFonts w:ascii="Arial" w:cs="Arial" w:eastAsia="Arial" w:hAnsi="Arial"/>
          <w:sz w:val="18"/>
          <w:szCs w:val="18"/>
          <w:color w:val="auto"/>
        </w:rPr>
        <w:t>promises and conditions contained herein, and for other good and valuable consideration, the receipt and sufficiency of which are hereby acknowledged, Landlord and Tenant hereby agree as follows:</w:t>
      </w:r>
    </w:p>
    <w:p>
      <w:pPr>
        <w:spacing w:after="0" w:line="155" w:lineRule="exact"/>
        <w:rPr>
          <w:sz w:val="20"/>
          <w:szCs w:val="20"/>
          <w:color w:val="auto"/>
        </w:rPr>
      </w:pPr>
    </w:p>
    <w:p>
      <w:pPr>
        <w:ind w:left="760" w:hanging="752"/>
        <w:spacing w:after="0"/>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500" w:hanging="758"/>
        <w:spacing w:after="0" w:line="253" w:lineRule="auto"/>
        <w:tabs>
          <w:tab w:leader="none" w:pos="1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The “Annual Return Amount” based on the Total Project Costs is $3,391,516.00, and the “Actual Initial Base Rent” payable under the Lease is $33.92 per rentable square foot of the Premises per year. The Effective Date shall be the “Base Rent Determination Date” for the purposes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Lease.</w:t>
      </w:r>
    </w:p>
    <w:p>
      <w:pPr>
        <w:spacing w:after="0" w:line="155" w:lineRule="exact"/>
        <w:rPr>
          <w:rFonts w:ascii="Arial" w:cs="Arial" w:eastAsia="Arial" w:hAnsi="Arial"/>
          <w:sz w:val="18"/>
          <w:szCs w:val="18"/>
          <w:color w:val="auto"/>
        </w:rPr>
      </w:pPr>
    </w:p>
    <w:p>
      <w:pPr>
        <w:ind w:left="1500" w:hanging="758"/>
        <w:spacing w:after="0" w:line="271" w:lineRule="auto"/>
        <w:tabs>
          <w:tab w:leader="none" w:pos="1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Commencing on January 1, 2024, the defined term “</w:t>
      </w:r>
      <w:r>
        <w:rPr>
          <w:rFonts w:ascii="Arial" w:cs="Arial" w:eastAsia="Arial" w:hAnsi="Arial"/>
          <w:sz w:val="18"/>
          <w:szCs w:val="18"/>
          <w:b w:val="1"/>
          <w:bCs w:val="1"/>
          <w:color w:val="auto"/>
        </w:rPr>
        <w:t>Base Rent</w:t>
      </w:r>
      <w:r>
        <w:rPr>
          <w:rFonts w:ascii="Arial" w:cs="Arial" w:eastAsia="Arial" w:hAnsi="Arial"/>
          <w:sz w:val="18"/>
          <w:szCs w:val="18"/>
          <w:color w:val="auto"/>
        </w:rPr>
        <w:t>” on page 1 of the Lease is hereby deleted in its entirety and replaced with the following:</w:t>
      </w:r>
    </w:p>
    <w:p>
      <w:pPr>
        <w:spacing w:after="0" w:line="140" w:lineRule="exact"/>
        <w:rPr>
          <w:rFonts w:ascii="Arial" w:cs="Arial" w:eastAsia="Arial" w:hAnsi="Arial"/>
          <w:sz w:val="18"/>
          <w:szCs w:val="18"/>
          <w:color w:val="auto"/>
        </w:rPr>
      </w:pPr>
    </w:p>
    <w:p>
      <w:pPr>
        <w:jc w:val="both"/>
        <w:ind w:left="1520" w:hanging="10"/>
        <w:spacing w:after="0" w:line="25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Rent:</w:t>
      </w:r>
      <w:r>
        <w:rPr>
          <w:rFonts w:ascii="Arial" w:cs="Arial" w:eastAsia="Arial" w:hAnsi="Arial"/>
          <w:sz w:val="18"/>
          <w:szCs w:val="18"/>
          <w:color w:val="auto"/>
        </w:rPr>
        <w:t xml:space="preserve"> $33.92 per rentable square foot of the Premises per year (excluding, during the Base Term, the Mezzanine Space regardless of whether or not it has been converted to Occupiable Mezzanine Space (as defined in </w:t>
      </w:r>
      <w:r>
        <w:rPr>
          <w:rFonts w:ascii="Arial" w:cs="Arial" w:eastAsia="Arial" w:hAnsi="Arial"/>
          <w:sz w:val="18"/>
          <w:szCs w:val="18"/>
          <w:u w:val="single" w:color="auto"/>
          <w:color w:val="auto"/>
        </w:rPr>
        <w:t>Section 43(u)</w:t>
      </w:r>
      <w:r>
        <w:rPr>
          <w:rFonts w:ascii="Arial" w:cs="Arial" w:eastAsia="Arial" w:hAnsi="Arial"/>
          <w:sz w:val="18"/>
          <w:szCs w:val="18"/>
          <w:color w:val="auto"/>
        </w:rPr>
        <w:t xml:space="preserve">)), subject to adjustment pursuant to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hereof.”</w:t>
      </w:r>
    </w:p>
    <w:p>
      <w:pPr>
        <w:spacing w:after="0" w:line="168" w:lineRule="exact"/>
        <w:rPr>
          <w:rFonts w:ascii="Arial" w:cs="Arial" w:eastAsia="Arial" w:hAnsi="Arial"/>
          <w:sz w:val="18"/>
          <w:szCs w:val="18"/>
          <w:color w:val="auto"/>
        </w:rPr>
      </w:pPr>
    </w:p>
    <w:p>
      <w:pPr>
        <w:jc w:val="both"/>
        <w:ind w:left="1500" w:hanging="758"/>
        <w:spacing w:after="0" w:line="247" w:lineRule="auto"/>
        <w:tabs>
          <w:tab w:leader="none" w:pos="1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In accordance with the terms of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the original Lease, on or before February 1, 2024, Tenant shall deliver to Landlord funds in the amount of $260,446.00, which is equal to the amount by which the Annual Return Amount exceeds the actual Base Rent paid by Tenant for the period commencing on the Rent Commencement Date through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3" w:name="page184"/>
    <w:bookmarkEnd w:id="183"/>
    <w:p>
      <w:pPr>
        <w:ind w:left="752" w:right="380" w:hanging="752"/>
        <w:spacing w:after="0" w:line="247" w:lineRule="auto"/>
        <w:tabs>
          <w:tab w:leader="none" w:pos="75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and Landlord are currently (a) in compliance with and shall at all times during the Term of the Lease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w:t>
      </w:r>
    </w:p>
    <w:p>
      <w:pPr>
        <w:spacing w:after="0" w:line="160" w:lineRule="exact"/>
        <w:rPr>
          <w:rFonts w:ascii="Arial" w:cs="Arial" w:eastAsia="Arial" w:hAnsi="Arial"/>
          <w:sz w:val="18"/>
          <w:szCs w:val="18"/>
          <w:color w:val="auto"/>
        </w:rPr>
      </w:pPr>
    </w:p>
    <w:p>
      <w:pPr>
        <w:jc w:val="both"/>
        <w:ind w:left="752" w:hanging="10"/>
        <w:spacing w:after="0" w:line="253" w:lineRule="auto"/>
        <w:rPr>
          <w:rFonts w:ascii="Arial" w:cs="Arial" w:eastAsia="Arial" w:hAnsi="Arial"/>
          <w:sz w:val="18"/>
          <w:szCs w:val="18"/>
          <w:color w:val="auto"/>
        </w:rPr>
      </w:pPr>
      <w:r>
        <w:rPr>
          <w:rFonts w:ascii="Arial" w:cs="Arial" w:eastAsia="Arial" w:hAnsi="Arial"/>
          <w:sz w:val="18"/>
          <w:szCs w:val="18"/>
          <w:color w:val="auto"/>
        </w:rPr>
        <w:t>the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68" w:lineRule="exact"/>
        <w:rPr>
          <w:rFonts w:ascii="Arial" w:cs="Arial" w:eastAsia="Arial" w:hAnsi="Arial"/>
          <w:sz w:val="18"/>
          <w:szCs w:val="18"/>
          <w:color w:val="auto"/>
        </w:rPr>
      </w:pPr>
    </w:p>
    <w:p>
      <w:pPr>
        <w:ind w:left="752" w:hanging="752"/>
        <w:spacing w:after="0"/>
        <w:tabs>
          <w:tab w:leader="none" w:pos="75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492" w:hanging="758"/>
        <w:spacing w:after="0" w:line="253" w:lineRule="auto"/>
        <w:tabs>
          <w:tab w:leader="none" w:pos="14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This Third Amendment is the entire agreement between the parties with respect to the subject matter hereof and supersedes all prior and contemporaneous oral and written agreements and discussions. This Third Amendment may be amended only by an agreement in writing, signed by the parties hereto.</w:t>
      </w:r>
    </w:p>
    <w:p>
      <w:pPr>
        <w:spacing w:after="0" w:line="168" w:lineRule="exact"/>
        <w:rPr>
          <w:rFonts w:ascii="Arial" w:cs="Arial" w:eastAsia="Arial" w:hAnsi="Arial"/>
          <w:sz w:val="18"/>
          <w:szCs w:val="18"/>
          <w:color w:val="auto"/>
        </w:rPr>
      </w:pPr>
    </w:p>
    <w:p>
      <w:pPr>
        <w:ind w:left="1492" w:right="20" w:hanging="758"/>
        <w:spacing w:after="0" w:line="271" w:lineRule="auto"/>
        <w:tabs>
          <w:tab w:leader="none" w:pos="14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This Third Amendment is binding upon and shall inure to the benefit of the parties hereto and their respective agents and assigns.</w:t>
      </w:r>
    </w:p>
    <w:p>
      <w:pPr>
        <w:spacing w:after="0" w:line="140" w:lineRule="exact"/>
        <w:rPr>
          <w:rFonts w:ascii="Arial" w:cs="Arial" w:eastAsia="Arial" w:hAnsi="Arial"/>
          <w:sz w:val="18"/>
          <w:szCs w:val="18"/>
          <w:color w:val="auto"/>
        </w:rPr>
      </w:pPr>
    </w:p>
    <w:p>
      <w:pPr>
        <w:jc w:val="both"/>
        <w:ind w:left="1492" w:hanging="758"/>
        <w:spacing w:after="0"/>
        <w:tabs>
          <w:tab w:leader="none" w:pos="14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This Third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Third Amendment and all matters related thereto, with such electronic signatures having the same legal effect as original signatures.</w:t>
      </w:r>
    </w:p>
    <w:p>
      <w:pPr>
        <w:spacing w:after="0" w:line="171" w:lineRule="exact"/>
        <w:rPr>
          <w:rFonts w:ascii="Arial" w:cs="Arial" w:eastAsia="Arial" w:hAnsi="Arial"/>
          <w:sz w:val="18"/>
          <w:szCs w:val="18"/>
          <w:color w:val="auto"/>
        </w:rPr>
      </w:pPr>
    </w:p>
    <w:p>
      <w:pPr>
        <w:jc w:val="both"/>
        <w:ind w:left="1492" w:hanging="758"/>
        <w:spacing w:after="0" w:line="244" w:lineRule="auto"/>
        <w:tabs>
          <w:tab w:leader="none" w:pos="14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Landlord and Tenant each represents and warrants that it has not dealt with any broker, agent or other 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 Third Amendment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Third Amendment.</w:t>
      </w:r>
    </w:p>
    <w:p>
      <w:pPr>
        <w:spacing w:after="0" w:line="176" w:lineRule="exact"/>
        <w:rPr>
          <w:rFonts w:ascii="Arial" w:cs="Arial" w:eastAsia="Arial" w:hAnsi="Arial"/>
          <w:sz w:val="18"/>
          <w:szCs w:val="18"/>
          <w:color w:val="auto"/>
        </w:rPr>
      </w:pPr>
    </w:p>
    <w:p>
      <w:pPr>
        <w:jc w:val="both"/>
        <w:ind w:left="1492" w:hanging="758"/>
        <w:spacing w:after="0" w:line="242" w:lineRule="auto"/>
        <w:tabs>
          <w:tab w:leader="none" w:pos="14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Except as amended and/or modified by this Third Amendment, the Lease is hereby ratified and confirmed and all other terms of the Lease shall remain in full force and effect, unaltered and unchanged by this Third Amendment. In the event of any conflict between the provisions of this Third Amendment and the provisions of the Lease, the provisions of this Third Amendment shall prevail. Whether or not specifically amended by this Third Amendment, all of the terms and provisions of the Lease are hereby amended to the extent necessary to give effect to the purpose and intent of this Third Amendment.</w:t>
      </w:r>
    </w:p>
    <w:p>
      <w:pPr>
        <w:spacing w:after="0" w:line="374" w:lineRule="exact"/>
        <w:rPr>
          <w:sz w:val="20"/>
          <w:szCs w:val="20"/>
          <w:color w:val="auto"/>
        </w:rPr>
      </w:pPr>
    </w:p>
    <w:p>
      <w:pPr>
        <w:ind w:left="372"/>
        <w:spacing w:after="0"/>
        <w:rPr>
          <w:sz w:val="20"/>
          <w:szCs w:val="20"/>
          <w:color w:val="auto"/>
        </w:rPr>
      </w:pPr>
      <w:r>
        <w:rPr>
          <w:rFonts w:ascii="Arial" w:cs="Arial" w:eastAsia="Arial" w:hAnsi="Arial"/>
          <w:sz w:val="18"/>
          <w:szCs w:val="18"/>
          <w:b w:val="1"/>
          <w:bCs w:val="1"/>
          <w:color w:val="auto"/>
        </w:rPr>
        <w:t>[Signatures are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84" w:name="page185"/>
    <w:bookmarkEnd w:id="184"/>
    <w:p>
      <w:pPr>
        <w:ind w:right="2740" w:firstLine="734"/>
        <w:spacing w:after="0" w:line="287" w:lineRule="auto"/>
        <w:rPr>
          <w:sz w:val="20"/>
          <w:szCs w:val="20"/>
          <w:color w:val="auto"/>
        </w:rPr>
      </w:pPr>
      <w:r>
        <w:rPr>
          <w:rFonts w:ascii="Arial" w:cs="Arial" w:eastAsia="Arial" w:hAnsi="Arial"/>
          <w:sz w:val="18"/>
          <w:szCs w:val="18"/>
          <w:color w:val="auto"/>
        </w:rPr>
        <w:t>IN WITNESS WHEREOF, the parties hereto have executed this Third Amendment as of the day and year first above written.</w:t>
      </w:r>
    </w:p>
    <w:p>
      <w:pPr>
        <w:spacing w:after="0" w:line="12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TENANT:</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BEAM THERAPEUTICS INC.</w:t>
      </w:r>
      <w:r>
        <w:rPr>
          <w:rFonts w:ascii="Arial" w:cs="Arial" w:eastAsia="Arial" w:hAnsi="Arial"/>
          <w:sz w:val="18"/>
          <w:szCs w:val="18"/>
          <w:color w:val="auto"/>
        </w:rPr>
        <w:t>,</w:t>
      </w:r>
    </w:p>
    <w:p>
      <w:pPr>
        <w:spacing w:after="0" w:line="1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82" w:lineRule="exact"/>
        <w:rPr>
          <w:sz w:val="20"/>
          <w:szCs w:val="20"/>
          <w:color w:val="auto"/>
        </w:rPr>
      </w:pPr>
    </w:p>
    <w:tbl>
      <w:tblPr>
        <w:tblLayout w:type="fixed"/>
        <w:tblInd w:w="450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24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/s/ John Evans</w:t>
            </w:r>
          </w:p>
        </w:tc>
      </w:tr>
      <w:tr>
        <w:trPr>
          <w:trHeight w:val="362"/>
        </w:trPr>
        <w:tc>
          <w:tcPr>
            <w:tcW w:w="400" w:type="dxa"/>
            <w:vAlign w:val="bottom"/>
          </w:tcPr>
          <w:p>
            <w:pPr>
              <w:spacing w:after="0"/>
              <w:rPr>
                <w:sz w:val="24"/>
                <w:szCs w:val="24"/>
                <w:color w:val="auto"/>
              </w:rPr>
            </w:pPr>
          </w:p>
        </w:tc>
        <w:tc>
          <w:tcPr>
            <w:tcW w:w="2400" w:type="dxa"/>
            <w:vAlign w:val="bottom"/>
          </w:tcPr>
          <w:p>
            <w:pPr>
              <w:ind w:left="1140"/>
              <w:spacing w:after="0"/>
              <w:rPr>
                <w:sz w:val="20"/>
                <w:szCs w:val="20"/>
                <w:color w:val="auto"/>
              </w:rPr>
            </w:pPr>
            <w:r>
              <w:rPr>
                <w:rFonts w:ascii="Arial" w:cs="Arial" w:eastAsia="Arial" w:hAnsi="Arial"/>
                <w:sz w:val="18"/>
                <w:szCs w:val="18"/>
                <w:color w:val="auto"/>
              </w:rPr>
              <w:t>John Evans</w:t>
            </w:r>
          </w:p>
        </w:tc>
      </w:tr>
      <w:tr>
        <w:trPr>
          <w:trHeight w:val="306"/>
        </w:trPr>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24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81" w:lineRule="exact"/>
        <w:rPr>
          <w:sz w:val="20"/>
          <w:szCs w:val="20"/>
          <w:color w:val="auto"/>
        </w:rPr>
      </w:pPr>
    </w:p>
    <w:p>
      <w:pPr>
        <w:ind w:left="4500" w:firstLine="1"/>
        <w:spacing w:after="0" w:line="271" w:lineRule="auto"/>
        <w:tabs>
          <w:tab w:leader="none" w:pos="4712" w:val="left"/>
        </w:tabs>
        <w:numPr>
          <w:ilvl w:val="0"/>
          <w:numId w:val="91"/>
        </w:numPr>
        <w:rPr>
          <w:rFonts w:ascii="MS PGothic" w:cs="MS PGothic" w:eastAsia="MS PGothic" w:hAnsi="MS PGothic"/>
          <w:sz w:val="18"/>
          <w:szCs w:val="18"/>
          <w:color w:val="auto"/>
        </w:rPr>
      </w:pPr>
      <w:r>
        <w:rPr>
          <w:rFonts w:ascii="Arial" w:cs="Arial" w:eastAsia="Arial" w:hAnsi="Arial"/>
          <w:sz w:val="18"/>
          <w:szCs w:val="18"/>
          <w:color w:val="auto"/>
        </w:rPr>
        <w:t>I hereby certify that the signature, name, and title above are my signature, name and title.</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LANDLORD:</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ARE-NC REGION NO. 14, LLC</w:t>
      </w:r>
      <w:r>
        <w:rPr>
          <w:rFonts w:ascii="Arial" w:cs="Arial" w:eastAsia="Arial" w:hAnsi="Arial"/>
          <w:sz w:val="18"/>
          <w:szCs w:val="18"/>
          <w:color w:val="auto"/>
        </w:rPr>
        <w:t>,</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ALEXANDRIA REAL ESTATE EQUITIES, L.P.,</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limited partnership, managing member</w:t>
      </w: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ARE-QRS CORP.,</w:t>
      </w:r>
    </w:p>
    <w:p>
      <w:pPr>
        <w:spacing w:after="0" w:line="1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 Maryland corporation,</w:t>
      </w:r>
    </w:p>
    <w:p>
      <w:pPr>
        <w:spacing w:after="0" w:line="1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82" w:lineRule="exact"/>
        <w:rPr>
          <w:sz w:val="20"/>
          <w:szCs w:val="20"/>
          <w:color w:val="auto"/>
        </w:rPr>
      </w:pPr>
    </w:p>
    <w:tbl>
      <w:tblPr>
        <w:tblLayout w:type="fixed"/>
        <w:tblInd w:w="524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24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 Mark Hikin</w:t>
            </w:r>
          </w:p>
        </w:tc>
        <w:tc>
          <w:tcPr>
            <w:tcW w:w="400" w:type="dxa"/>
            <w:vAlign w:val="bottom"/>
          </w:tcPr>
          <w:p>
            <w:pPr>
              <w:spacing w:after="0"/>
              <w:rPr>
                <w:sz w:val="18"/>
                <w:szCs w:val="18"/>
                <w:color w:val="auto"/>
              </w:rPr>
            </w:pPr>
          </w:p>
        </w:tc>
      </w:tr>
      <w:tr>
        <w:trPr>
          <w:trHeight w:val="362"/>
        </w:trPr>
        <w:tc>
          <w:tcPr>
            <w:tcW w:w="400" w:type="dxa"/>
            <w:vAlign w:val="bottom"/>
          </w:tcPr>
          <w:p>
            <w:pPr>
              <w:spacing w:after="0"/>
              <w:rPr>
                <w:sz w:val="24"/>
                <w:szCs w:val="24"/>
                <w:color w:val="auto"/>
              </w:rPr>
            </w:pPr>
          </w:p>
        </w:tc>
        <w:tc>
          <w:tcPr>
            <w:tcW w:w="2800" w:type="dxa"/>
            <w:vAlign w:val="bottom"/>
            <w:gridSpan w:val="2"/>
          </w:tcPr>
          <w:p>
            <w:pPr>
              <w:ind w:left="1160"/>
              <w:spacing w:after="0"/>
              <w:rPr>
                <w:sz w:val="20"/>
                <w:szCs w:val="20"/>
                <w:color w:val="auto"/>
              </w:rPr>
            </w:pPr>
            <w:r>
              <w:rPr>
                <w:rFonts w:ascii="Arial" w:cs="Arial" w:eastAsia="Arial" w:hAnsi="Arial"/>
                <w:sz w:val="18"/>
                <w:szCs w:val="18"/>
                <w:color w:val="auto"/>
              </w:rPr>
              <w:t>Mark Hikin</w:t>
            </w:r>
          </w:p>
        </w:tc>
      </w:tr>
      <w:tr>
        <w:trPr>
          <w:trHeight w:val="307"/>
        </w:trPr>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2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VP Real Estate Legal Affairs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333-256962 and 333-254946 on Form S-3 and Registration Statement Nos. 333-236582, 333-254378, 333-263067, and 333-270079 on Form S-8 of our reports dated February 27, 2024, relating to the financial statements of Beam Therapeutics Inc. and subsidiaries, and the effectiveness of Beam Therapeutics Inc. and subsidiaries’ internal control over financial reporting, appearing in this Annual Report on Form 10-K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Evans, certify that:</w:t>
      </w:r>
    </w:p>
    <w:p>
      <w:pPr>
        <w:spacing w:after="0" w:line="117" w:lineRule="exact"/>
        <w:rPr>
          <w:sz w:val="20"/>
          <w:szCs w:val="20"/>
          <w:color w:val="auto"/>
        </w:rPr>
      </w:pPr>
    </w:p>
    <w:p>
      <w:pPr>
        <w:ind w:left="520" w:hanging="503"/>
        <w:spacing w:after="0"/>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Beam Therapeutics Inc.;</w:t>
      </w:r>
    </w:p>
    <w:p>
      <w:pPr>
        <w:spacing w:after="0" w:line="360"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520" w:right="200" w:hanging="503"/>
        <w:spacing w:after="0" w:line="282"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0" w:lineRule="exact"/>
        <w:rPr>
          <w:rFonts w:ascii="Times New Roman" w:cs="Times New Roman" w:eastAsia="Times New Roman" w:hAnsi="Times New Roman"/>
          <w:sz w:val="18"/>
          <w:szCs w:val="18"/>
          <w:color w:val="auto"/>
        </w:rPr>
      </w:pPr>
    </w:p>
    <w:p>
      <w:pPr>
        <w:ind w:left="1160" w:right="280" w:hanging="509"/>
        <w:spacing w:after="0" w:line="266" w:lineRule="auto"/>
        <w:tabs>
          <w:tab w:leader="none" w:pos="1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0" w:lineRule="exact"/>
        <w:rPr>
          <w:rFonts w:ascii="Times New Roman" w:cs="Times New Roman" w:eastAsia="Times New Roman" w:hAnsi="Times New Roman"/>
          <w:sz w:val="18"/>
          <w:szCs w:val="18"/>
          <w:color w:val="auto"/>
        </w:rPr>
      </w:pPr>
    </w:p>
    <w:p>
      <w:pPr>
        <w:ind w:left="1160" w:right="200" w:hanging="509"/>
        <w:spacing w:after="0" w:line="266" w:lineRule="auto"/>
        <w:tabs>
          <w:tab w:leader="none" w:pos="1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0" w:lineRule="exact"/>
        <w:rPr>
          <w:rFonts w:ascii="Times New Roman" w:cs="Times New Roman" w:eastAsia="Times New Roman" w:hAnsi="Times New Roman"/>
          <w:sz w:val="18"/>
          <w:szCs w:val="18"/>
          <w:color w:val="auto"/>
        </w:rPr>
      </w:pPr>
    </w:p>
    <w:p>
      <w:pPr>
        <w:jc w:val="both"/>
        <w:ind w:left="1160" w:right="360" w:hanging="509"/>
        <w:spacing w:after="0" w:line="312" w:lineRule="auto"/>
        <w:tabs>
          <w:tab w:leader="none" w:pos="116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4" w:lineRule="exact"/>
        <w:rPr>
          <w:rFonts w:ascii="Times New Roman" w:cs="Times New Roman" w:eastAsia="Times New Roman" w:hAnsi="Times New Roman"/>
          <w:sz w:val="17"/>
          <w:szCs w:val="17"/>
          <w:color w:val="auto"/>
        </w:rPr>
      </w:pPr>
    </w:p>
    <w:p>
      <w:pPr>
        <w:ind w:left="1160" w:right="400" w:hanging="509"/>
        <w:spacing w:after="0" w:line="266" w:lineRule="auto"/>
        <w:tabs>
          <w:tab w:leader="none" w:pos="1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520" w:right="220" w:hanging="503"/>
        <w:spacing w:after="0" w:line="282"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spacing w:after="0" w:line="86" w:lineRule="exact"/>
        <w:rPr>
          <w:sz w:val="20"/>
          <w:szCs w:val="20"/>
          <w:color w:val="auto"/>
        </w:rPr>
      </w:pPr>
    </w:p>
    <w:p>
      <w:pPr>
        <w:ind w:left="1140" w:right="280" w:hanging="509"/>
        <w:spacing w:after="0" w:line="282"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6" w:lineRule="exact"/>
        <w:rPr>
          <w:rFonts w:ascii="Times New Roman" w:cs="Times New Roman" w:eastAsia="Times New Roman" w:hAnsi="Times New Roman"/>
          <w:sz w:val="18"/>
          <w:szCs w:val="18"/>
          <w:color w:val="auto"/>
        </w:rPr>
      </w:pPr>
    </w:p>
    <w:p>
      <w:pPr>
        <w:ind w:left="1140" w:hanging="509"/>
        <w:spacing w:after="0" w:line="282"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480" w:val="left"/>
          <w:tab w:leader="none" w:pos="600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17145</wp:posOffset>
            </wp:positionV>
            <wp:extent cx="330898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Format=&lt;&lt;NUM&gt;&gt;_&lt;&lt;VER&gt;&gt; PRESERVELOCATION \* MERGEFORMAT 93895667_1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440" w:right="65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Terry-Ann Burrell, certify that:</w:t>
      </w:r>
    </w:p>
    <w:p>
      <w:pPr>
        <w:spacing w:after="0" w:line="117" w:lineRule="exact"/>
        <w:rPr>
          <w:sz w:val="20"/>
          <w:szCs w:val="20"/>
          <w:color w:val="auto"/>
        </w:rPr>
      </w:pPr>
    </w:p>
    <w:p>
      <w:pPr>
        <w:ind w:left="520" w:hanging="503"/>
        <w:spacing w:after="0"/>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Beam Therapeutics Inc.;</w:t>
      </w:r>
    </w:p>
    <w:p>
      <w:pPr>
        <w:spacing w:after="0" w:line="360"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520" w:right="200" w:hanging="503"/>
        <w:spacing w:after="0" w:line="282"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0" w:lineRule="exact"/>
        <w:rPr>
          <w:rFonts w:ascii="Times New Roman" w:cs="Times New Roman" w:eastAsia="Times New Roman" w:hAnsi="Times New Roman"/>
          <w:sz w:val="18"/>
          <w:szCs w:val="18"/>
          <w:color w:val="auto"/>
        </w:rPr>
      </w:pPr>
    </w:p>
    <w:p>
      <w:pPr>
        <w:ind w:left="1160" w:right="280" w:hanging="509"/>
        <w:spacing w:after="0" w:line="266" w:lineRule="auto"/>
        <w:tabs>
          <w:tab w:leader="none" w:pos="11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0" w:lineRule="exact"/>
        <w:rPr>
          <w:rFonts w:ascii="Times New Roman" w:cs="Times New Roman" w:eastAsia="Times New Roman" w:hAnsi="Times New Roman"/>
          <w:sz w:val="18"/>
          <w:szCs w:val="18"/>
          <w:color w:val="auto"/>
        </w:rPr>
      </w:pPr>
    </w:p>
    <w:p>
      <w:pPr>
        <w:ind w:left="1160" w:right="200" w:hanging="509"/>
        <w:spacing w:after="0" w:line="266" w:lineRule="auto"/>
        <w:tabs>
          <w:tab w:leader="none" w:pos="11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0" w:lineRule="exact"/>
        <w:rPr>
          <w:rFonts w:ascii="Times New Roman" w:cs="Times New Roman" w:eastAsia="Times New Roman" w:hAnsi="Times New Roman"/>
          <w:sz w:val="18"/>
          <w:szCs w:val="18"/>
          <w:color w:val="auto"/>
        </w:rPr>
      </w:pPr>
    </w:p>
    <w:p>
      <w:pPr>
        <w:jc w:val="both"/>
        <w:ind w:left="1160" w:right="360" w:hanging="509"/>
        <w:spacing w:after="0" w:line="312" w:lineRule="auto"/>
        <w:tabs>
          <w:tab w:leader="none" w:pos="1160"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4" w:lineRule="exact"/>
        <w:rPr>
          <w:rFonts w:ascii="Times New Roman" w:cs="Times New Roman" w:eastAsia="Times New Roman" w:hAnsi="Times New Roman"/>
          <w:sz w:val="17"/>
          <w:szCs w:val="17"/>
          <w:color w:val="auto"/>
        </w:rPr>
      </w:pPr>
    </w:p>
    <w:p>
      <w:pPr>
        <w:ind w:left="1160" w:right="400" w:hanging="509"/>
        <w:spacing w:after="0" w:line="266" w:lineRule="auto"/>
        <w:tabs>
          <w:tab w:leader="none" w:pos="11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520" w:right="220" w:hanging="503"/>
        <w:spacing w:after="0" w:line="282"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6" w:lineRule="exact"/>
        <w:rPr>
          <w:rFonts w:ascii="Times New Roman" w:cs="Times New Roman" w:eastAsia="Times New Roman" w:hAnsi="Times New Roman"/>
          <w:sz w:val="18"/>
          <w:szCs w:val="18"/>
          <w:color w:val="auto"/>
        </w:rPr>
      </w:pPr>
    </w:p>
    <w:p>
      <w:pPr>
        <w:ind w:left="1160" w:right="600" w:hanging="509"/>
        <w:spacing w:after="0" w:line="282" w:lineRule="auto"/>
        <w:tabs>
          <w:tab w:leader="none" w:pos="11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6" w:lineRule="exact"/>
        <w:rPr>
          <w:rFonts w:ascii="Times New Roman" w:cs="Times New Roman" w:eastAsia="Times New Roman" w:hAnsi="Times New Roman"/>
          <w:sz w:val="18"/>
          <w:szCs w:val="18"/>
          <w:color w:val="auto"/>
        </w:rPr>
      </w:pPr>
    </w:p>
    <w:p>
      <w:pPr>
        <w:ind w:left="1160" w:right="320" w:hanging="509"/>
        <w:spacing w:after="0" w:line="282" w:lineRule="auto"/>
        <w:tabs>
          <w:tab w:leader="none" w:pos="11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9" w:name="page190"/>
    <w:bookmarkEnd w:id="189"/>
    <w:p>
      <w:pPr>
        <w:spacing w:after="0" w:line="113" w:lineRule="exact"/>
        <w:rPr>
          <w:sz w:val="20"/>
          <w:szCs w:val="20"/>
          <w:color w:val="auto"/>
        </w:rPr>
      </w:pPr>
    </w:p>
    <w:p>
      <w:pPr>
        <w:spacing w:after="0"/>
        <w:tabs>
          <w:tab w:leader="none" w:pos="5480" w:val="left"/>
          <w:tab w:leader="none" w:pos="596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17145</wp:posOffset>
            </wp:positionV>
            <wp:extent cx="332613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Terry-Ann Burrell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1184910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4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Beam Therapeutics Inc. (the “Company”) on Form 10-K for the period ended December 31, 2023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900" w:hanging="359"/>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5580" w:val="left"/>
          <w:tab w:leader="none" w:pos="600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2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Beam Therapeutics Inc. (the “Company”) on Form 10-K for the period ended December 31, 2023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5580" w:val="left"/>
          <w:tab w:leader="none" w:pos="600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Terry-Ann Burrell</w:t>
      </w:r>
    </w:p>
    <w:p>
      <w:pPr>
        <w:spacing w:after="0" w:line="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2"/>
          <w:szCs w:val="22"/>
          <w:color w:val="auto"/>
        </w:rPr>
        <w:t>Exhibit 97.1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BEAM THERAPEUTICS INC.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Clawback Policy</w:t>
      </w:r>
    </w:p>
    <w:p>
      <w:pPr>
        <w:spacing w:after="0" w:line="20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This Clawback Policy (this “Policy”), adopted by Beam Therapeutics Inc. (the “Company”), relates to the Company’s right to recover compensation previously paid to specified employees in certain circumstances, including the recovery of Erroneously Awarded Compensation (as defined below) in accordance with Nasdaq Listing Rule 5608 (“Rule 5608”), which implements Rule 10D-1 under the Securities Exchange Act of 1934, as amended (the “Exchange Act”) (as promulgated pursuant to Section 954 of the Dodd-Frank Wall Street Reform and Consumer Protection Act of 2010). This Policy is effective as of October 2, 2023 (the “Effective Date”).</w:t>
      </w:r>
    </w:p>
    <w:p>
      <w:pPr>
        <w:spacing w:after="0" w:line="177" w:lineRule="exact"/>
        <w:rPr>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Definitions</w:t>
      </w:r>
    </w:p>
    <w:p>
      <w:pPr>
        <w:spacing w:after="0" w:line="206" w:lineRule="exact"/>
        <w:rPr>
          <w:rFonts w:ascii="Times New Roman" w:cs="Times New Roman" w:eastAsia="Times New Roman" w:hAnsi="Times New Roman"/>
          <w:sz w:val="22"/>
          <w:szCs w:val="22"/>
          <w:b w:val="1"/>
          <w:bCs w:val="1"/>
          <w:u w:val="single" w:color="auto"/>
          <w:color w:val="auto"/>
        </w:rPr>
      </w:pPr>
    </w:p>
    <w:p>
      <w:pPr>
        <w:ind w:right="120" w:firstLine="757"/>
        <w:spacing w:after="0" w:line="245" w:lineRule="auto"/>
        <w:tabs>
          <w:tab w:leader="none" w:pos="1018"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means a requirement that the Company prepare an accounting restatement due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(A) retrospective application of a change in accounting principle; (B) retrospective revision to reportable segment information due to a change in the structure of the Company’s internal organization;</w:t>
      </w:r>
    </w:p>
    <w:p>
      <w:pPr>
        <w:spacing w:after="0" w:line="3" w:lineRule="exact"/>
        <w:rPr>
          <w:rFonts w:ascii="Times New Roman" w:cs="Times New Roman" w:eastAsia="Times New Roman" w:hAnsi="Times New Roman"/>
          <w:sz w:val="21"/>
          <w:szCs w:val="21"/>
          <w:color w:val="auto"/>
        </w:rPr>
      </w:pPr>
    </w:p>
    <w:p>
      <w:pPr>
        <w:ind w:right="34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retrospective reclassification due to a discontinued operation; (D) retrospective application of a change in reporting entity, such as from a reorganization of entities under common control; and (E) retrospective revision for stock splits, reverse stock splits, stock dividends or other changes in capital structure.</w:t>
      </w:r>
    </w:p>
    <w:p>
      <w:pPr>
        <w:spacing w:after="0" w:line="173"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“Committee” </w:t>
      </w:r>
      <w:r>
        <w:rPr>
          <w:rFonts w:ascii="Times New Roman" w:cs="Times New Roman" w:eastAsia="Times New Roman" w:hAnsi="Times New Roman"/>
          <w:sz w:val="22"/>
          <w:szCs w:val="22"/>
          <w:color w:val="auto"/>
        </w:rPr>
        <w:t>means the Compensation Committee of the Company’s Board of Directors (the “Board”).</w:t>
      </w:r>
    </w:p>
    <w:p>
      <w:pPr>
        <w:spacing w:after="0" w:line="206" w:lineRule="exact"/>
        <w:rPr>
          <w:rFonts w:ascii="Times New Roman" w:cs="Times New Roman" w:eastAsia="Times New Roman" w:hAnsi="Times New Roman"/>
          <w:sz w:val="22"/>
          <w:szCs w:val="22"/>
          <w:color w:val="auto"/>
        </w:rPr>
      </w:pPr>
    </w:p>
    <w:p>
      <w:pPr>
        <w:ind w:right="20" w:firstLine="757"/>
        <w:spacing w:after="0" w:line="262" w:lineRule="auto"/>
        <w:tabs>
          <w:tab w:leader="none" w:pos="101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“Covered Person” </w:t>
      </w:r>
      <w:r>
        <w:rPr>
          <w:rFonts w:ascii="Times New Roman" w:cs="Times New Roman" w:eastAsia="Times New Roman" w:hAnsi="Times New Roman"/>
          <w:sz w:val="22"/>
          <w:szCs w:val="22"/>
          <w:color w:val="auto"/>
        </w:rPr>
        <w:t>means a person who served as an Executive Officer at any time during the performance period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Incentive-Based Compensation.</w:t>
      </w:r>
    </w:p>
    <w:p>
      <w:pPr>
        <w:spacing w:after="0" w:line="149" w:lineRule="exact"/>
        <w:rPr>
          <w:rFonts w:ascii="Times New Roman" w:cs="Times New Roman" w:eastAsia="Times New Roman" w:hAnsi="Times New Roman"/>
          <w:sz w:val="22"/>
          <w:szCs w:val="22"/>
          <w:color w:val="auto"/>
        </w:rPr>
      </w:pPr>
    </w:p>
    <w:p>
      <w:pPr>
        <w:ind w:right="20" w:firstLine="757"/>
        <w:spacing w:after="0" w:line="235" w:lineRule="auto"/>
        <w:tabs>
          <w:tab w:leader="none" w:pos="101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“Erroneously Awarded Compensation” </w:t>
      </w:r>
      <w:r>
        <w:rPr>
          <w:rFonts w:ascii="Times New Roman" w:cs="Times New Roman" w:eastAsia="Times New Roman" w:hAnsi="Times New Roman"/>
          <w:sz w:val="22"/>
          <w:szCs w:val="22"/>
          <w:color w:val="auto"/>
        </w:rPr>
        <w:t>means the amount of Incentive-Based Compensation that was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exceeds the amount of Incentive-Based Compensation that otherwise would have been Received had the amount of Incentive-Based Compensation been determined based on the restated amounts, computed without regard to any taxes paid by the Covered Person or by the Company on the Covered Person’s behalf.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 Restatement on the stock price or total shareholder return upon which the Incentive-Based Compensation was Received.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2"/>
          <w:szCs w:val="22"/>
          <w:color w:val="auto"/>
        </w:rPr>
        <w:t>Exhibit 97.1</w:t>
      </w:r>
    </w:p>
    <w:p>
      <w:pPr>
        <w:spacing w:after="0" w:line="391" w:lineRule="exact"/>
        <w:rPr>
          <w:sz w:val="20"/>
          <w:szCs w:val="20"/>
          <w:color w:val="auto"/>
        </w:rPr>
      </w:pPr>
    </w:p>
    <w:p>
      <w:pPr>
        <w:ind w:left="1020" w:hanging="263"/>
        <w:spacing w:after="0"/>
        <w:tabs>
          <w:tab w:leader="none" w:pos="10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“Executive Officer” </w:t>
      </w:r>
      <w:r>
        <w:rPr>
          <w:rFonts w:ascii="Times New Roman" w:cs="Times New Roman" w:eastAsia="Times New Roman" w:hAnsi="Times New Roman"/>
          <w:sz w:val="22"/>
          <w:szCs w:val="22"/>
          <w:color w:val="auto"/>
        </w:rPr>
        <w:t>means the Company’s officers as defined in Rule 16a-1(f) under the Exchange Act.</w:t>
      </w:r>
    </w:p>
    <w:p>
      <w:pPr>
        <w:spacing w:after="0" w:line="206" w:lineRule="exact"/>
        <w:rPr>
          <w:rFonts w:ascii="Times New Roman" w:cs="Times New Roman" w:eastAsia="Times New Roman" w:hAnsi="Times New Roman"/>
          <w:sz w:val="22"/>
          <w:szCs w:val="22"/>
          <w:color w:val="auto"/>
        </w:rPr>
      </w:pPr>
    </w:p>
    <w:p>
      <w:pPr>
        <w:ind w:right="160" w:firstLine="757"/>
        <w:spacing w:after="0" w:line="241" w:lineRule="auto"/>
        <w:tabs>
          <w:tab w:leader="none" w:pos="101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“Financial Reporting Measures” </w:t>
      </w:r>
      <w:r>
        <w:rPr>
          <w:rFonts w:ascii="Times New Roman" w:cs="Times New Roman" w:eastAsia="Times New Roman" w:hAnsi="Times New Roman"/>
          <w:sz w:val="22"/>
          <w:szCs w:val="22"/>
          <w:color w:val="auto"/>
        </w:rPr>
        <w:t>means (A) measures that are determined and presented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principles used in preparing the Company’s financial statements, and any measures that are derived wholly or in part from such measures (whether or not such measures are presented within the Company’s financial statements or included in a filing made with the U.S. Securities and Exchange Commission), (B) stock price and (C) total shareholder return.</w:t>
      </w:r>
    </w:p>
    <w:p>
      <w:pPr>
        <w:spacing w:after="0" w:line="171"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attainment of a Financial Reporting Measure.</w:t>
      </w:r>
    </w:p>
    <w:p>
      <w:pPr>
        <w:spacing w:after="0" w:line="150" w:lineRule="exact"/>
        <w:rPr>
          <w:sz w:val="20"/>
          <w:szCs w:val="20"/>
          <w:color w:val="auto"/>
        </w:rPr>
      </w:pPr>
    </w:p>
    <w:p>
      <w:pPr>
        <w:ind w:right="60" w:firstLine="749"/>
        <w:spacing w:after="0" w:line="241" w:lineRule="auto"/>
        <w:rPr>
          <w:sz w:val="20"/>
          <w:szCs w:val="20"/>
          <w:color w:val="auto"/>
        </w:rPr>
      </w:pPr>
      <w:r>
        <w:rPr>
          <w:rFonts w:ascii="Times New Roman" w:cs="Times New Roman" w:eastAsia="Times New Roman" w:hAnsi="Times New Roman"/>
          <w:sz w:val="22"/>
          <w:szCs w:val="22"/>
          <w:color w:val="auto"/>
        </w:rPr>
        <w:t xml:space="preserve">(h)Incentive-Based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applicable Incentive-Based Compensation award is attained, even if the payment or grant of the Incentive-Based Compensation occurs after the end of that period or is subject to additional time-based vesting requirements.</w:t>
      </w:r>
    </w:p>
    <w:p>
      <w:pPr>
        <w:spacing w:after="0" w:line="172" w:lineRule="exact"/>
        <w:rPr>
          <w:sz w:val="20"/>
          <w:szCs w:val="20"/>
          <w:color w:val="auto"/>
        </w:rPr>
      </w:pPr>
    </w:p>
    <w:p>
      <w:pPr>
        <w:ind w:right="80" w:firstLine="757"/>
        <w:spacing w:after="0" w:line="237" w:lineRule="auto"/>
        <w:tabs>
          <w:tab w:leader="none" w:pos="1018"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“Recovery Period” </w:t>
      </w:r>
      <w:r>
        <w:rPr>
          <w:rFonts w:ascii="Times New Roman" w:cs="Times New Roman" w:eastAsia="Times New Roman" w:hAnsi="Times New Roman"/>
          <w:sz w:val="22"/>
          <w:szCs w:val="22"/>
          <w:color w:val="auto"/>
        </w:rPr>
        <w:t>means the three completed fiscal years immediately preceding the earlier of: (A) the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if there is a change in the Company’s fiscal year end, the Recovery Period will also include any transition period to the extent required by Rule 5608.</w:t>
      </w:r>
    </w:p>
    <w:p>
      <w:pPr>
        <w:spacing w:after="0" w:line="175"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0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Recovery of Erroneously Awarded Compensation</w:t>
      </w:r>
    </w:p>
    <w:p>
      <w:pPr>
        <w:spacing w:after="0" w:line="210" w:lineRule="exact"/>
        <w:rPr>
          <w:rFonts w:ascii="Times New Roman" w:cs="Times New Roman" w:eastAsia="Times New Roman" w:hAnsi="Times New Roman"/>
          <w:sz w:val="22"/>
          <w:szCs w:val="22"/>
          <w:b w:val="1"/>
          <w:bCs w:val="1"/>
          <w:u w:val="single" w:color="auto"/>
          <w:color w:val="auto"/>
        </w:rPr>
      </w:pPr>
    </w:p>
    <w:p>
      <w:pPr>
        <w:ind w:right="280" w:firstLine="757"/>
        <w:spacing w:after="0" w:line="238" w:lineRule="auto"/>
        <w:tabs>
          <w:tab w:leader="none" w:pos="101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Erroneously Awarded Compensation Upon an Accounting Restatement.</w:t>
      </w:r>
      <w:r>
        <w:rPr>
          <w:rFonts w:ascii="Times New Roman" w:cs="Times New Roman" w:eastAsia="Times New Roman" w:hAnsi="Times New Roman"/>
          <w:sz w:val="22"/>
          <w:szCs w:val="22"/>
          <w:color w:val="auto"/>
        </w:rPr>
        <w:t xml:space="preserve"> Subject to the terms of this Policy and the requirements of Rule 5608, if, on or after the Effective Date, the Company is required to prepare an Accounting Restatement, the Company will attempt to recover, reasonably promptly from each Covered Person, any Erroneously Awarded Compensation that was Received by such Covered Person during the Recovery Period pursuant to Incentive-Based Compensation that is subject to this Policy.</w:t>
      </w:r>
    </w:p>
    <w:p>
      <w:pPr>
        <w:spacing w:after="0" w:line="176" w:lineRule="exact"/>
        <w:rPr>
          <w:rFonts w:ascii="Times New Roman" w:cs="Times New Roman" w:eastAsia="Times New Roman" w:hAnsi="Times New Roman"/>
          <w:sz w:val="22"/>
          <w:szCs w:val="22"/>
          <w:color w:val="auto"/>
        </w:rPr>
      </w:pPr>
    </w:p>
    <w:p>
      <w:pPr>
        <w:ind w:right="60" w:firstLine="757"/>
        <w:spacing w:after="0" w:line="235" w:lineRule="auto"/>
        <w:tabs>
          <w:tab w:leader="none" w:pos="101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Potential Recovery of Additional Amounts Upon an Accounting Restatement</w:t>
      </w:r>
      <w:r>
        <w:rPr>
          <w:rFonts w:ascii="Times New Roman" w:cs="Times New Roman" w:eastAsia="Times New Roman" w:hAnsi="Times New Roman"/>
          <w:sz w:val="22"/>
          <w:szCs w:val="22"/>
          <w:color w:val="auto"/>
        </w:rPr>
        <w:t>. In addition to (and without limiting) the provisions of Section 2(a) of this Policy, in the event that the Committee, in its discretion, determines that a Covered Person’s acts or omissions that contributed to the circumstances requiring an Accounting Restatement that is subject to Section 2(a) of this Policy involved either: (i) intentional misconduct or an intentional violation of any of the Company’s rules or any applicable legal or regulatory requirements in the course of the Covered Person’s employment by the Company or (ii) fraud in the course of the Covered Person’s employment by the Company, then in each such case, the Company may attempt to recover from such Covered Person up to 100% (as determined by the Committee in its discretion based on such considerations as the Committee deems appropriate) of the Covered Person’s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color w:val="auto"/>
        </w:rPr>
        <w:t>Exhibit 97.1</w:t>
      </w:r>
    </w:p>
    <w:p>
      <w:pPr>
        <w:spacing w:after="0" w:line="3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Incentive-Based Compensation and other equity awards/compensation other than base salary that was Received by such Covered Person during the Recovery Period.</w:t>
      </w:r>
    </w:p>
    <w:p>
      <w:pPr>
        <w:spacing w:after="0" w:line="154"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Interpretation and Administration</w:t>
      </w:r>
    </w:p>
    <w:p>
      <w:pPr>
        <w:spacing w:after="0" w:line="210" w:lineRule="exact"/>
        <w:rPr>
          <w:rFonts w:ascii="Times New Roman" w:cs="Times New Roman" w:eastAsia="Times New Roman" w:hAnsi="Times New Roman"/>
          <w:sz w:val="22"/>
          <w:szCs w:val="22"/>
          <w:b w:val="1"/>
          <w:bCs w:val="1"/>
          <w:u w:val="single" w:color="auto"/>
          <w:color w:val="auto"/>
        </w:rPr>
      </w:pPr>
    </w:p>
    <w:p>
      <w:pPr>
        <w:ind w:right="60" w:firstLine="757"/>
        <w:spacing w:after="0" w:line="239" w:lineRule="auto"/>
        <w:tabs>
          <w:tab w:leader="none" w:pos="101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Role of the Committee</w:t>
      </w:r>
      <w:r>
        <w:rPr>
          <w:rFonts w:ascii="Times New Roman" w:cs="Times New Roman" w:eastAsia="Times New Roman" w:hAnsi="Times New Roman"/>
          <w:sz w:val="22"/>
          <w:szCs w:val="22"/>
          <w:color w:val="auto"/>
        </w:rPr>
        <w:t>. Section 2(a) of this Policy will be interpreted by the Committee in a manner that is consistent with Rule 5608 and any other applicable law and this Policy will otherwise be interpreted in the business judgment of the Committee. All decisions and interpretations of the Committee will be final and binding; provided that, with respect to Section 2(a), such decisions must be consistent with Rule 5608.</w:t>
      </w:r>
    </w:p>
    <w:p>
      <w:pPr>
        <w:spacing w:after="0" w:line="180" w:lineRule="exact"/>
        <w:rPr>
          <w:rFonts w:ascii="Times New Roman" w:cs="Times New Roman" w:eastAsia="Times New Roman" w:hAnsi="Times New Roman"/>
          <w:sz w:val="22"/>
          <w:szCs w:val="22"/>
          <w:color w:val="auto"/>
        </w:rPr>
      </w:pPr>
    </w:p>
    <w:p>
      <w:pPr>
        <w:ind w:right="240" w:firstLine="757"/>
        <w:spacing w:after="0" w:line="239" w:lineRule="auto"/>
        <w:tabs>
          <w:tab w:leader="none" w:pos="101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Not Subject to this Policy</w:t>
      </w:r>
      <w:r>
        <w:rPr>
          <w:rFonts w:ascii="Times New Roman" w:cs="Times New Roman" w:eastAsia="Times New Roman" w:hAnsi="Times New Roman"/>
          <w:sz w:val="22"/>
          <w:szCs w:val="22"/>
          <w:color w:val="auto"/>
        </w:rPr>
        <w:t>. This Policy does not apply to Incentive-Based Compensation that was Received (A) before the Effective Date or (B) prior to when the Company first had a class of securities listed on a national securities exchange. With respect to any Covered Person, this Policy does not apply to Incentive-Based Compensation that was Received by such Covered Person before beginning service as an Executive Officer.</w:t>
      </w:r>
    </w:p>
    <w:p>
      <w:pPr>
        <w:spacing w:after="0" w:line="180" w:lineRule="exact"/>
        <w:rPr>
          <w:rFonts w:ascii="Times New Roman" w:cs="Times New Roman" w:eastAsia="Times New Roman" w:hAnsi="Times New Roman"/>
          <w:sz w:val="22"/>
          <w:szCs w:val="22"/>
          <w:color w:val="auto"/>
        </w:rPr>
      </w:pPr>
    </w:p>
    <w:p>
      <w:pPr>
        <w:ind w:right="380" w:firstLine="757"/>
        <w:spacing w:after="0" w:line="235" w:lineRule="auto"/>
        <w:tabs>
          <w:tab w:leader="none" w:pos="101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Means of Recovery</w:t>
      </w:r>
      <w:r>
        <w:rPr>
          <w:rFonts w:ascii="Times New Roman" w:cs="Times New Roman" w:eastAsia="Times New Roman" w:hAnsi="Times New Roman"/>
          <w:sz w:val="22"/>
          <w:szCs w:val="22"/>
          <w:color w:val="auto"/>
        </w:rPr>
        <w:t>. Subject to the requirement that recovery under Section 2(a) be made reasonably promptly, the Committee will determine the appropriate means of any recovery under this Policy, which may vary between Covered Persons or based on the nature of the applicable compensation, and which may involve, without limitation, establishing a deferred repayment plan or setting off against current or future compensation otherwise payable to the Covered Person. Recovery of Erroneously Awarded Compensation under Section 2(a) of this Policy will be made without regard to income taxes paid by the Covered Person or by the Company on the Covered Person’s behalf in connection with such Erroneously Awarded Compensation.</w:t>
      </w:r>
    </w:p>
    <w:p>
      <w:pPr>
        <w:spacing w:after="0" w:line="183" w:lineRule="exact"/>
        <w:rPr>
          <w:rFonts w:ascii="Times New Roman" w:cs="Times New Roman" w:eastAsia="Times New Roman" w:hAnsi="Times New Roman"/>
          <w:sz w:val="22"/>
          <w:szCs w:val="22"/>
          <w:color w:val="auto"/>
        </w:rPr>
      </w:pPr>
    </w:p>
    <w:p>
      <w:pPr>
        <w:ind w:right="20" w:firstLine="757"/>
        <w:spacing w:after="0" w:line="235" w:lineRule="auto"/>
        <w:tabs>
          <w:tab w:leader="none" w:pos="101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That Recovery is Impracticable</w:t>
      </w:r>
      <w:r>
        <w:rPr>
          <w:rFonts w:ascii="Times New Roman" w:cs="Times New Roman" w:eastAsia="Times New Roman" w:hAnsi="Times New Roman"/>
          <w:sz w:val="22"/>
          <w:szCs w:val="22"/>
          <w:color w:val="auto"/>
        </w:rPr>
        <w:t>. The Company is not required to recover Erroneously Awarded Compensation under Section 2(a) of this Policy if a determination is made by the Committee that either (A) after the Company has made and documented a reasonable attempt to recover such Erroneously Awarded Compensation, the direct expense paid to a third party to assist in enforcing this Policy would exceed the amount to be recovered or (B) recovery of such Erroneously Awarded Compensation would likely cause an otherwise tax-qualified retirement plan, under which benefits are broadly available to employees of the registrant, to fail to meet the requirements of Section 401(a)(13) or 411(a) of the Internal Revenue Code and regulations thereunder.</w:t>
      </w:r>
    </w:p>
    <w:p>
      <w:pPr>
        <w:spacing w:after="0" w:line="183" w:lineRule="exact"/>
        <w:rPr>
          <w:rFonts w:ascii="Times New Roman" w:cs="Times New Roman" w:eastAsia="Times New Roman" w:hAnsi="Times New Roman"/>
          <w:sz w:val="22"/>
          <w:szCs w:val="22"/>
          <w:color w:val="auto"/>
        </w:rPr>
      </w:pPr>
    </w:p>
    <w:p>
      <w:pPr>
        <w:ind w:right="40" w:firstLine="757"/>
        <w:spacing w:after="0" w:line="239" w:lineRule="auto"/>
        <w:tabs>
          <w:tab w:leader="none" w:pos="101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 or Company-Paid Insurance</w:t>
      </w:r>
      <w:r>
        <w:rPr>
          <w:rFonts w:ascii="Times New Roman" w:cs="Times New Roman" w:eastAsia="Times New Roman" w:hAnsi="Times New Roman"/>
          <w:sz w:val="22"/>
          <w:szCs w:val="22"/>
          <w:color w:val="auto"/>
        </w:rPr>
        <w:t>. The Company will not indemnify any Covered Person against the loss of Erroneously Awarded Compensation or any other amounts that may be recovered by the Company in accordance with this Policy and will not pay or reimburse any Covered Person for the purchase of a third-party insurance policy to fund potential recovery obligations.</w:t>
      </w:r>
    </w:p>
    <w:p>
      <w:pPr>
        <w:spacing w:after="0" w:line="180" w:lineRule="exact"/>
        <w:rPr>
          <w:rFonts w:ascii="Times New Roman" w:cs="Times New Roman" w:eastAsia="Times New Roman" w:hAnsi="Times New Roman"/>
          <w:sz w:val="22"/>
          <w:szCs w:val="22"/>
          <w:color w:val="auto"/>
        </w:rPr>
      </w:pPr>
    </w:p>
    <w:p>
      <w:pPr>
        <w:jc w:val="both"/>
        <w:ind w:right="120" w:firstLine="757"/>
        <w:spacing w:after="0" w:line="261" w:lineRule="auto"/>
        <w:tabs>
          <w:tab w:leader="none" w:pos="1018"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Interaction with Other Clawback Provisions</w:t>
      </w:r>
      <w:r>
        <w:rPr>
          <w:rFonts w:ascii="Times New Roman" w:cs="Times New Roman" w:eastAsia="Times New Roman" w:hAnsi="Times New Roman"/>
          <w:sz w:val="21"/>
          <w:szCs w:val="21"/>
          <w:color w:val="auto"/>
        </w:rPr>
        <w:t>. The Company will be deemed to have recovered Erroneously Awarded Compensation in accordance with Section 2(a) of this Policy to the extent the Company actually receives such amounts pursuant to any other Company policy, program or agreement, pursuant to Section 304 of the Sarbanes-Oxley Act or otherwise.</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color w:val="auto"/>
        </w:rPr>
        <w:t>Exhibit 97.1</w:t>
      </w:r>
    </w:p>
    <w:p>
      <w:pPr>
        <w:spacing w:after="0" w:line="395" w:lineRule="exact"/>
        <w:rPr>
          <w:sz w:val="20"/>
          <w:szCs w:val="20"/>
          <w:color w:val="auto"/>
        </w:rPr>
      </w:pPr>
    </w:p>
    <w:p>
      <w:pPr>
        <w:ind w:right="200" w:firstLine="757"/>
        <w:spacing w:after="0" w:line="244" w:lineRule="auto"/>
        <w:tabs>
          <w:tab w:leader="none" w:pos="101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Limitation on Other Remedies</w:t>
      </w:r>
      <w:r>
        <w:rPr>
          <w:rFonts w:ascii="Times New Roman" w:cs="Times New Roman" w:eastAsia="Times New Roman" w:hAnsi="Times New Roman"/>
          <w:sz w:val="22"/>
          <w:szCs w:val="22"/>
          <w:color w:val="auto"/>
        </w:rPr>
        <w:t>. Nothing in this Policy will be deemed to limit the Company’s right to terminate employment of any Covered Person, to seek recovery of other compensation paid to a Covered Person, or to pursue other rights or remedies available to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by the Board on September 14, 2023.</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6" w:name="page197"/>
    <w:bookmarkEnd w:id="1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1)"/>
      <w:numFmt w:val="lowerRoman"/>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1)"/>
      <w:numFmt w:val="decimal"/>
      <w:start w:val="5"/>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1)"/>
      <w:numFmt w:val="lowerRoman"/>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1)"/>
      <w:numFmt w:val="lowerRoman"/>
      <w:start w:val="3"/>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1)"/>
      <w:numFmt w:val="decimal"/>
      <w:start w:val="1"/>
    </w:lvl>
  </w:abstractNum>
  <w:abstractNum w:abstractNumId="75">
    <w:nsid w:val="3222E7CD"/>
    <w:multiLevelType w:val="hybridMultilevel"/>
    <w:lvl w:ilvl="0">
      <w:lvlJc w:val="left"/>
      <w:lvlText w:val="(%1)"/>
      <w:numFmt w:val="decimal"/>
      <w:start w:val="10"/>
    </w:lvl>
  </w:abstractNum>
  <w:abstractNum w:abstractNumId="76">
    <w:nsid w:val="74DE0EE3"/>
    <w:multiLevelType w:val="hybridMultilevel"/>
    <w:lvl w:ilvl="0">
      <w:lvlJc w:val="left"/>
      <w:lvlText w:val="%1."/>
      <w:numFmt w:val="upperLetter"/>
      <w:start w:val="1"/>
    </w:lvl>
  </w:abstractNum>
  <w:abstractNum w:abstractNumId="77">
    <w:nsid w:val="68EBC550"/>
    <w:multiLevelType w:val="hybridMultilevel"/>
    <w:lvl w:ilvl="0">
      <w:lvlJc w:val="left"/>
      <w:lvlText w:val="%1."/>
      <w:numFmt w:val="decimal"/>
      <w:start w:val="1"/>
    </w:lvl>
    <w:lvl w:ilvl="1">
      <w:lvlJc w:val="left"/>
      <w:lvlText w:val="(%2)"/>
      <w:numFmt w:val="lowerLetter"/>
      <w:start w:val="1"/>
    </w:lvl>
  </w:abstractNum>
  <w:abstractNum w:abstractNumId="78">
    <w:nsid w:val="2DF6D648"/>
    <w:multiLevelType w:val="hybridMultilevel"/>
    <w:lvl w:ilvl="0">
      <w:lvlJc w:val="left"/>
      <w:lvlText w:val="%1."/>
      <w:numFmt w:val="decimal"/>
      <w:start w:val="3"/>
    </w:lvl>
    <w:lvl w:ilvl="1">
      <w:lvlJc w:val="left"/>
      <w:lvlText w:val="(%2)"/>
      <w:numFmt w:val="lowerLetter"/>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2"/>
    </w:lvl>
  </w:abstractNum>
  <w:abstractNum w:abstractNumId="81">
    <w:nsid w:val="39EE015C"/>
    <w:multiLevelType w:val="hybridMultilevel"/>
    <w:lvl w:ilvl="0">
      <w:lvlJc w:val="left"/>
      <w:lvlText w:val="%1."/>
      <w:numFmt w:val="upperLetter"/>
      <w:start w:val="3"/>
    </w:lvl>
    <w:lvl w:ilvl="1">
      <w:lvlJc w:val="left"/>
      <w:lvlText w:val="%2"/>
      <w:numFmt w:val="upperLetter"/>
      <w:start w:val="1"/>
    </w:lvl>
    <w:lvl w:ilvl="2">
      <w:lvlJc w:val="left"/>
      <w:lvlText w:val="%3"/>
      <w:numFmt w:val="upperLetter"/>
      <w:start w:val="1"/>
    </w:lvl>
  </w:abstractNum>
  <w:abstractNum w:abstractNumId="82">
    <w:nsid w:val="57FC4FBB"/>
    <w:multiLevelType w:val="hybridMultilevel"/>
    <w:lvl w:ilvl="0">
      <w:lvlJc w:val="left"/>
      <w:lvlText w:val="%1"/>
      <w:numFmt w:val="decimal"/>
      <w:start w:val="1"/>
    </w:lvl>
    <w:lvl w:ilvl="1">
      <w:lvlJc w:val="left"/>
      <w:lvlText w:val="%2."/>
      <w:numFmt w:val="decimal"/>
      <w:start w:val="1"/>
    </w:lvl>
  </w:abstractNum>
  <w:abstractNum w:abstractNumId="83">
    <w:nsid w:val="CC1016F"/>
    <w:multiLevelType w:val="hybridMultilevel"/>
    <w:lvl w:ilvl="0">
      <w:lvlJc w:val="left"/>
      <w:lvlText w:val="%1."/>
      <w:numFmt w:val="decimal"/>
      <w:start w:val="2"/>
    </w:lvl>
    <w:lvl w:ilvl="1">
      <w:lvlJc w:val="left"/>
      <w:lvlText w:val="%2"/>
      <w:numFmt w:val="decimal"/>
      <w:start w:val="1"/>
    </w:lvl>
  </w:abstractNum>
  <w:abstractNum w:abstractNumId="84">
    <w:nsid w:val="43F18422"/>
    <w:multiLevelType w:val="hybridMultilevel"/>
    <w:lvl w:ilvl="0">
      <w:lvlJc w:val="left"/>
      <w:lvlText w:val="%1."/>
      <w:numFmt w:val="decimal"/>
      <w:start w:val="3"/>
    </w:lvl>
  </w:abstractNum>
  <w:abstractNum w:abstractNumId="85">
    <w:nsid w:val="60EF0119"/>
    <w:multiLevelType w:val="hybridMultilevel"/>
    <w:lvl w:ilvl="0">
      <w:lvlJc w:val="left"/>
      <w:lvlText w:val="%1."/>
      <w:numFmt w:val="decimal"/>
      <w:start w:val="5"/>
    </w:lvl>
    <w:lvl w:ilvl="1">
      <w:lvlJc w:val="left"/>
      <w:lvlText w:val="%2."/>
      <w:numFmt w:val="lowerLetter"/>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1."/>
      <w:numFmt w:val="upperLetter"/>
      <w:start w:val="1"/>
    </w:lvl>
  </w:abstractNum>
  <w:abstractNum w:abstractNumId="88">
    <w:nsid w:val="49DA307D"/>
    <w:multiLevelType w:val="hybridMultilevel"/>
    <w:lvl w:ilvl="0">
      <w:lvlJc w:val="left"/>
      <w:lvlText w:val="%1."/>
      <w:numFmt w:val="decimal"/>
      <w:start w:val="1"/>
    </w:lvl>
    <w:lvl w:ilvl="1">
      <w:lvlJc w:val="left"/>
      <w:lvlText w:val="%2."/>
      <w:numFmt w:val="lowerLetter"/>
      <w:start w:val="1"/>
    </w:lvl>
  </w:abstractNum>
  <w:abstractNum w:abstractNumId="89">
    <w:nsid w:val="7055A5F5"/>
    <w:multiLevelType w:val="hybridMultilevel"/>
    <w:lvl w:ilvl="0">
      <w:lvlJc w:val="left"/>
      <w:lvlText w:val="%1."/>
      <w:numFmt w:val="decimal"/>
      <w:start w:val="2"/>
    </w:lvl>
    <w:lvl w:ilvl="1">
      <w:lvlJc w:val="left"/>
      <w:lvlText w:val="%2."/>
      <w:numFmt w:val="lowerLetter"/>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decimal"/>
      <w:start w:val="1"/>
    </w:lvl>
    <w:lvl w:ilvl="1">
      <w:lvlJc w:val="left"/>
      <w:lvlText w:val="(%2)"/>
      <w:numFmt w:val="lowerLetter"/>
      <w:start w:val="1"/>
    </w:lvl>
  </w:abstractNum>
  <w:abstractNum w:abstractNumId="92">
    <w:nsid w:val="488AC1A"/>
    <w:multiLevelType w:val="hybridMultilevel"/>
    <w:lvl w:ilvl="0">
      <w:lvlJc w:val="left"/>
      <w:lvlText w:val="(%1)"/>
      <w:numFmt w:val="lowerLetter"/>
      <w:start w:val="1"/>
    </w:lvl>
  </w:abstractNum>
  <w:abstractNum w:abstractNumId="93">
    <w:nsid w:val="5FB8011C"/>
    <w:multiLevelType w:val="hybridMultilevel"/>
    <w:lvl w:ilvl="0">
      <w:lvlJc w:val="left"/>
      <w:lvlText w:val="%1."/>
      <w:numFmt w:val="decimal"/>
      <w:start w:val="1"/>
    </w:lvl>
    <w:lvl w:ilvl="1">
      <w:lvlJc w:val="left"/>
      <w:lvlText w:val="(%2)"/>
      <w:numFmt w:val="lowerLetter"/>
      <w:start w:val="1"/>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decimal"/>
      <w:start w:val="1"/>
    </w:lvl>
    <w:lvl w:ilvl="1">
      <w:lvlJc w:val="left"/>
      <w:lvlText w:val="(%2)"/>
      <w:numFmt w:val="lowerLetter"/>
      <w:start w:val="1"/>
    </w:lvl>
  </w:abstractNum>
  <w:abstractNum w:abstractNumId="97">
    <w:nsid w:val="6A5F7029"/>
    <w:multiLevelType w:val="hybridMultilevel"/>
    <w:lvl w:ilvl="0">
      <w:lvlJc w:val="left"/>
      <w:lvlText w:val="(%1)"/>
      <w:numFmt w:val="lowerLetter"/>
      <w:start w:val="5"/>
    </w:lvl>
  </w:abstractNum>
  <w:abstractNum w:abstractNumId="98">
    <w:nsid w:val="7D5E18F8"/>
    <w:multiLevelType w:val="hybridMultilevel"/>
    <w:lvl w:ilvl="0">
      <w:lvlJc w:val="left"/>
      <w:lvlText w:val="%1"/>
      <w:numFmt w:val="decimal"/>
      <w:start w:val="1"/>
    </w:lvl>
    <w:lvl w:ilvl="1">
      <w:lvlJc w:val="left"/>
      <w:lvlText w:val="(%2)"/>
      <w:numFmt w:val="lowerLetter"/>
      <w:start w:val="9"/>
    </w:lvl>
  </w:abstractNum>
  <w:abstractNum w:abstractNumId="99">
    <w:nsid w:val="5F3534A4"/>
    <w:multiLevelType w:val="hybridMultilevel"/>
    <w:lvl w:ilvl="0">
      <w:lvlJc w:val="left"/>
      <w:lvlText w:val="%1."/>
      <w:numFmt w:val="decimal"/>
      <w:start w:val="2"/>
    </w:lvl>
    <w:lvl w:ilvl="1">
      <w:lvlJc w:val="left"/>
      <w:lvlText w:val="(%2)"/>
      <w:numFmt w:val="lowerLetter"/>
      <w:start w:val="1"/>
    </w:lvl>
  </w:abstractNum>
  <w:abstractNum w:abstractNumId="100">
    <w:nsid w:val="73A1821B"/>
    <w:multiLevelType w:val="hybridMultilevel"/>
    <w:lvl w:ilvl="0">
      <w:lvlJc w:val="left"/>
      <w:lvlText w:val="%1."/>
      <w:numFmt w:val="decimal"/>
      <w:start w:val="3"/>
    </w:lvl>
    <w:lvl w:ilvl="1">
      <w:lvlJc w:val="left"/>
      <w:lvlText w:val="(%2)"/>
      <w:numFmt w:val="lowerLetter"/>
      <w:start w:val="1"/>
    </w:lvl>
  </w:abstractNum>
  <w:abstractNum w:abstractNumId="101">
    <w:nsid w:val="7DE67713"/>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303" Type="http://schemas.openxmlformats.org/officeDocument/2006/relationships/image" Target="media/image251.png"/><Relationship Id="rId304"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310" Type="http://schemas.openxmlformats.org/officeDocument/2006/relationships/image" Target="media/image258.png"/><Relationship Id="rId311" Type="http://schemas.openxmlformats.org/officeDocument/2006/relationships/image" Target="media/image259.png"/><Relationship Id="rId312" Type="http://schemas.openxmlformats.org/officeDocument/2006/relationships/image" Target="media/image260.png"/><Relationship Id="rId313" Type="http://schemas.openxmlformats.org/officeDocument/2006/relationships/image" Target="media/image261.png"/><Relationship Id="rId314" Type="http://schemas.openxmlformats.org/officeDocument/2006/relationships/image" Target="media/image262.png"/><Relationship Id="rId315" Type="http://schemas.openxmlformats.org/officeDocument/2006/relationships/image" Target="media/image263.png"/><Relationship Id="rId316" Type="http://schemas.openxmlformats.org/officeDocument/2006/relationships/image" Target="media/image264.png"/><Relationship Id="rId317" Type="http://schemas.openxmlformats.org/officeDocument/2006/relationships/image" Target="media/image265.png"/><Relationship Id="rId318" Type="http://schemas.openxmlformats.org/officeDocument/2006/relationships/image" Target="media/image266.png"/><Relationship Id="rId319" Type="http://schemas.openxmlformats.org/officeDocument/2006/relationships/image" Target="media/image267.png"/><Relationship Id="rId320" Type="http://schemas.openxmlformats.org/officeDocument/2006/relationships/image" Target="media/image268.png"/><Relationship Id="rId321" Type="http://schemas.openxmlformats.org/officeDocument/2006/relationships/image" Target="media/image269.png"/><Relationship Id="rId322" Type="http://schemas.openxmlformats.org/officeDocument/2006/relationships/image" Target="media/image270.png"/><Relationship Id="rId323" Type="http://schemas.openxmlformats.org/officeDocument/2006/relationships/image" Target="media/image271.png"/><Relationship Id="rId324" Type="http://schemas.openxmlformats.org/officeDocument/2006/relationships/image" Target="media/image272.png"/><Relationship Id="rId325" Type="http://schemas.openxmlformats.org/officeDocument/2006/relationships/image" Target="media/image273.pn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png"/><Relationship Id="rId333" Type="http://schemas.openxmlformats.org/officeDocument/2006/relationships/image" Target="media/image281.png"/><Relationship Id="rId334" Type="http://schemas.openxmlformats.org/officeDocument/2006/relationships/image" Target="media/image282.png"/><Relationship Id="rId335" Type="http://schemas.openxmlformats.org/officeDocument/2006/relationships/image" Target="media/image283.png"/><Relationship Id="rId336" Type="http://schemas.openxmlformats.org/officeDocument/2006/relationships/image" Target="media/image284.png"/><Relationship Id="rId337" Type="http://schemas.openxmlformats.org/officeDocument/2006/relationships/image" Target="media/image285.png"/><Relationship Id="rId338" Type="http://schemas.openxmlformats.org/officeDocument/2006/relationships/image" Target="media/image286.png"/><Relationship Id="rId339" Type="http://schemas.openxmlformats.org/officeDocument/2006/relationships/image" Target="media/image287.png"/><Relationship Id="rId340" Type="http://schemas.openxmlformats.org/officeDocument/2006/relationships/image" Target="media/image288.png"/><Relationship Id="rId341" Type="http://schemas.openxmlformats.org/officeDocument/2006/relationships/image" Target="media/image289.png"/><Relationship Id="rId342" Type="http://schemas.openxmlformats.org/officeDocument/2006/relationships/image" Target="media/image290.png"/><Relationship Id="rId343" Type="http://schemas.openxmlformats.org/officeDocument/2006/relationships/image" Target="media/image291.png"/><Relationship Id="rId344" Type="http://schemas.openxmlformats.org/officeDocument/2006/relationships/image" Target="media/image292.png"/><Relationship Id="rId345" Type="http://schemas.openxmlformats.org/officeDocument/2006/relationships/image" Target="media/image293.png"/><Relationship Id="rId346" Type="http://schemas.openxmlformats.org/officeDocument/2006/relationships/image" Target="media/image294.png"/><Relationship Id="rId347" Type="http://schemas.openxmlformats.org/officeDocument/2006/relationships/image" Target="media/image295.png"/><Relationship Id="rId348" Type="http://schemas.openxmlformats.org/officeDocument/2006/relationships/image" Target="media/image296.png"/><Relationship Id="rId349" Type="http://schemas.openxmlformats.org/officeDocument/2006/relationships/image" Target="media/image297.png"/><Relationship Id="rId350" Type="http://schemas.openxmlformats.org/officeDocument/2006/relationships/image" Target="media/image298.png"/><Relationship Id="rId351" Type="http://schemas.openxmlformats.org/officeDocument/2006/relationships/image" Target="media/image299.png"/><Relationship Id="rId352" Type="http://schemas.openxmlformats.org/officeDocument/2006/relationships/image" Target="media/image300.png"/><Relationship Id="rId353" Type="http://schemas.openxmlformats.org/officeDocument/2006/relationships/image" Target="media/image301.png"/><Relationship Id="rId354" Type="http://schemas.openxmlformats.org/officeDocument/2006/relationships/image" Target="media/image302.png"/><Relationship Id="rId355" Type="http://schemas.openxmlformats.org/officeDocument/2006/relationships/image" Target="media/image303.png"/><Relationship Id="rId356" Type="http://schemas.openxmlformats.org/officeDocument/2006/relationships/image" Target="media/image304.png"/><Relationship Id="rId357" Type="http://schemas.openxmlformats.org/officeDocument/2006/relationships/image" Target="media/image305.png"/><Relationship Id="rId358"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1" Type="http://schemas.openxmlformats.org/officeDocument/2006/relationships/image" Target="media/image309.png"/><Relationship Id="rId362" Type="http://schemas.openxmlformats.org/officeDocument/2006/relationships/image" Target="media/image310.png"/><Relationship Id="rId363" Type="http://schemas.openxmlformats.org/officeDocument/2006/relationships/image" Target="media/image311.png"/><Relationship Id="rId364" Type="http://schemas.openxmlformats.org/officeDocument/2006/relationships/image" Target="media/image312.png"/><Relationship Id="rId365" Type="http://schemas.openxmlformats.org/officeDocument/2006/relationships/image" Target="media/image313.png"/><Relationship Id="rId366" Type="http://schemas.openxmlformats.org/officeDocument/2006/relationships/image" Target="media/image314.png"/><Relationship Id="rId367" Type="http://schemas.openxmlformats.org/officeDocument/2006/relationships/image" Target="media/image315.png"/><Relationship Id="rId368" Type="http://schemas.openxmlformats.org/officeDocument/2006/relationships/image" Target="media/image316.png"/><Relationship Id="rId369" Type="http://schemas.openxmlformats.org/officeDocument/2006/relationships/image" Target="media/image317.png"/><Relationship Id="rId370" Type="http://schemas.openxmlformats.org/officeDocument/2006/relationships/image" Target="media/image318.png"/><Relationship Id="rId371" Type="http://schemas.openxmlformats.org/officeDocument/2006/relationships/image" Target="media/image319.png"/><Relationship Id="rId372" Type="http://schemas.openxmlformats.org/officeDocument/2006/relationships/image" Target="media/image320.png"/><Relationship Id="rId373" Type="http://schemas.openxmlformats.org/officeDocument/2006/relationships/image" Target="media/image321.png"/><Relationship Id="rId374" Type="http://schemas.openxmlformats.org/officeDocument/2006/relationships/image" Target="media/image322.png"/><Relationship Id="rId375" Type="http://schemas.openxmlformats.org/officeDocument/2006/relationships/image" Target="media/image323.png"/><Relationship Id="rId376" Type="http://schemas.openxmlformats.org/officeDocument/2006/relationships/image" Target="media/image324.png"/><Relationship Id="rId377" Type="http://schemas.openxmlformats.org/officeDocument/2006/relationships/image" Target="media/image325.png"/><Relationship Id="rId378" Type="http://schemas.openxmlformats.org/officeDocument/2006/relationships/image" Target="media/image326.png"/><Relationship Id="rId379" Type="http://schemas.openxmlformats.org/officeDocument/2006/relationships/image" Target="media/image327.png"/><Relationship Id="rId380" Type="http://schemas.openxmlformats.org/officeDocument/2006/relationships/image" Target="media/image328.png"/><Relationship Id="rId381" Type="http://schemas.openxmlformats.org/officeDocument/2006/relationships/image" Target="media/image329.png"/><Relationship Id="rId382" Type="http://schemas.openxmlformats.org/officeDocument/2006/relationships/image" Target="media/image330.png"/><Relationship Id="rId383" Type="http://schemas.openxmlformats.org/officeDocument/2006/relationships/image" Target="media/image331.png"/><Relationship Id="rId384" Type="http://schemas.openxmlformats.org/officeDocument/2006/relationships/image" Target="media/image332.png"/><Relationship Id="rId385" Type="http://schemas.openxmlformats.org/officeDocument/2006/relationships/image" Target="media/image333.png"/><Relationship Id="rId386" Type="http://schemas.openxmlformats.org/officeDocument/2006/relationships/image" Target="media/image334.png"/><Relationship Id="rId387" Type="http://schemas.openxmlformats.org/officeDocument/2006/relationships/image" Target="media/image335.png"/><Relationship Id="rId388" Type="http://schemas.openxmlformats.org/officeDocument/2006/relationships/image" Target="media/image336.png"/><Relationship Id="rId389" Type="http://schemas.openxmlformats.org/officeDocument/2006/relationships/image" Target="media/image337.png"/><Relationship Id="rId390" Type="http://schemas.openxmlformats.org/officeDocument/2006/relationships/image" Target="media/image338.png"/><Relationship Id="rId391" Type="http://schemas.openxmlformats.org/officeDocument/2006/relationships/image" Target="media/image339.png"/><Relationship Id="rId392" Type="http://schemas.openxmlformats.org/officeDocument/2006/relationships/image" Target="media/image340.png"/><Relationship Id="rId393" Type="http://schemas.openxmlformats.org/officeDocument/2006/relationships/image" Target="media/image341.png"/><Relationship Id="rId394" Type="http://schemas.openxmlformats.org/officeDocument/2006/relationships/image" Target="media/image342.png"/><Relationship Id="rId395" Type="http://schemas.openxmlformats.org/officeDocument/2006/relationships/image" Target="media/image343.png"/><Relationship Id="rId396" Type="http://schemas.openxmlformats.org/officeDocument/2006/relationships/image" Target="media/image344.png"/><Relationship Id="rId397" Type="http://schemas.openxmlformats.org/officeDocument/2006/relationships/image" Target="media/image345.png"/><Relationship Id="rId398" Type="http://schemas.openxmlformats.org/officeDocument/2006/relationships/image" Target="media/image346.png"/><Relationship Id="rId399" Type="http://schemas.openxmlformats.org/officeDocument/2006/relationships/image" Target="media/image347.png"/><Relationship Id="rId400" Type="http://schemas.openxmlformats.org/officeDocument/2006/relationships/image" Target="media/image348.png"/><Relationship Id="rId401" Type="http://schemas.openxmlformats.org/officeDocument/2006/relationships/image" Target="media/image349.png"/><Relationship Id="rId402" Type="http://schemas.openxmlformats.org/officeDocument/2006/relationships/image" Target="media/image350.png"/><Relationship Id="rId403" Type="http://schemas.openxmlformats.org/officeDocument/2006/relationships/image" Target="media/image351.png"/><Relationship Id="rId404" Type="http://schemas.openxmlformats.org/officeDocument/2006/relationships/image" Target="media/image352.png"/><Relationship Id="rId405" Type="http://schemas.openxmlformats.org/officeDocument/2006/relationships/image" Target="media/image353.png"/><Relationship Id="rId406" Type="http://schemas.openxmlformats.org/officeDocument/2006/relationships/image" Target="media/image354.png"/><Relationship Id="rId407" Type="http://schemas.openxmlformats.org/officeDocument/2006/relationships/image" Target="media/image355.png"/><Relationship Id="rId408" Type="http://schemas.openxmlformats.org/officeDocument/2006/relationships/image" Target="media/image356.png"/><Relationship Id="rId409" Type="http://schemas.openxmlformats.org/officeDocument/2006/relationships/image" Target="media/image357.png"/><Relationship Id="rId410" Type="http://schemas.openxmlformats.org/officeDocument/2006/relationships/image" Target="media/image358.png"/><Relationship Id="rId411" Type="http://schemas.openxmlformats.org/officeDocument/2006/relationships/image" Target="media/image359.png"/><Relationship Id="rId412" Type="http://schemas.openxmlformats.org/officeDocument/2006/relationships/image" Target="media/image360.png"/><Relationship Id="rId413" Type="http://schemas.openxmlformats.org/officeDocument/2006/relationships/image" Target="media/image361.png"/><Relationship Id="rId414" Type="http://schemas.openxmlformats.org/officeDocument/2006/relationships/image" Target="media/image362.png"/><Relationship Id="rId415" Type="http://schemas.openxmlformats.org/officeDocument/2006/relationships/image" Target="media/image363.png"/><Relationship Id="rId416" Type="http://schemas.openxmlformats.org/officeDocument/2006/relationships/image" Target="media/image364.png"/><Relationship Id="rId417" Type="http://schemas.openxmlformats.org/officeDocument/2006/relationships/image" Target="media/image365.png"/><Relationship Id="rId418" Type="http://schemas.openxmlformats.org/officeDocument/2006/relationships/image" Target="media/image366.png"/><Relationship Id="rId419" Type="http://schemas.openxmlformats.org/officeDocument/2006/relationships/image" Target="media/image367.png"/><Relationship Id="rId420" Type="http://schemas.openxmlformats.org/officeDocument/2006/relationships/image" Target="media/image368.png"/><Relationship Id="rId421" Type="http://schemas.openxmlformats.org/officeDocument/2006/relationships/image" Target="media/image369.png"/><Relationship Id="rId422" Type="http://schemas.openxmlformats.org/officeDocument/2006/relationships/image" Target="media/image370.png"/><Relationship Id="rId423" Type="http://schemas.openxmlformats.org/officeDocument/2006/relationships/image" Target="media/image371.png"/><Relationship Id="rId424" Type="http://schemas.openxmlformats.org/officeDocument/2006/relationships/image" Target="media/image372.png"/><Relationship Id="rId425" Type="http://schemas.openxmlformats.org/officeDocument/2006/relationships/image" Target="media/image373.png"/><Relationship Id="rId426" Type="http://schemas.openxmlformats.org/officeDocument/2006/relationships/image" Target="media/image374.png"/><Relationship Id="rId427" Type="http://schemas.openxmlformats.org/officeDocument/2006/relationships/image" Target="media/image375.png"/><Relationship Id="rId428" Type="http://schemas.openxmlformats.org/officeDocument/2006/relationships/image" Target="media/image376.png"/><Relationship Id="rId429" Type="http://schemas.openxmlformats.org/officeDocument/2006/relationships/image" Target="media/image377.png"/><Relationship Id="rId430" Type="http://schemas.openxmlformats.org/officeDocument/2006/relationships/image" Target="media/image378.png"/><Relationship Id="rId431" Type="http://schemas.openxmlformats.org/officeDocument/2006/relationships/image" Target="media/image379.png"/><Relationship Id="rId432" Type="http://schemas.openxmlformats.org/officeDocument/2006/relationships/image" Target="media/image380.png"/><Relationship Id="rId433" Type="http://schemas.openxmlformats.org/officeDocument/2006/relationships/image" Target="media/image381.png"/><Relationship Id="rId434" Type="http://schemas.openxmlformats.org/officeDocument/2006/relationships/image" Target="media/image382.png"/><Relationship Id="rId435" Type="http://schemas.openxmlformats.org/officeDocument/2006/relationships/image" Target="media/image383.png"/><Relationship Id="rId436" Type="http://schemas.openxmlformats.org/officeDocument/2006/relationships/image" Target="media/image384.png"/><Relationship Id="rId437" Type="http://schemas.openxmlformats.org/officeDocument/2006/relationships/image" Target="media/image385.png"/><Relationship Id="rId438" Type="http://schemas.openxmlformats.org/officeDocument/2006/relationships/image" Target="media/image386.png"/><Relationship Id="rId439" Type="http://schemas.openxmlformats.org/officeDocument/2006/relationships/image" Target="media/image387.png"/><Relationship Id="rId440" Type="http://schemas.openxmlformats.org/officeDocument/2006/relationships/image" Target="media/image388.png"/><Relationship Id="rId441" Type="http://schemas.openxmlformats.org/officeDocument/2006/relationships/image" Target="media/image389.png"/><Relationship Id="rId442" Type="http://schemas.openxmlformats.org/officeDocument/2006/relationships/image" Target="media/image390.png"/><Relationship Id="rId443" Type="http://schemas.openxmlformats.org/officeDocument/2006/relationships/image" Target="media/image391.png"/><Relationship Id="rId444" Type="http://schemas.openxmlformats.org/officeDocument/2006/relationships/image" Target="media/image392.png"/><Relationship Id="rId445" Type="http://schemas.openxmlformats.org/officeDocument/2006/relationships/image" Target="media/image393.png"/><Relationship Id="rId446" Type="http://schemas.openxmlformats.org/officeDocument/2006/relationships/image" Target="media/image394.png"/><Relationship Id="rId447" Type="http://schemas.openxmlformats.org/officeDocument/2006/relationships/image" Target="media/image395.png"/><Relationship Id="rId448" Type="http://schemas.openxmlformats.org/officeDocument/2006/relationships/image" Target="media/image396.png"/><Relationship Id="rId449" Type="http://schemas.openxmlformats.org/officeDocument/2006/relationships/image" Target="media/image397.png"/><Relationship Id="rId450" Type="http://schemas.openxmlformats.org/officeDocument/2006/relationships/image" Target="media/image398.png"/><Relationship Id="rId451" Type="http://schemas.openxmlformats.org/officeDocument/2006/relationships/image" Target="media/image399.png"/><Relationship Id="rId452" Type="http://schemas.openxmlformats.org/officeDocument/2006/relationships/image" Target="media/image400.png"/><Relationship Id="rId453" Type="http://schemas.openxmlformats.org/officeDocument/2006/relationships/image" Target="media/image401.png"/><Relationship Id="rId454" Type="http://schemas.openxmlformats.org/officeDocument/2006/relationships/image" Target="media/image402.png"/><Relationship Id="rId455" Type="http://schemas.openxmlformats.org/officeDocument/2006/relationships/image" Target="media/image403.png"/><Relationship Id="rId456" Type="http://schemas.openxmlformats.org/officeDocument/2006/relationships/image" Target="media/image404.png"/><Relationship Id="rId457" Type="http://schemas.openxmlformats.org/officeDocument/2006/relationships/image" Target="media/image405.png"/><Relationship Id="rId458" Type="http://schemas.openxmlformats.org/officeDocument/2006/relationships/image" Target="media/image406.png"/><Relationship Id="rId459" Type="http://schemas.openxmlformats.org/officeDocument/2006/relationships/image" Target="media/image407.png"/><Relationship Id="rId460" Type="http://schemas.openxmlformats.org/officeDocument/2006/relationships/image" Target="media/image408.png"/><Relationship Id="rId461" Type="http://schemas.openxmlformats.org/officeDocument/2006/relationships/image" Target="media/image409.png"/><Relationship Id="rId462" Type="http://schemas.openxmlformats.org/officeDocument/2006/relationships/image" Target="media/image410.png"/><Relationship Id="rId463" Type="http://schemas.openxmlformats.org/officeDocument/2006/relationships/image" Target="media/image411.png"/><Relationship Id="rId464" Type="http://schemas.openxmlformats.org/officeDocument/2006/relationships/image" Target="media/image412.png"/><Relationship Id="rId465" Type="http://schemas.openxmlformats.org/officeDocument/2006/relationships/image" Target="media/image413.png"/><Relationship Id="rId466" Type="http://schemas.openxmlformats.org/officeDocument/2006/relationships/image" Target="media/image414.png"/><Relationship Id="rId467" Type="http://schemas.openxmlformats.org/officeDocument/2006/relationships/image" Target="media/image415.png"/><Relationship Id="rId468" Type="http://schemas.openxmlformats.org/officeDocument/2006/relationships/image" Target="media/image416.png"/><Relationship Id="rId469" Type="http://schemas.openxmlformats.org/officeDocument/2006/relationships/image" Target="media/image417.png"/><Relationship Id="rId470" Type="http://schemas.openxmlformats.org/officeDocument/2006/relationships/image" Target="media/image418.png"/><Relationship Id="rId471" Type="http://schemas.openxmlformats.org/officeDocument/2006/relationships/image" Target="media/image419.png"/><Relationship Id="rId472" Type="http://schemas.openxmlformats.org/officeDocument/2006/relationships/image" Target="media/image420.png"/><Relationship Id="rId473" Type="http://schemas.openxmlformats.org/officeDocument/2006/relationships/image" Target="media/image421.png"/><Relationship Id="rId474" Type="http://schemas.openxmlformats.org/officeDocument/2006/relationships/image" Target="media/image422.png"/><Relationship Id="rId475" Type="http://schemas.openxmlformats.org/officeDocument/2006/relationships/image" Target="media/image423.png"/><Relationship Id="rId476" Type="http://schemas.openxmlformats.org/officeDocument/2006/relationships/image" Target="media/image424.png"/><Relationship Id="rId477" Type="http://schemas.openxmlformats.org/officeDocument/2006/relationships/image" Target="media/image425.png"/><Relationship Id="rId478" Type="http://schemas.openxmlformats.org/officeDocument/2006/relationships/image" Target="media/image426.png"/><Relationship Id="rId479" Type="http://schemas.openxmlformats.org/officeDocument/2006/relationships/image" Target="media/image427.png"/><Relationship Id="rId480" Type="http://schemas.openxmlformats.org/officeDocument/2006/relationships/image" Target="media/image428.png"/><Relationship Id="rId481" Type="http://schemas.openxmlformats.org/officeDocument/2006/relationships/image" Target="media/image429.png"/><Relationship Id="rId482" Type="http://schemas.openxmlformats.org/officeDocument/2006/relationships/image" Target="media/image430.png"/><Relationship Id="rId483" Type="http://schemas.openxmlformats.org/officeDocument/2006/relationships/image" Target="media/image431.png"/><Relationship Id="rId484" Type="http://schemas.openxmlformats.org/officeDocument/2006/relationships/image" Target="media/image432.png"/><Relationship Id="rId485" Type="http://schemas.openxmlformats.org/officeDocument/2006/relationships/image" Target="media/image433.png"/><Relationship Id="rId486" Type="http://schemas.openxmlformats.org/officeDocument/2006/relationships/image" Target="media/image434.png"/><Relationship Id="rId487" Type="http://schemas.openxmlformats.org/officeDocument/2006/relationships/image" Target="media/image435.png"/><Relationship Id="rId488" Type="http://schemas.openxmlformats.org/officeDocument/2006/relationships/image" Target="media/image436.png"/><Relationship Id="rId489" Type="http://schemas.openxmlformats.org/officeDocument/2006/relationships/image" Target="media/image437.png"/><Relationship Id="rId490" Type="http://schemas.openxmlformats.org/officeDocument/2006/relationships/image" Target="media/image438.png"/><Relationship Id="rId491" Type="http://schemas.openxmlformats.org/officeDocument/2006/relationships/image" Target="media/image439.png"/><Relationship Id="rId492" Type="http://schemas.openxmlformats.org/officeDocument/2006/relationships/image" Target="media/image440.png"/><Relationship Id="rId493" Type="http://schemas.openxmlformats.org/officeDocument/2006/relationships/image" Target="media/image441.png"/><Relationship Id="rId165" Type="http://schemas.openxmlformats.org/officeDocument/2006/relationships/hyperlink" Target="https://www.sec.gov/Archives/edgar/data/0001745999/000156459021013190/beam-ex21_408.htm" TargetMode="External"/><Relationship Id="rId166" Type="http://schemas.openxmlformats.org/officeDocument/2006/relationships/hyperlink" Target="https://www.sec.gov/Archives/edgar/data/1745999/000119312520031290/d842502dex31.htm" TargetMode="External"/><Relationship Id="rId167" Type="http://schemas.openxmlformats.org/officeDocument/2006/relationships/hyperlink" Target="https://www.sec.gov/Archives/edgar/data/1745999/000095017023004866/beam-ex3_2.htm" TargetMode="External"/><Relationship Id="rId168" Type="http://schemas.openxmlformats.org/officeDocument/2006/relationships/hyperlink" Target="https://www.sec.gov/Archives/edgar/data/1745999/000119312519257401/d734398dex41.htm" TargetMode="External"/><Relationship Id="rId169" Type="http://schemas.openxmlformats.org/officeDocument/2006/relationships/hyperlink" Target="https://www.sec.gov/Archives/edgar/data/1745999/000119312519257401/d734398dex42.htm" TargetMode="External"/><Relationship Id="rId170" Type="http://schemas.openxmlformats.org/officeDocument/2006/relationships/hyperlink" Target="https://www.sec.gov/Archives/edgar/data/0001745999/000119312521010753/d65346dex101.htm" TargetMode="External"/><Relationship Id="rId171" Type="http://schemas.openxmlformats.org/officeDocument/2006/relationships/hyperlink" Target="https://www.sec.gov/Archives/edgar/data/0001745999/000119312521103074/d160079dex411.htm" TargetMode="External"/><Relationship Id="rId172" Type="http://schemas.openxmlformats.org/officeDocument/2006/relationships/hyperlink" Target="https://www.sec.gov/Archives/edgar/data/1745999/000119312519257401/d734398dex101.htm" TargetMode="External"/><Relationship Id="rId173" Type="http://schemas.openxmlformats.org/officeDocument/2006/relationships/hyperlink" Target="https://www.sec.gov/Archives/edgar/data/1745999/000119312519257401/d734398dex102.htm" TargetMode="External"/><Relationship Id="rId174" Type="http://schemas.openxmlformats.org/officeDocument/2006/relationships/hyperlink" Target="https://www.sec.gov/Archives/edgar/data/0001745999/000119312521103255/d161815dex11.htm" TargetMode="External"/><Relationship Id="rId175" Type="http://schemas.openxmlformats.org/officeDocument/2006/relationships/hyperlink" Target="https://www.sec.gov/Archives/edgar/data/1745999/000119312519257401/d734398dex104.htm" TargetMode="External"/><Relationship Id="rId176" Type="http://schemas.openxmlformats.org/officeDocument/2006/relationships/hyperlink" Target="https://www.sec.gov/Archives/edgar/data/0001745999/000156459021013190/beam-ex105_865.htm" TargetMode="External"/><Relationship Id="rId177" Type="http://schemas.openxmlformats.org/officeDocument/2006/relationships/hyperlink" Target="https://www.sec.gov/Archives/edgar/data/0001745999/000156459021013190/beam-ex106_866.htm" TargetMode="External"/><Relationship Id="rId178" Type="http://schemas.openxmlformats.org/officeDocument/2006/relationships/hyperlink" Target="https://www.sec.gov/Archives/edgar/data/1745999/000119312519257401/d734398dex105.htm" TargetMode="External"/><Relationship Id="rId181" Type="http://schemas.openxmlformats.org/officeDocument/2006/relationships/hyperlink" Target="https://www.sec.gov/Archives/edgar/data/0001745999/000156459021013190/beam-ex108_867.htm" TargetMode="External"/><Relationship Id="rId182" Type="http://schemas.openxmlformats.org/officeDocument/2006/relationships/hyperlink" Target="https://www.sec.gov/Archives/edgar/data/1745999/000119312519257401/d734398dex106.htm" TargetMode="External"/><Relationship Id="rId183" Type="http://schemas.openxmlformats.org/officeDocument/2006/relationships/hyperlink" Target="https://www.sec.gov/Archives/edgar/data/0001745999/000156459021013190/beam-ex1010_868.htm" TargetMode="External"/><Relationship Id="rId184" Type="http://schemas.openxmlformats.org/officeDocument/2006/relationships/hyperlink" Target="https://www.sec.gov/Archives/edgar/data/0001745999/000156459021013190/beam-ex1011_159.htm" TargetMode="External"/><Relationship Id="rId185" Type="http://schemas.openxmlformats.org/officeDocument/2006/relationships/hyperlink" Target="https://www.sec.gov/Archives/edgar/data/1745999/000119312519257401/d734398dex107.htm" TargetMode="External"/><Relationship Id="rId186" Type="http://schemas.openxmlformats.org/officeDocument/2006/relationships/hyperlink" Target="https://www.sec.gov/Archives/edgar/data/1745999/000119312520014727/d221975dex108.htm" TargetMode="External"/><Relationship Id="rId187" Type="http://schemas.openxmlformats.org/officeDocument/2006/relationships/hyperlink" Target="https://www.sec.gov/Archives/edgar/data/1745999/000119312519257401/d734398dex109.htm" TargetMode="External"/><Relationship Id="rId188" Type="http://schemas.openxmlformats.org/officeDocument/2006/relationships/hyperlink" Target="https://www.sec.gov/Archives/edgar/data/1745999/000119312519257401/d734398dex1010.htm" TargetMode="External"/><Relationship Id="rId189" Type="http://schemas.openxmlformats.org/officeDocument/2006/relationships/hyperlink" Target="https://www.sec.gov/Archives/edgar/data/1745999/000119312519257401/d734398dex1011.htm" TargetMode="External"/><Relationship Id="rId190" Type="http://schemas.openxmlformats.org/officeDocument/2006/relationships/hyperlink" Target="https://www.sec.gov/Archives/edgar/data/1745999/000119312519257401/d734398dex1012.htm" TargetMode="External"/><Relationship Id="rId191" Type="http://schemas.openxmlformats.org/officeDocument/2006/relationships/hyperlink" Target="https://www.sec.gov/Archives/edgar/data/0001745999/000095017021001110/beam-20210630ex10_1.htm" TargetMode="External"/><Relationship Id="rId192" Type="http://schemas.openxmlformats.org/officeDocument/2006/relationships/hyperlink" Target="https://www.sec.gov/Archives/edgar/data/1745999/000119312520014727/d221975dex1014.htm" TargetMode="External"/><Relationship Id="rId193" Type="http://schemas.openxmlformats.org/officeDocument/2006/relationships/hyperlink" Target="https://www.sec.gov/Archives/edgar/data/1745999/000119312520014727/d221975dex1015.htm" TargetMode="External"/><Relationship Id="rId194" Type="http://schemas.openxmlformats.org/officeDocument/2006/relationships/hyperlink" Target="https://www.sec.gov/Archives/edgar/data/1745999/000119312520014727/d221975dex1016.htm" TargetMode="External"/><Relationship Id="rId195" Type="http://schemas.openxmlformats.org/officeDocument/2006/relationships/hyperlink" Target="https://www.sec.gov/Archives/edgar/data/1745999/000119312520014727/d221975dex1017.htm" TargetMode="External"/><Relationship Id="rId196" Type="http://schemas.openxmlformats.org/officeDocument/2006/relationships/hyperlink" Target="https://www.sec.gov/Archives/edgar/data/1745999/000119312520014727/d221975dex1018.htm" TargetMode="External"/><Relationship Id="rId197" Type="http://schemas.openxmlformats.org/officeDocument/2006/relationships/hyperlink" Target="https://www.sec.gov/Archives/edgar/data/1745999/000119312520014727/d221975dex1019.htm" TargetMode="External"/><Relationship Id="rId198" Type="http://schemas.openxmlformats.org/officeDocument/2006/relationships/hyperlink" Target="https://www.sec.gov/Archives/edgar/data/0001745999/000156459021013190/beam-ex1025_407.htm" TargetMode="External"/><Relationship Id="rId199" Type="http://schemas.openxmlformats.org/officeDocument/2006/relationships/hyperlink" Target="https://www.sec.gov/Archives/edgar/data/0001745999/000156459021013190/beam-ex1026_406.htm" TargetMode="External"/><Relationship Id="rId200" Type="http://schemas.openxmlformats.org/officeDocument/2006/relationships/hyperlink" Target="https://www.sec.gov/Archives/edgar/data/1745999/000095017022002166/beam-ex10_27.htm" TargetMode="External"/><Relationship Id="rId201" Type="http://schemas.openxmlformats.org/officeDocument/2006/relationships/hyperlink" Target="https://www.sec.gov/Archives/edgar/data/1745999/000119312520014727/d221975dex1021.htm" TargetMode="External"/><Relationship Id="rId204" Type="http://schemas.openxmlformats.org/officeDocument/2006/relationships/hyperlink" Target="https://www.sec.gov/Archives/edgar/data/1745999/000156459020039490/beam-ex101_197.htm" TargetMode="External"/><Relationship Id="rId205" Type="http://schemas.openxmlformats.org/officeDocument/2006/relationships/hyperlink" Target="https://www.sec.gov/Archives/edgar/data/1745999/000095017022002166/beam-ex10_31.htm" TargetMode="External"/><Relationship Id="rId206" Type="http://schemas.openxmlformats.org/officeDocument/2006/relationships/hyperlink" Target="https://www.sec.gov/Archives/edgar/data/1745999/000095017022002166/beam-ex10_32.htm" TargetMode="External"/><Relationship Id="rId207" Type="http://schemas.openxmlformats.org/officeDocument/2006/relationships/hyperlink" Target="https://www.sec.gov/Archives/edgar/data/1745999/000095017022002166/beam-ex10_33.htm" TargetMode="External"/><Relationship Id="rId208" Type="http://schemas.openxmlformats.org/officeDocument/2006/relationships/hyperlink" Target="https://www.sec.gov/Archives/edgar/data/1745999/000119312521209865/d187752dex11.htm" TargetMode="External"/><Relationship Id="rId209" Type="http://schemas.openxmlformats.org/officeDocument/2006/relationships/hyperlink" Target="https://www.sec.gov/Archives/edgar/data/1745999/000095017023004866/beam-ex10_35.htm" TargetMode="External"/><Relationship Id="rId210" Type="http://schemas.openxmlformats.org/officeDocument/2006/relationships/hyperlink" Target="https://www.sec.gov/Archives/edgar/data/1745999/000095017023020090/beam-ex10_1.htm" TargetMode="External"/><Relationship Id="rId211" Type="http://schemas.openxmlformats.org/officeDocument/2006/relationships/hyperlink" Target="https://www.sec.gov/Archives/edgar/data/1745999/000095017023020090/beam-ex10_2.htm" TargetMode="External"/><Relationship Id="rId212" Type="http://schemas.openxmlformats.org/officeDocument/2006/relationships/hyperlink" Target="https://www.sec.gov/Archives/edgar/data/1745999/000119312523140832/d481853dex11.htm" TargetMode="External"/><Relationship Id="rId213" Type="http://schemas.openxmlformats.org/officeDocument/2006/relationships/hyperlink" Target="https://www.sec.gov/Archives/edgar/data/1745999/000095017022002166/beam-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2024-02-27T06:36:00Z</dcterms:created>
  <dcterms:modified xsi:type="dcterms:W3CDTF">2024-02-27T06:36:00Z</dcterms:modified>
</cp:coreProperties>
</file>