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2" w:lineRule="exact"/>
        <w:rPr>
          <w:sz w:val="24"/>
          <w:szCs w:val="24"/>
          <w:color w:val="auto"/>
        </w:rPr>
      </w:pPr>
    </w:p>
    <w:p>
      <w:pPr>
        <w:ind w:left="3820" w:right="1600" w:hanging="3812"/>
        <w:spacing w:after="0" w:line="367" w:lineRule="auto"/>
        <w:tabs>
          <w:tab w:leader="none" w:pos="51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w:t>
      </w:r>
    </w:p>
    <w:p>
      <w:pPr>
        <w:spacing w:after="0" w:line="29" w:lineRule="exact"/>
        <w:rPr>
          <w:sz w:val="24"/>
          <w:szCs w:val="24"/>
          <w:color w:val="auto"/>
        </w:rPr>
      </w:pPr>
    </w:p>
    <w:p>
      <w:pPr>
        <w:ind w:left="500"/>
        <w:spacing w:after="0"/>
        <w:tabs>
          <w:tab w:leader="none" w:pos="374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7"/>
          <w:szCs w:val="17"/>
          <w:b w:val="1"/>
          <w:bCs w:val="1"/>
          <w:color w:val="auto"/>
        </w:rPr>
        <w:t>TO</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001-39208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Beam Therapeutics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1" w:lineRule="exact"/>
        <w:rPr>
          <w:sz w:val="24"/>
          <w:szCs w:val="24"/>
          <w:color w:val="auto"/>
        </w:rPr>
      </w:pPr>
    </w:p>
    <w:tbl>
      <w:tblPr>
        <w:tblLayout w:type="fixed"/>
        <w:tblInd w:w="10" w:type="dxa"/>
        <w:tblCellMar>
          <w:top w:w="0" w:type="dxa"/>
          <w:left w:w="0" w:type="dxa"/>
          <w:bottom w:w="0" w:type="dxa"/>
          <w:right w:w="0" w:type="dxa"/>
        </w:tblCellMar>
      </w:tblPr>
      <w:tr>
        <w:trPr>
          <w:trHeight w:val="172"/>
        </w:trPr>
        <w:tc>
          <w:tcPr>
            <w:tcW w:w="3740" w:type="dxa"/>
            <w:vAlign w:val="bottom"/>
          </w:tcPr>
          <w:p>
            <w:pPr>
              <w:jc w:val="center"/>
              <w:ind w:left="1806"/>
              <w:spacing w:after="0"/>
              <w:rPr>
                <w:sz w:val="20"/>
                <w:szCs w:val="20"/>
                <w:color w:val="auto"/>
              </w:rPr>
            </w:pPr>
            <w:r>
              <w:rPr>
                <w:rFonts w:ascii="Arial" w:cs="Arial" w:eastAsia="Arial" w:hAnsi="Arial"/>
                <w:sz w:val="15"/>
                <w:szCs w:val="15"/>
                <w:b w:val="1"/>
                <w:bCs w:val="1"/>
                <w:color w:val="auto"/>
                <w:w w:val="94"/>
              </w:rPr>
              <w:t>Delaware</w:t>
            </w: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80" w:type="dxa"/>
            <w:vAlign w:val="bottom"/>
          </w:tcPr>
          <w:p>
            <w:pPr>
              <w:jc w:val="right"/>
              <w:ind w:right="2367"/>
              <w:spacing w:after="0"/>
              <w:rPr>
                <w:sz w:val="20"/>
                <w:szCs w:val="20"/>
                <w:color w:val="auto"/>
              </w:rPr>
            </w:pPr>
            <w:r>
              <w:rPr>
                <w:rFonts w:ascii="Arial" w:cs="Arial" w:eastAsia="Arial" w:hAnsi="Arial"/>
                <w:sz w:val="15"/>
                <w:szCs w:val="15"/>
                <w:b w:val="1"/>
                <w:bCs w:val="1"/>
                <w:color w:val="auto"/>
              </w:rPr>
              <w:t>81-5238376</w:t>
            </w:r>
          </w:p>
        </w:tc>
        <w:tc>
          <w:tcPr>
            <w:tcW w:w="0" w:type="dxa"/>
            <w:vAlign w:val="bottom"/>
          </w:tcPr>
          <w:p>
            <w:pPr>
              <w:spacing w:after="0"/>
              <w:rPr>
                <w:sz w:val="1"/>
                <w:szCs w:val="1"/>
                <w:color w:val="auto"/>
              </w:rPr>
            </w:pPr>
          </w:p>
        </w:tc>
      </w:tr>
      <w:tr>
        <w:trPr>
          <w:trHeight w:val="148"/>
        </w:trPr>
        <w:tc>
          <w:tcPr>
            <w:tcW w:w="3740" w:type="dxa"/>
            <w:vAlign w:val="bottom"/>
          </w:tcPr>
          <w:p>
            <w:pPr>
              <w:jc w:val="center"/>
              <w:ind w:left="1826"/>
              <w:spacing w:after="0" w:line="149"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14"/>
                <w:szCs w:val="14"/>
                <w:b w:val="1"/>
                <w:bCs w:val="1"/>
                <w:i w:val="1"/>
                <w:iCs w:val="1"/>
                <w:color w:val="auto"/>
                <w:w w:val="89"/>
              </w:rPr>
              <w:t>State or other jurisdiction of</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80" w:type="dxa"/>
            <w:vAlign w:val="bottom"/>
          </w:tcPr>
          <w:p>
            <w:pPr>
              <w:jc w:val="center"/>
              <w:ind w:right="2147"/>
              <w:spacing w:after="0" w:line="149" w:lineRule="exact"/>
              <w:rPr>
                <w:sz w:val="20"/>
                <w:szCs w:val="20"/>
                <w:color w:val="auto"/>
              </w:rPr>
            </w:pPr>
            <w:r>
              <w:rPr>
                <w:rFonts w:ascii="Arial" w:cs="Arial" w:eastAsia="Arial" w:hAnsi="Arial"/>
                <w:sz w:val="14"/>
                <w:szCs w:val="14"/>
                <w:b w:val="1"/>
                <w:bCs w:val="1"/>
                <w:color w:val="auto"/>
                <w:w w:val="93"/>
              </w:rPr>
              <w:t>(</w:t>
            </w:r>
            <w:r>
              <w:rPr>
                <w:rFonts w:ascii="Arial" w:cs="Arial" w:eastAsia="Arial" w:hAnsi="Arial"/>
                <w:sz w:val="14"/>
                <w:szCs w:val="14"/>
                <w:b w:val="1"/>
                <w:bCs w:val="1"/>
                <w:i w:val="1"/>
                <w:iCs w:val="1"/>
                <w:color w:val="auto"/>
                <w:w w:val="93"/>
              </w:rPr>
              <w:t>I.R.S. Employer</w:t>
            </w:r>
          </w:p>
        </w:tc>
        <w:tc>
          <w:tcPr>
            <w:tcW w:w="0" w:type="dxa"/>
            <w:vAlign w:val="bottom"/>
          </w:tcPr>
          <w:p>
            <w:pPr>
              <w:spacing w:after="0"/>
              <w:rPr>
                <w:sz w:val="1"/>
                <w:szCs w:val="1"/>
                <w:color w:val="auto"/>
              </w:rPr>
            </w:pPr>
          </w:p>
        </w:tc>
      </w:tr>
      <w:tr>
        <w:trPr>
          <w:trHeight w:val="186"/>
        </w:trPr>
        <w:tc>
          <w:tcPr>
            <w:tcW w:w="3740" w:type="dxa"/>
            <w:vAlign w:val="bottom"/>
          </w:tcPr>
          <w:p>
            <w:pPr>
              <w:jc w:val="center"/>
              <w:ind w:left="1806"/>
              <w:spacing w:after="0"/>
              <w:rPr>
                <w:sz w:val="20"/>
                <w:szCs w:val="20"/>
                <w:color w:val="auto"/>
              </w:rPr>
            </w:pPr>
            <w:r>
              <w:rPr>
                <w:rFonts w:ascii="Arial" w:cs="Arial" w:eastAsia="Arial" w:hAnsi="Arial"/>
                <w:sz w:val="14"/>
                <w:szCs w:val="14"/>
                <w:b w:val="1"/>
                <w:bCs w:val="1"/>
                <w:i w:val="1"/>
                <w:iCs w:val="1"/>
                <w:color w:val="auto"/>
                <w:w w:val="91"/>
              </w:rPr>
              <w:t>incorporation or organization</w:t>
            </w:r>
            <w:r>
              <w:rPr>
                <w:rFonts w:ascii="Arial" w:cs="Arial" w:eastAsia="Arial" w:hAnsi="Arial"/>
                <w:sz w:val="14"/>
                <w:szCs w:val="14"/>
                <w:b w:val="1"/>
                <w:bCs w:val="1"/>
                <w:color w:val="auto"/>
                <w:w w:val="91"/>
              </w:rPr>
              <w:t>)</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80" w:type="dxa"/>
            <w:vAlign w:val="bottom"/>
          </w:tcPr>
          <w:p>
            <w:pPr>
              <w:jc w:val="center"/>
              <w:ind w:right="2167"/>
              <w:spacing w:after="0"/>
              <w:rPr>
                <w:sz w:val="20"/>
                <w:szCs w:val="20"/>
                <w:color w:val="auto"/>
              </w:rPr>
            </w:pPr>
            <w:r>
              <w:rPr>
                <w:rFonts w:ascii="Arial" w:cs="Arial" w:eastAsia="Arial" w:hAnsi="Arial"/>
                <w:sz w:val="14"/>
                <w:szCs w:val="14"/>
                <w:b w:val="1"/>
                <w:bCs w:val="1"/>
                <w:i w:val="1"/>
                <w:iCs w:val="1"/>
                <w:color w:val="auto"/>
                <w:w w:val="92"/>
              </w:rPr>
              <w:t>Identification No.</w:t>
            </w:r>
            <w:r>
              <w:rPr>
                <w:rFonts w:ascii="Arial" w:cs="Arial" w:eastAsia="Arial" w:hAnsi="Arial"/>
                <w:sz w:val="14"/>
                <w:szCs w:val="14"/>
                <w:b w:val="1"/>
                <w:bCs w:val="1"/>
                <w:color w:val="auto"/>
                <w:w w:val="92"/>
              </w:rPr>
              <w:t>)</w:t>
            </w:r>
          </w:p>
        </w:tc>
        <w:tc>
          <w:tcPr>
            <w:tcW w:w="0" w:type="dxa"/>
            <w:vAlign w:val="bottom"/>
          </w:tcPr>
          <w:p>
            <w:pPr>
              <w:spacing w:after="0"/>
              <w:rPr>
                <w:sz w:val="1"/>
                <w:szCs w:val="1"/>
                <w:color w:val="auto"/>
              </w:rPr>
            </w:pPr>
          </w:p>
        </w:tc>
      </w:tr>
      <w:tr>
        <w:trPr>
          <w:trHeight w:val="265"/>
        </w:trPr>
        <w:tc>
          <w:tcPr>
            <w:tcW w:w="3740" w:type="dxa"/>
            <w:vAlign w:val="bottom"/>
          </w:tcPr>
          <w:p>
            <w:pPr>
              <w:jc w:val="center"/>
              <w:ind w:left="1826"/>
              <w:spacing w:after="0"/>
              <w:rPr>
                <w:sz w:val="20"/>
                <w:szCs w:val="20"/>
                <w:color w:val="auto"/>
              </w:rPr>
            </w:pPr>
            <w:r>
              <w:rPr>
                <w:rFonts w:ascii="Arial" w:cs="Arial" w:eastAsia="Arial" w:hAnsi="Arial"/>
                <w:sz w:val="15"/>
                <w:szCs w:val="15"/>
                <w:b w:val="1"/>
                <w:bCs w:val="1"/>
                <w:color w:val="auto"/>
                <w:w w:val="90"/>
              </w:rPr>
              <w:t>26 Landsdowne Street</w:t>
            </w: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3740" w:type="dxa"/>
            <w:vAlign w:val="bottom"/>
          </w:tcPr>
          <w:p>
            <w:pPr>
              <w:jc w:val="center"/>
              <w:ind w:left="1826"/>
              <w:spacing w:after="0" w:line="170" w:lineRule="exact"/>
              <w:rPr>
                <w:sz w:val="20"/>
                <w:szCs w:val="20"/>
                <w:color w:val="auto"/>
              </w:rPr>
            </w:pPr>
            <w:r>
              <w:rPr>
                <w:rFonts w:ascii="Arial" w:cs="Arial" w:eastAsia="Arial" w:hAnsi="Arial"/>
                <w:sz w:val="15"/>
                <w:szCs w:val="15"/>
                <w:b w:val="1"/>
                <w:bCs w:val="1"/>
                <w:color w:val="auto"/>
                <w:w w:val="98"/>
              </w:rPr>
              <w:t>Cambridge, MA</w:t>
            </w: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80" w:type="dxa"/>
            <w:vAlign w:val="bottom"/>
          </w:tcPr>
          <w:p>
            <w:pPr>
              <w:jc w:val="right"/>
              <w:ind w:right="2547"/>
              <w:spacing w:after="0" w:line="170" w:lineRule="exact"/>
              <w:rPr>
                <w:sz w:val="20"/>
                <w:szCs w:val="20"/>
                <w:color w:val="auto"/>
              </w:rPr>
            </w:pPr>
            <w:r>
              <w:rPr>
                <w:rFonts w:ascii="Arial" w:cs="Arial" w:eastAsia="Arial" w:hAnsi="Arial"/>
                <w:sz w:val="15"/>
                <w:szCs w:val="15"/>
                <w:b w:val="1"/>
                <w:bCs w:val="1"/>
                <w:color w:val="auto"/>
              </w:rPr>
              <w:t>02139</w:t>
            </w:r>
          </w:p>
        </w:tc>
        <w:tc>
          <w:tcPr>
            <w:tcW w:w="0" w:type="dxa"/>
            <w:vAlign w:val="bottom"/>
          </w:tcPr>
          <w:p>
            <w:pPr>
              <w:spacing w:after="0"/>
              <w:rPr>
                <w:sz w:val="1"/>
                <w:szCs w:val="1"/>
                <w:color w:val="auto"/>
              </w:rPr>
            </w:pPr>
          </w:p>
        </w:tc>
      </w:tr>
      <w:tr>
        <w:trPr>
          <w:trHeight w:val="186"/>
        </w:trPr>
        <w:tc>
          <w:tcPr>
            <w:tcW w:w="7860" w:type="dxa"/>
            <w:vAlign w:val="bottom"/>
            <w:gridSpan w:val="6"/>
          </w:tcPr>
          <w:p>
            <w:pPr>
              <w:jc w:val="center"/>
              <w:ind w:right="2240"/>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4"/>
                <w:szCs w:val="14"/>
                <w:b w:val="1"/>
                <w:bCs w:val="1"/>
                <w:i w:val="1"/>
                <w:iCs w:val="1"/>
                <w:color w:val="auto"/>
                <w:w w:val="87"/>
              </w:rPr>
              <w:t>Address of principal executive offices</w:t>
            </w:r>
            <w:r>
              <w:rPr>
                <w:rFonts w:ascii="Arial" w:cs="Arial" w:eastAsia="Arial" w:hAnsi="Arial"/>
                <w:sz w:val="14"/>
                <w:szCs w:val="14"/>
                <w:b w:val="1"/>
                <w:bCs w:val="1"/>
                <w:color w:val="auto"/>
                <w:w w:val="87"/>
              </w:rPr>
              <w:t>)</w:t>
            </w:r>
          </w:p>
        </w:tc>
        <w:tc>
          <w:tcPr>
            <w:tcW w:w="3380" w:type="dxa"/>
            <w:vAlign w:val="bottom"/>
          </w:tcPr>
          <w:p>
            <w:pPr>
              <w:jc w:val="center"/>
              <w:ind w:right="2167"/>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14"/>
                <w:szCs w:val="14"/>
                <w:b w:val="1"/>
                <w:bCs w:val="1"/>
                <w:i w:val="1"/>
                <w:iCs w:val="1"/>
                <w:color w:val="auto"/>
                <w:w w:val="89"/>
              </w:rPr>
              <w:t>Zip Code</w:t>
            </w:r>
            <w:r>
              <w:rPr>
                <w:rFonts w:ascii="Arial" w:cs="Arial" w:eastAsia="Arial" w:hAnsi="Arial"/>
                <w:sz w:val="14"/>
                <w:szCs w:val="14"/>
                <w:b w:val="1"/>
                <w:bCs w:val="1"/>
                <w:color w:val="auto"/>
                <w:w w:val="89"/>
              </w:rPr>
              <w:t>)</w:t>
            </w:r>
          </w:p>
        </w:tc>
        <w:tc>
          <w:tcPr>
            <w:tcW w:w="0" w:type="dxa"/>
            <w:vAlign w:val="bottom"/>
          </w:tcPr>
          <w:p>
            <w:pPr>
              <w:spacing w:after="0"/>
              <w:rPr>
                <w:sz w:val="1"/>
                <w:szCs w:val="1"/>
                <w:color w:val="auto"/>
              </w:rPr>
            </w:pPr>
          </w:p>
        </w:tc>
      </w:tr>
      <w:tr>
        <w:trPr>
          <w:trHeight w:val="278"/>
        </w:trPr>
        <w:tc>
          <w:tcPr>
            <w:tcW w:w="7860" w:type="dxa"/>
            <w:vAlign w:val="bottom"/>
            <w:gridSpan w:val="6"/>
          </w:tcPr>
          <w:p>
            <w:pPr>
              <w:jc w:val="center"/>
              <w:ind w:left="3306"/>
              <w:spacing w:after="0"/>
              <w:rPr>
                <w:sz w:val="20"/>
                <w:szCs w:val="20"/>
                <w:color w:val="auto"/>
              </w:rPr>
            </w:pPr>
            <w:r>
              <w:rPr>
                <w:rFonts w:ascii="Arial" w:cs="Arial" w:eastAsia="Arial" w:hAnsi="Arial"/>
                <w:sz w:val="15"/>
                <w:szCs w:val="15"/>
                <w:b w:val="1"/>
                <w:bCs w:val="1"/>
                <w:color w:val="auto"/>
                <w:w w:val="91"/>
              </w:rPr>
              <w:t>Registrant’s telephone number, including area code: (857) 327-8775</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4120" w:type="dxa"/>
            <w:vAlign w:val="bottom"/>
            <w:gridSpan w:val="5"/>
          </w:tcPr>
          <w:p>
            <w:pPr>
              <w:jc w:val="center"/>
              <w:ind w:right="340"/>
              <w:spacing w:after="0"/>
              <w:rPr>
                <w:sz w:val="20"/>
                <w:szCs w:val="20"/>
                <w:color w:val="auto"/>
              </w:rPr>
            </w:pPr>
            <w:r>
              <w:rPr>
                <w:rFonts w:ascii="Arial" w:cs="Arial" w:eastAsia="Arial" w:hAnsi="Arial"/>
                <w:sz w:val="15"/>
                <w:szCs w:val="15"/>
                <w:b w:val="1"/>
                <w:bCs w:val="1"/>
                <w:color w:val="auto"/>
                <w:w w:val="90"/>
              </w:rPr>
              <w:t>Securities registered pursuant to Section 12(b) of the Act:</w:t>
            </w: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7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740" w:type="dxa"/>
            <w:vAlign w:val="bottom"/>
            <w:tcBorders>
              <w:lef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4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3080" w:type="dxa"/>
            <w:vAlign w:val="bottom"/>
            <w:tcBorders>
              <w:right w:val="single" w:sz="8" w:color="auto"/>
            </w:tcBorders>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Trading</w:t>
            </w:r>
          </w:p>
        </w:tc>
        <w:tc>
          <w:tcPr>
            <w:tcW w:w="280" w:type="dxa"/>
            <w:vAlign w:val="bottom"/>
          </w:tcPr>
          <w:p>
            <w:pPr>
              <w:spacing w:after="0"/>
              <w:rPr>
                <w:sz w:val="10"/>
                <w:szCs w:val="10"/>
                <w:color w:val="auto"/>
              </w:rPr>
            </w:pPr>
          </w:p>
        </w:tc>
        <w:tc>
          <w:tcPr>
            <w:tcW w:w="3380" w:type="dxa"/>
            <w:vAlign w:val="bottom"/>
            <w:tcBorders>
              <w:right w:val="single" w:sz="8" w:color="auto"/>
            </w:tcBorders>
          </w:tcPr>
          <w:p>
            <w:pPr>
              <w:jc w:val="center"/>
              <w:ind w:right="87"/>
              <w:spacing w:after="0" w:line="119" w:lineRule="exact"/>
              <w:rPr>
                <w:sz w:val="20"/>
                <w:szCs w:val="20"/>
                <w:color w:val="auto"/>
              </w:rPr>
            </w:pPr>
            <w:r>
              <w:rPr>
                <w:rFonts w:ascii="Arial" w:cs="Arial" w:eastAsia="Arial" w:hAnsi="Arial"/>
                <w:sz w:val="13"/>
                <w:szCs w:val="13"/>
                <w:b w:val="1"/>
                <w:bCs w:val="1"/>
                <w:color w:val="auto"/>
                <w:w w:val="95"/>
              </w:rPr>
              <w:t>Name of each exchange</w:t>
            </w:r>
          </w:p>
        </w:tc>
        <w:tc>
          <w:tcPr>
            <w:tcW w:w="0" w:type="dxa"/>
            <w:vAlign w:val="bottom"/>
          </w:tcPr>
          <w:p>
            <w:pPr>
              <w:spacing w:after="0"/>
              <w:rPr>
                <w:sz w:val="1"/>
                <w:szCs w:val="1"/>
                <w:color w:val="auto"/>
              </w:rPr>
            </w:pPr>
          </w:p>
        </w:tc>
      </w:tr>
      <w:tr>
        <w:trPr>
          <w:trHeight w:val="171"/>
        </w:trPr>
        <w:tc>
          <w:tcPr>
            <w:tcW w:w="3740" w:type="dxa"/>
            <w:vAlign w:val="bottom"/>
            <w:tcBorders>
              <w:left w:val="single" w:sz="8" w:color="auto"/>
              <w:bottom w:val="single" w:sz="8" w:color="auto"/>
            </w:tcBorders>
            <w:vMerge w:val="continue"/>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80" w:type="dxa"/>
            <w:vAlign w:val="bottom"/>
            <w:tcBorders>
              <w:bottom w:val="single" w:sz="8" w:color="auto"/>
              <w:right w:val="single" w:sz="8" w:color="auto"/>
            </w:tcBorders>
            <w:gridSpan w:val="2"/>
          </w:tcPr>
          <w:p>
            <w:pPr>
              <w:jc w:val="center"/>
              <w:ind w:right="740"/>
              <w:spacing w:after="0"/>
              <w:rPr>
                <w:sz w:val="20"/>
                <w:szCs w:val="20"/>
                <w:color w:val="auto"/>
              </w:rPr>
            </w:pPr>
            <w:r>
              <w:rPr>
                <w:rFonts w:ascii="Arial" w:cs="Arial" w:eastAsia="Arial" w:hAnsi="Arial"/>
                <w:sz w:val="14"/>
                <w:szCs w:val="14"/>
                <w:b w:val="1"/>
                <w:bCs w:val="1"/>
                <w:color w:val="auto"/>
                <w:w w:val="91"/>
              </w:rPr>
              <w:t>Symbol(s)</w:t>
            </w:r>
          </w:p>
        </w:tc>
        <w:tc>
          <w:tcPr>
            <w:tcW w:w="280" w:type="dxa"/>
            <w:vAlign w:val="bottom"/>
            <w:tcBorders>
              <w:bottom w:val="single" w:sz="8" w:color="auto"/>
            </w:tcBorders>
          </w:tcPr>
          <w:p>
            <w:pPr>
              <w:spacing w:after="0"/>
              <w:rPr>
                <w:sz w:val="14"/>
                <w:szCs w:val="14"/>
                <w:color w:val="auto"/>
              </w:rPr>
            </w:pPr>
          </w:p>
        </w:tc>
        <w:tc>
          <w:tcPr>
            <w:tcW w:w="3380" w:type="dxa"/>
            <w:vAlign w:val="bottom"/>
            <w:tcBorders>
              <w:bottom w:val="single" w:sz="8" w:color="auto"/>
              <w:right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55"/>
        </w:trPr>
        <w:tc>
          <w:tcPr>
            <w:tcW w:w="3740" w:type="dxa"/>
            <w:vAlign w:val="bottom"/>
            <w:tcBorders>
              <w:left w:val="single" w:sz="8" w:color="auto"/>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w w:val="92"/>
              </w:rPr>
              <w:t>Common Stock, par value $0.01 per share</w:t>
            </w:r>
          </w:p>
        </w:tc>
        <w:tc>
          <w:tcPr>
            <w:tcW w:w="4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080" w:type="dxa"/>
            <w:vAlign w:val="bottom"/>
            <w:tcBorders>
              <w:bottom w:val="single" w:sz="8" w:color="auto"/>
              <w:right w:val="single" w:sz="8" w:color="auto"/>
            </w:tcBorders>
            <w:gridSpan w:val="2"/>
          </w:tcPr>
          <w:p>
            <w:pPr>
              <w:jc w:val="center"/>
              <w:ind w:right="740"/>
              <w:spacing w:after="0" w:line="156" w:lineRule="exact"/>
              <w:rPr>
                <w:sz w:val="20"/>
                <w:szCs w:val="20"/>
                <w:color w:val="auto"/>
              </w:rPr>
            </w:pPr>
            <w:r>
              <w:rPr>
                <w:rFonts w:ascii="Arial" w:cs="Arial" w:eastAsia="Arial" w:hAnsi="Arial"/>
                <w:sz w:val="15"/>
                <w:szCs w:val="15"/>
                <w:b w:val="1"/>
                <w:bCs w:val="1"/>
                <w:color w:val="auto"/>
              </w:rPr>
              <w:t>BEAM</w:t>
            </w:r>
          </w:p>
        </w:tc>
        <w:tc>
          <w:tcPr>
            <w:tcW w:w="280" w:type="dxa"/>
            <w:vAlign w:val="bottom"/>
            <w:tcBorders>
              <w:bottom w:val="single" w:sz="8" w:color="auto"/>
            </w:tcBorders>
          </w:tcPr>
          <w:p>
            <w:pPr>
              <w:spacing w:after="0"/>
              <w:rPr>
                <w:sz w:val="13"/>
                <w:szCs w:val="13"/>
                <w:color w:val="auto"/>
              </w:rPr>
            </w:pPr>
          </w:p>
        </w:tc>
        <w:tc>
          <w:tcPr>
            <w:tcW w:w="3380" w:type="dxa"/>
            <w:vAlign w:val="bottom"/>
            <w:tcBorders>
              <w:bottom w:val="single" w:sz="8" w:color="auto"/>
              <w:right w:val="single" w:sz="8" w:color="auto"/>
            </w:tcBorders>
          </w:tcPr>
          <w:p>
            <w:pPr>
              <w:ind w:left="580"/>
              <w:spacing w:after="0" w:line="156" w:lineRule="exact"/>
              <w:rPr>
                <w:sz w:val="20"/>
                <w:szCs w:val="20"/>
                <w:color w:val="auto"/>
              </w:rPr>
            </w:pPr>
            <w:r>
              <w:rPr>
                <w:rFonts w:ascii="Arial" w:cs="Arial" w:eastAsia="Arial" w:hAnsi="Arial"/>
                <w:sz w:val="15"/>
                <w:szCs w:val="15"/>
                <w:b w:val="1"/>
                <w:bCs w:val="1"/>
                <w:color w:val="auto"/>
              </w:rPr>
              <w:t>Nasdaq Global Select Market</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ind w:right="22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7" w:lineRule="exact"/>
        <w:rPr>
          <w:sz w:val="24"/>
          <w:szCs w:val="24"/>
          <w:color w:val="auto"/>
        </w:rPr>
      </w:pPr>
    </w:p>
    <w:p>
      <w:pPr>
        <w:ind w:right="18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ectPr>
          <w:pgSz w:w="11900" w:h="16838" w:orient="portrait"/>
          <w:cols w:equalWidth="0" w:num="1">
            <w:col w:w="11240"/>
          </w:cols>
          <w:pgMar w:left="320" w:top="566" w:right="339" w:bottom="1440" w:gutter="0" w:footer="0" w:header="0"/>
        </w:sectPr>
      </w:pPr>
    </w:p>
    <w:p>
      <w:pPr>
        <w:spacing w:after="0" w:line="83" w:lineRule="exact"/>
        <w:rPr>
          <w:sz w:val="24"/>
          <w:szCs w:val="24"/>
          <w:color w:val="auto"/>
        </w:rPr>
      </w:pPr>
    </w:p>
    <w:p>
      <w:pPr>
        <w:spacing w:after="0" w:line="173" w:lineRule="exact"/>
        <w:tabs>
          <w:tab w:leader="none" w:pos="2020" w:val="left"/>
          <w:tab w:leader="none" w:pos="8220" w:val="left"/>
        </w:tabs>
        <w:rPr>
          <w:sz w:val="20"/>
          <w:szCs w:val="20"/>
          <w:color w:val="auto"/>
        </w:rPr>
      </w:pPr>
      <w:r>
        <w:rPr>
          <w:rFonts w:ascii="Arial" w:cs="Arial" w:eastAsia="Arial" w:hAnsi="Arial"/>
          <w:sz w:val="15"/>
          <w:szCs w:val="15"/>
          <w:color w:val="auto"/>
        </w:rPr>
        <w:t>Large 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Accelerated filer</w:t>
      </w:r>
    </w:p>
    <w:p>
      <w:pPr>
        <w:spacing w:after="0" w:line="67" w:lineRule="exact"/>
        <w:rPr>
          <w:sz w:val="24"/>
          <w:szCs w:val="24"/>
          <w:color w:val="auto"/>
        </w:rPr>
      </w:pPr>
    </w:p>
    <w:p>
      <w:pPr>
        <w:spacing w:after="0" w:line="173" w:lineRule="exact"/>
        <w:tabs>
          <w:tab w:leader="none" w:pos="2020" w:val="left"/>
          <w:tab w:leader="none" w:pos="8220" w:val="left"/>
        </w:tabs>
        <w:rPr>
          <w:sz w:val="20"/>
          <w:szCs w:val="20"/>
          <w:color w:val="auto"/>
        </w:rPr>
      </w:pPr>
      <w:r>
        <w:rPr>
          <w:rFonts w:ascii="Arial" w:cs="Arial" w:eastAsia="Arial" w:hAnsi="Arial"/>
          <w:sz w:val="15"/>
          <w:szCs w:val="15"/>
          <w:color w:val="auto"/>
        </w:rPr>
        <w:t>Non-accelerated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Smaller reporting company</w:t>
      </w:r>
    </w:p>
    <w:p>
      <w:pPr>
        <w:spacing w:after="0" w:line="90" w:lineRule="exact"/>
        <w:rPr>
          <w:sz w:val="24"/>
          <w:szCs w:val="24"/>
          <w:color w:val="auto"/>
        </w:rPr>
      </w:pPr>
    </w:p>
    <w:p>
      <w:pPr>
        <w:ind w:left="8240"/>
        <w:spacing w:after="0"/>
        <w:rPr>
          <w:sz w:val="20"/>
          <w:szCs w:val="20"/>
          <w:color w:val="auto"/>
        </w:rPr>
      </w:pPr>
      <w:r>
        <w:rPr>
          <w:rFonts w:ascii="Arial" w:cs="Arial" w:eastAsia="Arial" w:hAnsi="Arial"/>
          <w:sz w:val="15"/>
          <w:szCs w:val="15"/>
          <w:color w:val="auto"/>
        </w:rPr>
        <w:t>Emerging growth company</w:t>
      </w:r>
    </w:p>
    <w:p>
      <w:pPr>
        <w:spacing w:after="0" w:line="111" w:lineRule="exact"/>
        <w:rPr>
          <w:sz w:val="24"/>
          <w:szCs w:val="24"/>
          <w:color w:val="auto"/>
        </w:rPr>
      </w:pPr>
    </w:p>
    <w:p>
      <w:pPr>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1" w:lineRule="exact"/>
        <w:rPr>
          <w:sz w:val="24"/>
          <w:szCs w:val="24"/>
          <w:color w:val="auto"/>
        </w:rPr>
      </w:pPr>
    </w:p>
    <w:p>
      <w:pPr>
        <w:ind w:right="2400"/>
        <w:spacing w:after="0" w:line="261"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number of shares of registrant’s common stock outstanding as of May 8, 2020 was 51,485,115.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40" w:space="280"/>
            <w:col w:w="320"/>
          </w:cols>
          <w:pgMar w:left="320" w:top="566" w:right="3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(the “Securities Act”), and Section 21E of the Securities Exchange Act of 1934, as amended (the “Exchange Act”). Such forward-looking statements reflect, among other things, our current expectations and anticipated results of operations, all of which are subject to known and unknown risks, uncertainties and other factors that may cause our actual results, performance or achievements, market trends, or industry results to differ materially from those expressed or implied by such forward-looking statements. Therefore, any statements contained herein that are not statements of historical fact may be forward-looking statements and should be evaluated as such. Without limiting the foregoing, the words “anticipate,” “expect,” “suggest,” “plan,” “believe,” “intend,” “project,” “forecast,” “estimates,” “targets,” “projections,” “should,” “could,” “would,” “may,” “might,” “will,” and the negative thereof and similar words and expressions are intended to identify forward-looking statements. These forward-looking statements are subject to a number of risks, uncertainties and assumptions, including those described in “Risk Factors” in Part II, Item 1A of this report. Unless legally required, we assume no obligation to update any such forward-looking information to reflect actual results or changes in the factors affecting such forward-looking information.</w:t>
      </w:r>
    </w:p>
    <w:p>
      <w:pPr>
        <w:spacing w:after="0" w:line="6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When we use the terms “Beam,” the “Company,” “we,” “us” or “our” in this Quarterly Report on Form 10-Q, we mean Beam Therapeutics Inc. and its subsidiaries on a consolidated basis, unless the context indicates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PART I</w:t>
            </w:r>
          </w:p>
        </w:tc>
        <w:tc>
          <w:tcPr>
            <w:tcW w:w="9720" w:type="dxa"/>
            <w:vAlign w:val="bottom"/>
            <w:vMerge w:val="restart"/>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5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960" w:type="dxa"/>
            <w:vAlign w:val="bottom"/>
            <w:vMerge w:val="continue"/>
          </w:tcPr>
          <w:p>
            <w:pPr>
              <w:spacing w:after="0"/>
              <w:rPr>
                <w:sz w:val="16"/>
                <w:szCs w:val="16"/>
                <w:color w:val="auto"/>
              </w:rPr>
            </w:pPr>
          </w:p>
        </w:tc>
        <w:tc>
          <w:tcPr>
            <w:tcW w:w="9720" w:type="dxa"/>
            <w:vAlign w:val="bottom"/>
            <w:vMerge w:val="continue"/>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140"/>
              <w:spacing w:after="0"/>
              <w:rPr>
                <w:sz w:val="20"/>
                <w:szCs w:val="20"/>
                <w:color w:val="auto"/>
              </w:rPr>
            </w:pPr>
            <w:r>
              <w:rPr>
                <w:rFonts w:ascii="Arial" w:cs="Arial" w:eastAsia="Arial" w:hAnsi="Arial"/>
                <w:sz w:val="18"/>
                <w:szCs w:val="18"/>
                <w:color w:val="auto"/>
              </w:rPr>
              <w:t>Item 1.</w:t>
            </w:r>
          </w:p>
        </w:tc>
        <w:tc>
          <w:tcPr>
            <w:tcW w:w="9720" w:type="dxa"/>
            <w:vAlign w:val="bottom"/>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720" w:type="dxa"/>
            <w:vAlign w:val="bottom"/>
          </w:tcPr>
          <w:p>
            <w:pPr>
              <w:ind w:left="3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720" w:type="dxa"/>
            <w:vAlign w:val="bottom"/>
          </w:tcPr>
          <w:p>
            <w:pPr>
              <w:ind w:left="3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 and Other Comprehensive Loss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720" w:type="dxa"/>
            <w:vAlign w:val="bottom"/>
          </w:tcPr>
          <w:p>
            <w:pPr>
              <w:ind w:left="3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Redeemable Convertible Preferred Stock and Stockholders’ Equity (Deficit)</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720" w:type="dxa"/>
            <w:vAlign w:val="bottom"/>
          </w:tcPr>
          <w:p>
            <w:pPr>
              <w:ind w:left="3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720" w:type="dxa"/>
            <w:vAlign w:val="bottom"/>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60" w:type="dxa"/>
            <w:vAlign w:val="bottom"/>
          </w:tcPr>
          <w:p>
            <w:pPr>
              <w:ind w:left="140"/>
              <w:spacing w:after="0"/>
              <w:rPr>
                <w:sz w:val="20"/>
                <w:szCs w:val="20"/>
                <w:color w:val="auto"/>
              </w:rPr>
            </w:pPr>
            <w:r>
              <w:rPr>
                <w:rFonts w:ascii="Arial" w:cs="Arial" w:eastAsia="Arial" w:hAnsi="Arial"/>
                <w:sz w:val="18"/>
                <w:szCs w:val="18"/>
                <w:color w:val="auto"/>
              </w:rPr>
              <w:t>Item 2.</w:t>
            </w:r>
          </w:p>
        </w:tc>
        <w:tc>
          <w:tcPr>
            <w:tcW w:w="9720" w:type="dxa"/>
            <w:vAlign w:val="bottom"/>
          </w:tcPr>
          <w:p>
            <w:pPr>
              <w:ind w:left="18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Management’s Discussion and Analysis of Financial Condition and Results of Operations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60" w:type="dxa"/>
            <w:vAlign w:val="bottom"/>
          </w:tcPr>
          <w:p>
            <w:pPr>
              <w:ind w:left="140"/>
              <w:spacing w:after="0"/>
              <w:rPr>
                <w:sz w:val="20"/>
                <w:szCs w:val="20"/>
                <w:color w:val="auto"/>
              </w:rPr>
            </w:pPr>
            <w:r>
              <w:rPr>
                <w:rFonts w:ascii="Arial" w:cs="Arial" w:eastAsia="Arial" w:hAnsi="Arial"/>
                <w:sz w:val="18"/>
                <w:szCs w:val="18"/>
                <w:color w:val="auto"/>
              </w:rPr>
              <w:t>Item 3.</w:t>
            </w:r>
          </w:p>
        </w:tc>
        <w:tc>
          <w:tcPr>
            <w:tcW w:w="9720" w:type="dxa"/>
            <w:vAlign w:val="bottom"/>
          </w:tcPr>
          <w:p>
            <w:pPr>
              <w:ind w:left="1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Quantitative and Qualitative Disclosures About Market Risk</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4.</w:t>
            </w:r>
          </w:p>
        </w:tc>
        <w:tc>
          <w:tcPr>
            <w:tcW w:w="9720" w:type="dxa"/>
            <w:vAlign w:val="bottom"/>
          </w:tcPr>
          <w:p>
            <w:pPr>
              <w:ind w:left="1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Controls and Procedures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8"/>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PART II</w:t>
            </w:r>
          </w:p>
        </w:tc>
        <w:tc>
          <w:tcPr>
            <w:tcW w:w="9720" w:type="dxa"/>
            <w:vAlign w:val="bottom"/>
          </w:tcPr>
          <w:p>
            <w:pPr>
              <w:ind w:left="1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Other Information</w:t>
              </w:r>
            </w:hyperlink>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140"/>
              <w:spacing w:after="0"/>
              <w:rPr>
                <w:sz w:val="20"/>
                <w:szCs w:val="20"/>
                <w:color w:val="auto"/>
              </w:rPr>
            </w:pPr>
            <w:r>
              <w:rPr>
                <w:rFonts w:ascii="Arial" w:cs="Arial" w:eastAsia="Arial" w:hAnsi="Arial"/>
                <w:sz w:val="18"/>
                <w:szCs w:val="18"/>
                <w:color w:val="auto"/>
              </w:rPr>
              <w:t>Item 1.</w:t>
            </w:r>
          </w:p>
        </w:tc>
        <w:tc>
          <w:tcPr>
            <w:tcW w:w="9720" w:type="dxa"/>
            <w:vAlign w:val="bottom"/>
          </w:tcPr>
          <w:p>
            <w:pPr>
              <w:ind w:left="1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Legal Proceedings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720" w:type="dxa"/>
            <w:vAlign w:val="bottom"/>
          </w:tcPr>
          <w:p>
            <w:pPr>
              <w:ind w:left="1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Risk Factors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60" w:type="dxa"/>
            <w:vAlign w:val="bottom"/>
          </w:tcPr>
          <w:p>
            <w:pPr>
              <w:ind w:left="140"/>
              <w:spacing w:after="0"/>
              <w:rPr>
                <w:sz w:val="20"/>
                <w:szCs w:val="20"/>
                <w:color w:val="auto"/>
              </w:rPr>
            </w:pPr>
            <w:r>
              <w:rPr>
                <w:rFonts w:ascii="Arial" w:cs="Arial" w:eastAsia="Arial" w:hAnsi="Arial"/>
                <w:sz w:val="18"/>
                <w:szCs w:val="18"/>
                <w:color w:val="auto"/>
              </w:rPr>
              <w:t>Item 2.</w:t>
            </w:r>
          </w:p>
        </w:tc>
        <w:tc>
          <w:tcPr>
            <w:tcW w:w="9720" w:type="dxa"/>
            <w:vAlign w:val="bottom"/>
          </w:tcPr>
          <w:p>
            <w:pPr>
              <w:ind w:left="18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Unregistered Sales of Equity Security and Uses of Proceeds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960" w:type="dxa"/>
            <w:vAlign w:val="bottom"/>
          </w:tcPr>
          <w:p>
            <w:pPr>
              <w:ind w:left="140"/>
              <w:spacing w:after="0"/>
              <w:rPr>
                <w:sz w:val="20"/>
                <w:szCs w:val="20"/>
                <w:color w:val="auto"/>
              </w:rPr>
            </w:pPr>
            <w:r>
              <w:rPr>
                <w:rFonts w:ascii="Arial" w:cs="Arial" w:eastAsia="Arial" w:hAnsi="Arial"/>
                <w:sz w:val="18"/>
                <w:szCs w:val="18"/>
                <w:color w:val="auto"/>
              </w:rPr>
              <w:t>Item 5.</w:t>
            </w:r>
          </w:p>
        </w:tc>
        <w:tc>
          <w:tcPr>
            <w:tcW w:w="9720" w:type="dxa"/>
            <w:vAlign w:val="bottom"/>
          </w:tcPr>
          <w:p>
            <w:pPr>
              <w:ind w:left="18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Other Information</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6.</w:t>
            </w:r>
          </w:p>
        </w:tc>
        <w:tc>
          <w:tcPr>
            <w:tcW w:w="9720" w:type="dxa"/>
            <w:vAlign w:val="bottom"/>
          </w:tcPr>
          <w:p>
            <w:pPr>
              <w:ind w:left="18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Exhibits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208"/>
        </w:trPr>
        <w:tc>
          <w:tcPr>
            <w:tcW w:w="960" w:type="dxa"/>
            <w:vAlign w:val="bottom"/>
            <w:tcBorders>
              <w:bottom w:val="single" w:sz="8" w:color="9A9A9A"/>
            </w:tcBorders>
          </w:tcPr>
          <w:p>
            <w:pPr>
              <w:spacing w:after="0"/>
              <w:rPr>
                <w:sz w:val="24"/>
                <w:szCs w:val="24"/>
                <w:color w:val="auto"/>
              </w:rPr>
            </w:pPr>
          </w:p>
        </w:tc>
        <w:tc>
          <w:tcPr>
            <w:tcW w:w="97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Beam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ind w:right="491"/>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54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126,050</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37,221</w:t>
            </w: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127,392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54,627</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6,192</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23"/>
        </w:trPr>
        <w:tc>
          <w:tcPr>
            <w:tcW w:w="75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259,634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94,544</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24,802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24,290</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13,332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13,332</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22,126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18,957</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2,744</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322,638</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156,099</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6,101</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7,846</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8,480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10,500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lease liability</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4,699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equipment financing liability</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1,660</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31,440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29,138</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Long-term lease liability</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24,059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21,187</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Long-term equipment financing liability</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5,333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4,411</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412</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61,244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55,154</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Commitments and contingencies (See Note 7, Leases, and Note 8, License agreements)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302,049</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Preferred stock, $0.01 par value; 25,000,000 and no shares authorized at March 31, 2020 and</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December 31, 2019, respectively, and no shares issued or outstanding at March 31, 2020 and</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December 31, 2019, respectively</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540" w:type="dxa"/>
            <w:vAlign w:val="bottom"/>
          </w:tcPr>
          <w:p>
            <w:pPr>
              <w:ind w:left="260"/>
              <w:spacing w:after="0"/>
              <w:rPr>
                <w:sz w:val="20"/>
                <w:szCs w:val="20"/>
                <w:color w:val="auto"/>
              </w:rPr>
            </w:pPr>
            <w:r>
              <w:rPr>
                <w:rFonts w:ascii="Arial" w:cs="Arial" w:eastAsia="Arial" w:hAnsi="Arial"/>
                <w:sz w:val="18"/>
                <w:szCs w:val="18"/>
                <w:color w:val="auto"/>
                <w:w w:val="92"/>
              </w:rPr>
              <w:t>Common stock, $0.01 par value; 250,000,000 and 205,000,000 shares authorized, 51,345,290 and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60"/>
              <w:spacing w:after="0"/>
              <w:rPr>
                <w:sz w:val="20"/>
                <w:szCs w:val="20"/>
                <w:color w:val="auto"/>
              </w:rPr>
            </w:pPr>
            <w:r>
              <w:rPr>
                <w:rFonts w:ascii="Arial" w:cs="Arial" w:eastAsia="Arial" w:hAnsi="Arial"/>
                <w:sz w:val="18"/>
                <w:szCs w:val="18"/>
                <w:color w:val="auto"/>
                <w:w w:val="91"/>
              </w:rPr>
              <w:t>9,981,991 issued, and 49,077,350 and 7,326,185 outstanding at March 31, 2020 and December 31,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2019, respectively</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491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494,749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Accumulated other comprehensive (loss) income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(233,502)</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(203,044)</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 (deficit)</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261,394</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(201,104)</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w w:val="99"/>
              </w:rPr>
              <w:t>Total liabilities, redeemable convertible preferred stock, and stockholders’ equity (deficit)</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322,638</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156,099</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Beam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Other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21,549</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9,179</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6,812</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28,361</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13,108</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(28,355)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(13,108)</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Change in fair value of derivative liabilities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 net</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597</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(30,458)</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(13,610)</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8"/>
                <w:szCs w:val="18"/>
                <w:color w:val="auto"/>
              </w:rPr>
              <w:t>Unrealized loss on marketable securities</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Borders>
              <w:bottom w:val="single" w:sz="8" w:color="CFF0FC"/>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(30,818)</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(13,610)</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Reconciliation of net loss to net loss attributable to common stockholders:</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(30,458)</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(13,610)</w:t>
            </w:r>
          </w:p>
        </w:tc>
        <w:tc>
          <w:tcPr>
            <w:tcW w:w="0" w:type="dxa"/>
            <w:vAlign w:val="bottom"/>
          </w:tcPr>
          <w:p>
            <w:pPr>
              <w:spacing w:after="0"/>
              <w:rPr>
                <w:sz w:val="1"/>
                <w:szCs w:val="1"/>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Accretion of redeemable convertible preferred stock to redemption value, including dividends on</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preferred stock</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16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(31,735)</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(16,573)</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loss per common share attributable to common stockholders, basic and diluted</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1"/>
              </w:rPr>
              <w:t>Weighted-average common shares used in net loss per share attributable to common stockholders, basic</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and diluted</w:t>
            </w: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30,725,077</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5,795,481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Beam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Redeemable Convertible Preferred Stock and Stockholders’ Equity (Deficit)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54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541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8"/>
          </w:tcPr>
          <w:p>
            <w:pPr>
              <w:jc w:val="right"/>
              <w:ind w:right="300"/>
              <w:spacing w:after="0"/>
              <w:rPr>
                <w:sz w:val="20"/>
                <w:szCs w:val="20"/>
                <w:color w:val="auto"/>
              </w:rPr>
            </w:pPr>
            <w:r>
              <w:rPr>
                <w:rFonts w:ascii="Arial" w:cs="Arial" w:eastAsia="Arial" w:hAnsi="Arial"/>
                <w:sz w:val="13"/>
                <w:szCs w:val="13"/>
                <w:b w:val="1"/>
                <w:bCs w:val="1"/>
                <w:color w:val="auto"/>
              </w:rPr>
              <w:t>Redeemable Convertible</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3"/>
                <w:szCs w:val="13"/>
                <w:b w:val="1"/>
                <w:bCs w:val="1"/>
                <w:color w:val="auto"/>
              </w:rPr>
              <w:t>Preferred Stock</w:t>
            </w:r>
          </w:p>
        </w:tc>
        <w:tc>
          <w:tcPr>
            <w:tcW w:w="0" w:type="dxa"/>
            <w:vAlign w:val="bottom"/>
          </w:tcPr>
          <w:p>
            <w:pPr>
              <w:spacing w:after="0"/>
              <w:rPr>
                <w:sz w:val="1"/>
                <w:szCs w:val="1"/>
                <w:color w:val="auto"/>
              </w:rPr>
            </w:pPr>
          </w:p>
        </w:tc>
      </w:tr>
      <w:tr>
        <w:trPr>
          <w:trHeight w:val="156"/>
        </w:trPr>
        <w:tc>
          <w:tcPr>
            <w:tcW w:w="3320" w:type="dxa"/>
            <w:vAlign w:val="bottom"/>
            <w:vMerge w:val="restart"/>
          </w:tcPr>
          <w:p>
            <w:pPr>
              <w:spacing w:after="0"/>
              <w:rPr>
                <w:sz w:val="20"/>
                <w:szCs w:val="20"/>
                <w:color w:val="auto"/>
              </w:rPr>
            </w:pPr>
            <w:r>
              <w:rPr>
                <w:rFonts w:ascii="Arial" w:cs="Arial" w:eastAsia="Arial" w:hAnsi="Arial"/>
                <w:sz w:val="14"/>
                <w:szCs w:val="14"/>
                <w:color w:val="auto"/>
              </w:rPr>
              <w:t>Balance at December 31, 2018</w:t>
            </w:r>
          </w:p>
        </w:tc>
        <w:tc>
          <w:tcPr>
            <w:tcW w:w="180" w:type="dxa"/>
            <w:vAlign w:val="bottom"/>
          </w:tcPr>
          <w:p>
            <w:pPr>
              <w:spacing w:after="0"/>
              <w:rPr>
                <w:sz w:val="13"/>
                <w:szCs w:val="13"/>
                <w:color w:val="auto"/>
              </w:rPr>
            </w:pPr>
          </w:p>
        </w:tc>
        <w:tc>
          <w:tcPr>
            <w:tcW w:w="9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3"/>
                <w:szCs w:val="13"/>
                <w:b w:val="1"/>
                <w:bCs w:val="1"/>
                <w:color w:val="auto"/>
              </w:rPr>
              <w:t>Shares</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50"/>
        </w:trPr>
        <w:tc>
          <w:tcPr>
            <w:tcW w:w="3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119,308,387</w:t>
            </w: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251,434</w:t>
            </w:r>
          </w:p>
        </w:tc>
        <w:tc>
          <w:tcPr>
            <w:tcW w:w="0" w:type="dxa"/>
            <w:vAlign w:val="bottom"/>
          </w:tcPr>
          <w:p>
            <w:pPr>
              <w:spacing w:after="0"/>
              <w:rPr>
                <w:sz w:val="1"/>
                <w:szCs w:val="1"/>
                <w:color w:val="auto"/>
              </w:rPr>
            </w:pPr>
          </w:p>
        </w:tc>
      </w:tr>
      <w:tr>
        <w:trPr>
          <w:trHeight w:val="148"/>
        </w:trPr>
        <w:tc>
          <w:tcPr>
            <w:tcW w:w="3320" w:type="dxa"/>
            <w:vAlign w:val="bottom"/>
          </w:tcPr>
          <w:p>
            <w:pPr>
              <w:ind w:left="260"/>
              <w:spacing w:after="0" w:line="149" w:lineRule="exact"/>
              <w:rPr>
                <w:sz w:val="20"/>
                <w:szCs w:val="20"/>
                <w:color w:val="auto"/>
              </w:rPr>
            </w:pPr>
            <w:r>
              <w:rPr>
                <w:rFonts w:ascii="Arial" w:cs="Arial" w:eastAsia="Arial" w:hAnsi="Arial"/>
                <w:sz w:val="14"/>
                <w:szCs w:val="14"/>
                <w:color w:val="auto"/>
              </w:rPr>
              <w:t>Issuance of Series B redeemable convertible</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Arial" w:cs="Arial" w:eastAsia="Arial" w:hAnsi="Arial"/>
                <w:sz w:val="14"/>
                <w:szCs w:val="14"/>
                <w:color w:val="auto"/>
                <w:w w:val="94"/>
              </w:rPr>
              <w:t>preferred stock, net of issuance costs of $0.1 million</w:t>
            </w:r>
          </w:p>
        </w:tc>
        <w:tc>
          <w:tcPr>
            <w:tcW w:w="1120" w:type="dxa"/>
            <w:vAlign w:val="bottom"/>
            <w:gridSpan w:val="3"/>
          </w:tcPr>
          <w:p>
            <w:pPr>
              <w:jc w:val="right"/>
              <w:ind w:right="120"/>
              <w:spacing w:after="0"/>
              <w:rPr>
                <w:sz w:val="20"/>
                <w:szCs w:val="20"/>
                <w:color w:val="auto"/>
              </w:rPr>
            </w:pPr>
            <w:r>
              <w:rPr>
                <w:rFonts w:ascii="Arial" w:cs="Arial" w:eastAsia="Arial" w:hAnsi="Arial"/>
                <w:sz w:val="14"/>
                <w:szCs w:val="14"/>
                <w:color w:val="auto"/>
              </w:rPr>
              <w:t>11,308,397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37,901</w:t>
            </w:r>
          </w:p>
        </w:tc>
        <w:tc>
          <w:tcPr>
            <w:tcW w:w="0" w:type="dxa"/>
            <w:vAlign w:val="bottom"/>
          </w:tcPr>
          <w:p>
            <w:pPr>
              <w:spacing w:after="0"/>
              <w:rPr>
                <w:sz w:val="1"/>
                <w:szCs w:val="1"/>
                <w:color w:val="auto"/>
              </w:rPr>
            </w:pPr>
          </w:p>
        </w:tc>
      </w:tr>
      <w:tr>
        <w:trPr>
          <w:trHeight w:val="148"/>
        </w:trPr>
        <w:tc>
          <w:tcPr>
            <w:tcW w:w="3320" w:type="dxa"/>
            <w:vAlign w:val="bottom"/>
          </w:tcPr>
          <w:p>
            <w:pPr>
              <w:ind w:left="260"/>
              <w:spacing w:after="0" w:line="149" w:lineRule="exact"/>
              <w:rPr>
                <w:sz w:val="20"/>
                <w:szCs w:val="20"/>
                <w:color w:val="auto"/>
              </w:rPr>
            </w:pPr>
            <w:r>
              <w:rPr>
                <w:rFonts w:ascii="Arial" w:cs="Arial" w:eastAsia="Arial" w:hAnsi="Arial"/>
                <w:sz w:val="14"/>
                <w:szCs w:val="14"/>
                <w:color w:val="auto"/>
                <w:w w:val="94"/>
              </w:rPr>
              <w:t>Accretion of redeemable convertible preferred stock</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Arial" w:cs="Arial" w:eastAsia="Arial" w:hAnsi="Arial"/>
                <w:sz w:val="14"/>
                <w:szCs w:val="14"/>
                <w:color w:val="auto"/>
              </w:rPr>
              <w:t>to redemption value</w:t>
            </w: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2,963</w:t>
            </w: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Arial" w:cs="Arial" w:eastAsia="Arial" w:hAnsi="Arial"/>
                <w:sz w:val="14"/>
                <w:szCs w:val="14"/>
                <w:color w:val="auto"/>
              </w:rPr>
              <w:t>Vesting of restricted common stock</w:t>
            </w: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320" w:type="dxa"/>
            <w:vAlign w:val="bottom"/>
          </w:tcPr>
          <w:p>
            <w:pPr>
              <w:ind w:left="260"/>
              <w:spacing w:after="0" w:line="149" w:lineRule="exact"/>
              <w:rPr>
                <w:sz w:val="20"/>
                <w:szCs w:val="20"/>
                <w:color w:val="auto"/>
              </w:rPr>
            </w:pPr>
            <w:r>
              <w:rPr>
                <w:rFonts w:ascii="Arial" w:cs="Arial" w:eastAsia="Arial" w:hAnsi="Arial"/>
                <w:sz w:val="14"/>
                <w:szCs w:val="14"/>
                <w:color w:val="auto"/>
              </w:rPr>
              <w:t>Issuance of common stock related to license</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Arial" w:cs="Arial" w:eastAsia="Arial" w:hAnsi="Arial"/>
                <w:sz w:val="14"/>
                <w:szCs w:val="14"/>
                <w:color w:val="auto"/>
              </w:rPr>
              <w:t>agreement</w:t>
            </w: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Arial" w:cs="Arial" w:eastAsia="Arial" w:hAnsi="Arial"/>
                <w:sz w:val="14"/>
                <w:szCs w:val="14"/>
                <w:color w:val="auto"/>
              </w:rPr>
              <w:t>Exercise of common stock options</w:t>
            </w: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3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80" w:type="dxa"/>
            <w:vAlign w:val="bottom"/>
          </w:tcPr>
          <w:p>
            <w:pPr>
              <w:spacing w:after="0"/>
              <w:rPr>
                <w:sz w:val="14"/>
                <w:szCs w:val="14"/>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320" w:type="dxa"/>
            <w:vAlign w:val="bottom"/>
          </w:tcPr>
          <w:p>
            <w:pPr>
              <w:spacing w:after="0" w:line="155" w:lineRule="exact"/>
              <w:rPr>
                <w:sz w:val="20"/>
                <w:szCs w:val="20"/>
                <w:color w:val="auto"/>
              </w:rPr>
            </w:pPr>
            <w:r>
              <w:rPr>
                <w:rFonts w:ascii="Arial" w:cs="Arial" w:eastAsia="Arial" w:hAnsi="Arial"/>
                <w:sz w:val="14"/>
                <w:szCs w:val="14"/>
                <w:color w:val="auto"/>
              </w:rPr>
              <w:t>Balance at March 31, 2019</w:t>
            </w:r>
          </w:p>
        </w:tc>
        <w:tc>
          <w:tcPr>
            <w:tcW w:w="180" w:type="dxa"/>
            <w:vAlign w:val="bottom"/>
          </w:tcPr>
          <w:p>
            <w:pPr>
              <w:spacing w:after="0"/>
              <w:rPr>
                <w:sz w:val="13"/>
                <w:szCs w:val="13"/>
                <w:color w:val="auto"/>
              </w:rPr>
            </w:pPr>
          </w:p>
        </w:tc>
        <w:tc>
          <w:tcPr>
            <w:tcW w:w="94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color w:val="auto"/>
              </w:rPr>
              <w:t>130,616,784</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color w:val="auto"/>
              </w:rPr>
              <w:t>292,298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80" w:type="dxa"/>
            <w:vAlign w:val="bottom"/>
            <w:gridSpan w:val="8"/>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Borders>
              <w:right w:val="single" w:sz="8" w:color="auto"/>
            </w:tcBorders>
            <w:gridSpan w:val="8"/>
          </w:tcPr>
          <w:p>
            <w:pPr>
              <w:jc w:val="right"/>
              <w:ind w:right="440"/>
              <w:spacing w:after="0"/>
              <w:rPr>
                <w:sz w:val="20"/>
                <w:szCs w:val="20"/>
                <w:color w:val="auto"/>
              </w:rPr>
            </w:pPr>
            <w:r>
              <w:rPr>
                <w:rFonts w:ascii="Arial" w:cs="Arial" w:eastAsia="Arial" w:hAnsi="Arial"/>
                <w:sz w:val="13"/>
                <w:szCs w:val="13"/>
                <w:b w:val="1"/>
                <w:bCs w:val="1"/>
                <w:color w:val="auto"/>
                <w:w w:val="93"/>
              </w:rPr>
              <w:t>Redeemable Convertible</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7"/>
          </w:tcPr>
          <w:p>
            <w:pPr>
              <w:jc w:val="right"/>
              <w:ind w:right="488"/>
              <w:spacing w:after="0"/>
              <w:rPr>
                <w:sz w:val="20"/>
                <w:szCs w:val="20"/>
                <w:color w:val="auto"/>
              </w:rPr>
            </w:pPr>
            <w:r>
              <w:rPr>
                <w:rFonts w:ascii="Arial" w:cs="Arial" w:eastAsia="Arial" w:hAnsi="Arial"/>
                <w:sz w:val="13"/>
                <w:szCs w:val="13"/>
                <w:b w:val="1"/>
                <w:bCs w:val="1"/>
                <w:color w:val="auto"/>
              </w:rPr>
              <w:t>Preferred Stock</w:t>
            </w: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20" w:type="dxa"/>
            <w:vAlign w:val="bottom"/>
            <w:vMerge w:val="restart"/>
          </w:tcPr>
          <w:p>
            <w:pPr>
              <w:spacing w:after="0"/>
              <w:rPr>
                <w:sz w:val="20"/>
                <w:szCs w:val="20"/>
                <w:color w:val="auto"/>
              </w:rPr>
            </w:pPr>
            <w:r>
              <w:rPr>
                <w:rFonts w:ascii="Arial" w:cs="Arial" w:eastAsia="Arial" w:hAnsi="Arial"/>
                <w:sz w:val="14"/>
                <w:szCs w:val="14"/>
                <w:color w:val="auto"/>
              </w:rPr>
              <w:t>Balance at December 31, 2019</w:t>
            </w:r>
          </w:p>
        </w:tc>
        <w:tc>
          <w:tcPr>
            <w:tcW w:w="180" w:type="dxa"/>
            <w:vAlign w:val="bottom"/>
          </w:tcPr>
          <w:p>
            <w:pPr>
              <w:spacing w:after="0"/>
              <w:rPr>
                <w:sz w:val="13"/>
                <w:szCs w:val="13"/>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3"/>
                <w:szCs w:val="13"/>
                <w:color w:val="auto"/>
              </w:rPr>
            </w:pPr>
          </w:p>
        </w:tc>
        <w:tc>
          <w:tcPr>
            <w:tcW w:w="920" w:type="dxa"/>
            <w:vAlign w:val="bottom"/>
            <w:tcBorders>
              <w:right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50"/>
        </w:trPr>
        <w:tc>
          <w:tcPr>
            <w:tcW w:w="3320" w:type="dxa"/>
            <w:vAlign w:val="bottom"/>
            <w:vMerge w:val="continue"/>
          </w:tcPr>
          <w:p>
            <w:pPr>
              <w:spacing w:after="0"/>
              <w:rPr>
                <w:sz w:val="13"/>
                <w:szCs w:val="13"/>
                <w:color w:val="auto"/>
              </w:rPr>
            </w:pPr>
          </w:p>
        </w:tc>
        <w:tc>
          <w:tcPr>
            <w:tcW w:w="1000" w:type="dxa"/>
            <w:vAlign w:val="bottom"/>
            <w:tcBorders>
              <w:top w:val="single" w:sz="8" w:color="auto"/>
            </w:tcBorders>
            <w:gridSpan w:val="2"/>
          </w:tcPr>
          <w:p>
            <w:pPr>
              <w:jc w:val="right"/>
              <w:ind w:right="49"/>
              <w:spacing w:after="0" w:line="151" w:lineRule="exact"/>
              <w:rPr>
                <w:sz w:val="20"/>
                <w:szCs w:val="20"/>
                <w:color w:val="auto"/>
              </w:rPr>
            </w:pPr>
            <w:r>
              <w:rPr>
                <w:rFonts w:ascii="Arial" w:cs="Arial" w:eastAsia="Arial" w:hAnsi="Arial"/>
                <w:sz w:val="14"/>
                <w:szCs w:val="14"/>
                <w:color w:val="auto"/>
              </w:rPr>
              <w:t>130,616,784</w:t>
            </w:r>
          </w:p>
        </w:tc>
        <w:tc>
          <w:tcPr>
            <w:tcW w:w="120" w:type="dxa"/>
            <w:vAlign w:val="bottom"/>
          </w:tcPr>
          <w:p>
            <w:pPr>
              <w:spacing w:after="0"/>
              <w:rPr>
                <w:sz w:val="13"/>
                <w:szCs w:val="13"/>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48"/>
              <w:spacing w:after="0" w:line="151" w:lineRule="exact"/>
              <w:rPr>
                <w:sz w:val="20"/>
                <w:szCs w:val="20"/>
                <w:color w:val="auto"/>
              </w:rPr>
            </w:pPr>
            <w:r>
              <w:rPr>
                <w:rFonts w:ascii="Arial" w:cs="Arial" w:eastAsia="Arial" w:hAnsi="Arial"/>
                <w:sz w:val="14"/>
                <w:szCs w:val="14"/>
                <w:color w:val="auto"/>
                <w:w w:val="90"/>
              </w:rPr>
              <w:t>302,049</w:t>
            </w: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20" w:type="dxa"/>
            <w:vAlign w:val="bottom"/>
          </w:tcPr>
          <w:p>
            <w:pPr>
              <w:ind w:left="260"/>
              <w:spacing w:after="0" w:line="149" w:lineRule="exact"/>
              <w:rPr>
                <w:sz w:val="20"/>
                <w:szCs w:val="20"/>
                <w:color w:val="auto"/>
              </w:rPr>
            </w:pPr>
            <w:r>
              <w:rPr>
                <w:rFonts w:ascii="Arial" w:cs="Arial" w:eastAsia="Arial" w:hAnsi="Arial"/>
                <w:sz w:val="14"/>
                <w:szCs w:val="14"/>
                <w:color w:val="auto"/>
              </w:rPr>
              <w:t>Accretion of redeemable convertible preferred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Arial" w:cs="Arial" w:eastAsia="Arial" w:hAnsi="Arial"/>
                <w:sz w:val="14"/>
                <w:szCs w:val="14"/>
                <w:color w:val="auto"/>
              </w:rPr>
              <w:t>stock to redemption value</w:t>
            </w:r>
          </w:p>
        </w:tc>
        <w:tc>
          <w:tcPr>
            <w:tcW w:w="1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1,277</w:t>
            </w: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20" w:type="dxa"/>
            <w:vAlign w:val="bottom"/>
          </w:tcPr>
          <w:p>
            <w:pPr>
              <w:ind w:left="260"/>
              <w:spacing w:after="0" w:line="149" w:lineRule="exact"/>
              <w:rPr>
                <w:sz w:val="20"/>
                <w:szCs w:val="20"/>
                <w:color w:val="auto"/>
              </w:rPr>
            </w:pPr>
            <w:r>
              <w:rPr>
                <w:rFonts w:ascii="Arial" w:cs="Arial" w:eastAsia="Arial" w:hAnsi="Arial"/>
                <w:sz w:val="14"/>
                <w:szCs w:val="14"/>
                <w:color w:val="auto"/>
              </w:rPr>
              <w:t>Conversion of redeemable convertible preferred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ind w:left="260"/>
              <w:spacing w:after="0" w:line="149" w:lineRule="exact"/>
              <w:rPr>
                <w:sz w:val="20"/>
                <w:szCs w:val="20"/>
                <w:color w:val="auto"/>
              </w:rPr>
            </w:pPr>
            <w:r>
              <w:rPr>
                <w:rFonts w:ascii="Arial" w:cs="Arial" w:eastAsia="Arial" w:hAnsi="Arial"/>
                <w:sz w:val="14"/>
                <w:szCs w:val="14"/>
                <w:color w:val="auto"/>
              </w:rPr>
              <w:t>stock to common stock upon closing of initial</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Arial" w:cs="Arial" w:eastAsia="Arial" w:hAnsi="Arial"/>
                <w:sz w:val="14"/>
                <w:szCs w:val="14"/>
                <w:color w:val="auto"/>
              </w:rPr>
              <w:t>public offering</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(130,616,784)</w:t>
            </w:r>
          </w:p>
        </w:tc>
        <w:tc>
          <w:tcPr>
            <w:tcW w:w="120" w:type="dxa"/>
            <w:vAlign w:val="bottom"/>
          </w:tcPr>
          <w:p>
            <w:pPr>
              <w:spacing w:after="0"/>
              <w:rPr>
                <w:sz w:val="14"/>
                <w:szCs w:val="14"/>
                <w:color w:val="auto"/>
              </w:rPr>
            </w:pPr>
          </w:p>
        </w:tc>
        <w:tc>
          <w:tcPr>
            <w:tcW w:w="800" w:type="dxa"/>
            <w:vAlign w:val="bottom"/>
            <w:gridSpan w:val="5"/>
          </w:tcPr>
          <w:p>
            <w:pPr>
              <w:jc w:val="right"/>
              <w:spacing w:after="0"/>
              <w:rPr>
                <w:sz w:val="20"/>
                <w:szCs w:val="20"/>
                <w:color w:val="auto"/>
              </w:rPr>
            </w:pPr>
            <w:r>
              <w:rPr>
                <w:rFonts w:ascii="Arial" w:cs="Arial" w:eastAsia="Arial" w:hAnsi="Arial"/>
                <w:sz w:val="14"/>
                <w:szCs w:val="14"/>
                <w:color w:val="auto"/>
              </w:rPr>
              <w:t>(303,326)</w:t>
            </w: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20" w:type="dxa"/>
            <w:vAlign w:val="bottom"/>
          </w:tcPr>
          <w:p>
            <w:pPr>
              <w:ind w:left="260"/>
              <w:spacing w:after="0" w:line="149" w:lineRule="exact"/>
              <w:rPr>
                <w:sz w:val="20"/>
                <w:szCs w:val="20"/>
                <w:color w:val="auto"/>
              </w:rPr>
            </w:pPr>
            <w:r>
              <w:rPr>
                <w:rFonts w:ascii="Arial" w:cs="Arial" w:eastAsia="Arial" w:hAnsi="Arial"/>
                <w:sz w:val="14"/>
                <w:szCs w:val="14"/>
                <w:color w:val="auto"/>
              </w:rPr>
              <w:t>Issuance of common stock from initial public</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Arial" w:cs="Arial" w:eastAsia="Arial" w:hAnsi="Arial"/>
                <w:sz w:val="14"/>
                <w:szCs w:val="14"/>
                <w:color w:val="auto"/>
              </w:rPr>
              <w:t>offering, net of issuance costs of $18.7 million</w:t>
            </w:r>
          </w:p>
        </w:tc>
        <w:tc>
          <w:tcPr>
            <w:tcW w:w="1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Arial" w:cs="Arial" w:eastAsia="Arial" w:hAnsi="Arial"/>
                <w:sz w:val="14"/>
                <w:szCs w:val="14"/>
                <w:color w:val="auto"/>
              </w:rPr>
              <w:t>Vesting of restricted common stock</w:t>
            </w:r>
          </w:p>
        </w:tc>
        <w:tc>
          <w:tcPr>
            <w:tcW w:w="1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Arial" w:cs="Arial" w:eastAsia="Arial" w:hAnsi="Arial"/>
                <w:sz w:val="14"/>
                <w:szCs w:val="14"/>
                <w:color w:val="auto"/>
              </w:rPr>
              <w:t>Exercise of common stock options</w:t>
            </w:r>
          </w:p>
        </w:tc>
        <w:tc>
          <w:tcPr>
            <w:tcW w:w="1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320" w:type="dxa"/>
            <w:vAlign w:val="bottom"/>
          </w:tcPr>
          <w:p>
            <w:pPr>
              <w:ind w:left="260"/>
              <w:spacing w:after="0"/>
              <w:rPr>
                <w:sz w:val="20"/>
                <w:szCs w:val="20"/>
                <w:color w:val="auto"/>
              </w:rPr>
            </w:pPr>
            <w:r>
              <w:rPr>
                <w:rFonts w:ascii="Arial" w:cs="Arial" w:eastAsia="Arial" w:hAnsi="Arial"/>
                <w:sz w:val="14"/>
                <w:szCs w:val="14"/>
                <w:color w:val="auto"/>
              </w:rPr>
              <w:t>Other comprehensive loss</w:t>
            </w:r>
          </w:p>
        </w:tc>
        <w:tc>
          <w:tcPr>
            <w:tcW w:w="1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3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320" w:type="dxa"/>
            <w:vAlign w:val="bottom"/>
          </w:tcPr>
          <w:p>
            <w:pPr>
              <w:spacing w:after="0" w:line="155" w:lineRule="exact"/>
              <w:rPr>
                <w:sz w:val="20"/>
                <w:szCs w:val="20"/>
                <w:color w:val="auto"/>
              </w:rPr>
            </w:pPr>
            <w:r>
              <w:rPr>
                <w:rFonts w:ascii="Arial" w:cs="Arial" w:eastAsia="Arial" w:hAnsi="Arial"/>
                <w:sz w:val="14"/>
                <w:szCs w:val="14"/>
                <w:color w:val="auto"/>
              </w:rPr>
              <w:t>Balance at March 31, 2020</w:t>
            </w:r>
          </w:p>
        </w:tc>
        <w:tc>
          <w:tcPr>
            <w:tcW w:w="1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ind w:left="20"/>
              <w:spacing w:after="0"/>
              <w:rPr>
                <w:sz w:val="20"/>
                <w:szCs w:val="20"/>
                <w:color w:val="auto"/>
              </w:rPr>
            </w:pPr>
            <w:r>
              <w:rPr>
                <w:rFonts w:ascii="Arial" w:cs="Arial" w:eastAsia="Arial" w:hAnsi="Arial"/>
                <w:sz w:val="13"/>
                <w:szCs w:val="13"/>
                <w:b w:val="1"/>
                <w:bCs w:val="1"/>
                <w:color w:val="auto"/>
              </w:rPr>
              <w:t>Additional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7"/>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289"/>
              <w:spacing w:after="0"/>
              <w:rPr>
                <w:sz w:val="20"/>
                <w:szCs w:val="20"/>
                <w:color w:val="auto"/>
              </w:rPr>
            </w:pPr>
            <w:r>
              <w:rPr>
                <w:rFonts w:ascii="Arial" w:cs="Arial" w:eastAsia="Arial" w:hAnsi="Arial"/>
                <w:sz w:val="13"/>
                <w:szCs w:val="13"/>
                <w:b w:val="1"/>
                <w:bCs w:val="1"/>
                <w:color w:val="auto"/>
              </w:rPr>
              <w:t>Total</w:t>
            </w:r>
          </w:p>
        </w:tc>
      </w:tr>
      <w:tr>
        <w:trPr>
          <w:trHeight w:val="161"/>
        </w:trPr>
        <w:tc>
          <w:tcPr>
            <w:tcW w:w="20" w:type="dxa"/>
            <w:vAlign w:val="bottom"/>
          </w:tcPr>
          <w:p>
            <w:pPr>
              <w:spacing w:after="0"/>
              <w:rPr>
                <w:sz w:val="14"/>
                <w:szCs w:val="14"/>
                <w:color w:val="auto"/>
              </w:rPr>
            </w:pPr>
          </w:p>
        </w:tc>
        <w:tc>
          <w:tcPr>
            <w:tcW w:w="134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3"/>
                <w:szCs w:val="13"/>
                <w:b w:val="1"/>
                <w:bCs w:val="1"/>
                <w:color w:val="auto"/>
              </w:rPr>
              <w:t>Common Stock</w:t>
            </w:r>
          </w:p>
        </w:tc>
        <w:tc>
          <w:tcPr>
            <w:tcW w:w="3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89"/>
              <w:spacing w:after="0"/>
              <w:rPr>
                <w:sz w:val="20"/>
                <w:szCs w:val="20"/>
                <w:color w:val="auto"/>
              </w:rPr>
            </w:pPr>
            <w:r>
              <w:rPr>
                <w:rFonts w:ascii="Arial" w:cs="Arial" w:eastAsia="Arial" w:hAnsi="Arial"/>
                <w:sz w:val="13"/>
                <w:szCs w:val="13"/>
                <w:b w:val="1"/>
                <w:bCs w:val="1"/>
                <w:color w:val="auto"/>
                <w:w w:val="92"/>
              </w:rPr>
              <w:t>Paid-in</w:t>
            </w:r>
          </w:p>
        </w:tc>
        <w:tc>
          <w:tcPr>
            <w:tcW w:w="40" w:type="dxa"/>
            <w:vAlign w:val="bottom"/>
          </w:tcPr>
          <w:p>
            <w:pPr>
              <w:spacing w:after="0"/>
              <w:rPr>
                <w:sz w:val="14"/>
                <w:szCs w:val="14"/>
                <w:color w:val="auto"/>
              </w:rPr>
            </w:pPr>
          </w:p>
        </w:tc>
        <w:tc>
          <w:tcPr>
            <w:tcW w:w="118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w w:val="96"/>
              </w:rPr>
              <w:t>Comprehensive</w:t>
            </w: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4"/>
                <w:szCs w:val="14"/>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b w:val="1"/>
                <w:bCs w:val="1"/>
                <w:color w:val="auto"/>
              </w:rPr>
              <w:t>Stockholders’</w:t>
            </w:r>
          </w:p>
        </w:tc>
      </w:tr>
      <w:tr>
        <w:trPr>
          <w:trHeight w:val="156"/>
        </w:trPr>
        <w:tc>
          <w:tcPr>
            <w:tcW w:w="20" w:type="dxa"/>
            <w:vAlign w:val="bottom"/>
          </w:tcPr>
          <w:p>
            <w:pPr>
              <w:spacing w:after="0"/>
              <w:rPr>
                <w:sz w:val="13"/>
                <w:szCs w:val="13"/>
                <w:color w:val="auto"/>
              </w:rPr>
            </w:pPr>
          </w:p>
        </w:tc>
        <w:tc>
          <w:tcPr>
            <w:tcW w:w="920" w:type="dxa"/>
            <w:vAlign w:val="bottom"/>
            <w:gridSpan w:val="3"/>
          </w:tcPr>
          <w:p>
            <w:pPr>
              <w:ind w:left="16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3"/>
                <w:szCs w:val="13"/>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189"/>
              <w:spacing w:after="0"/>
              <w:rPr>
                <w:sz w:val="20"/>
                <w:szCs w:val="20"/>
                <w:color w:val="auto"/>
              </w:rPr>
            </w:pPr>
            <w:r>
              <w:rPr>
                <w:rFonts w:ascii="Arial" w:cs="Arial" w:eastAsia="Arial" w:hAnsi="Arial"/>
                <w:sz w:val="13"/>
                <w:szCs w:val="13"/>
                <w:b w:val="1"/>
                <w:bCs w:val="1"/>
                <w:color w:val="auto"/>
                <w:w w:val="92"/>
              </w:rPr>
              <w:t>Capital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5"/>
          </w:tcPr>
          <w:p>
            <w:pPr>
              <w:ind w:left="40"/>
              <w:spacing w:after="0"/>
              <w:rPr>
                <w:sz w:val="20"/>
                <w:szCs w:val="20"/>
                <w:color w:val="auto"/>
              </w:rPr>
            </w:pPr>
            <w:r>
              <w:rPr>
                <w:rFonts w:ascii="Arial" w:cs="Arial" w:eastAsia="Arial" w:hAnsi="Arial"/>
                <w:sz w:val="13"/>
                <w:szCs w:val="13"/>
                <w:b w:val="1"/>
                <w:bCs w:val="1"/>
                <w:color w:val="auto"/>
              </w:rPr>
              <w:t>(Loss) Income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228"/>
              <w:spacing w:after="0"/>
              <w:rPr>
                <w:sz w:val="20"/>
                <w:szCs w:val="20"/>
                <w:color w:val="auto"/>
              </w:rPr>
            </w:pPr>
            <w:r>
              <w:rPr>
                <w:rFonts w:ascii="Arial" w:cs="Arial" w:eastAsia="Arial" w:hAnsi="Arial"/>
                <w:sz w:val="13"/>
                <w:szCs w:val="13"/>
                <w:b w:val="1"/>
                <w:bCs w:val="1"/>
                <w:color w:val="auto"/>
              </w:rPr>
              <w:t>Deficit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249"/>
              <w:spacing w:after="0"/>
              <w:rPr>
                <w:sz w:val="20"/>
                <w:szCs w:val="20"/>
                <w:color w:val="auto"/>
              </w:rPr>
            </w:pPr>
            <w:r>
              <w:rPr>
                <w:rFonts w:ascii="Arial" w:cs="Arial" w:eastAsia="Arial" w:hAnsi="Arial"/>
                <w:sz w:val="13"/>
                <w:szCs w:val="13"/>
                <w:b w:val="1"/>
                <w:bCs w:val="1"/>
                <w:color w:val="auto"/>
              </w:rPr>
              <w:t>Deficit</w:t>
            </w:r>
          </w:p>
        </w:tc>
      </w:tr>
      <w:tr>
        <w:trPr>
          <w:trHeight w:val="176"/>
        </w:trPr>
        <w:tc>
          <w:tcPr>
            <w:tcW w:w="20" w:type="dxa"/>
            <w:vAlign w:val="bottom"/>
          </w:tcPr>
          <w:p>
            <w:pPr>
              <w:spacing w:after="0"/>
              <w:rPr>
                <w:sz w:val="15"/>
                <w:szCs w:val="15"/>
                <w:color w:val="auto"/>
              </w:rPr>
            </w:pPr>
          </w:p>
        </w:tc>
        <w:tc>
          <w:tcPr>
            <w:tcW w:w="8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5,565,368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Borders>
              <w:top w:val="single" w:sz="8" w:color="auto"/>
            </w:tcBorders>
            <w:gridSpan w:val="2"/>
          </w:tcPr>
          <w:p>
            <w:pPr>
              <w:jc w:val="right"/>
              <w:ind w:right="270"/>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7,256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(124,718)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(117,406)</w:t>
            </w:r>
          </w:p>
        </w:tc>
      </w:tr>
      <w:tr>
        <w:trPr>
          <w:trHeight w:val="305"/>
        </w:trPr>
        <w:tc>
          <w:tcPr>
            <w:tcW w:w="20" w:type="dxa"/>
            <w:vAlign w:val="bottom"/>
          </w:tcPr>
          <w:p>
            <w:pPr>
              <w:spacing w:after="0"/>
              <w:rPr>
                <w:sz w:val="24"/>
                <w:szCs w:val="2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90"/>
        </w:trPr>
        <w:tc>
          <w:tcPr>
            <w:tcW w:w="20" w:type="dxa"/>
            <w:vAlign w:val="bottom"/>
          </w:tcPr>
          <w:p>
            <w:pPr>
              <w:spacing w:after="0"/>
              <w:rPr>
                <w:sz w:val="24"/>
                <w:szCs w:val="2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(2,963)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(2,963)</w:t>
            </w:r>
          </w:p>
        </w:tc>
      </w:tr>
      <w:tr>
        <w:trPr>
          <w:trHeight w:val="182"/>
        </w:trPr>
        <w:tc>
          <w:tcPr>
            <w:tcW w:w="2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388,562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90"/>
        </w:trPr>
        <w:tc>
          <w:tcPr>
            <w:tcW w:w="20" w:type="dxa"/>
            <w:vAlign w:val="bottom"/>
          </w:tcPr>
          <w:p>
            <w:pPr>
              <w:spacing w:after="0"/>
              <w:rPr>
                <w:sz w:val="24"/>
                <w:szCs w:val="24"/>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16,725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113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113</w:t>
            </w:r>
          </w:p>
        </w:tc>
      </w:tr>
      <w:tr>
        <w:trPr>
          <w:trHeight w:val="162"/>
        </w:trPr>
        <w:tc>
          <w:tcPr>
            <w:tcW w:w="2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869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869</w:t>
            </w:r>
          </w:p>
        </w:tc>
      </w:tr>
      <w:tr>
        <w:trPr>
          <w:trHeight w:val="162"/>
        </w:trPr>
        <w:tc>
          <w:tcPr>
            <w:tcW w:w="20" w:type="dxa"/>
            <w:vAlign w:val="bottom"/>
          </w:tcPr>
          <w:p>
            <w:pPr>
              <w:spacing w:after="0"/>
              <w:rPr>
                <w:sz w:val="14"/>
                <w:szCs w:val="14"/>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12,502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7</w:t>
            </w:r>
          </w:p>
        </w:tc>
      </w:tr>
      <w:tr>
        <w:trPr>
          <w:trHeight w:val="167"/>
        </w:trPr>
        <w:tc>
          <w:tcPr>
            <w:tcW w:w="2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(13,610)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(13,610)</w:t>
            </w:r>
          </w:p>
        </w:tc>
      </w:tr>
      <w:tr>
        <w:trPr>
          <w:trHeight w:val="155"/>
        </w:trPr>
        <w:tc>
          <w:tcPr>
            <w:tcW w:w="2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5,983,157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Borders>
              <w:top w:val="single" w:sz="8" w:color="auto"/>
              <w:bottom w:val="single" w:sz="8" w:color="auto"/>
            </w:tcBorders>
            <w:gridSpan w:val="2"/>
          </w:tcPr>
          <w:p>
            <w:pPr>
              <w:jc w:val="right"/>
              <w:ind w:right="270"/>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5,278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gridSpan w:val="2"/>
          </w:tcPr>
          <w:p>
            <w:pPr>
              <w:jc w:val="right"/>
              <w:ind w:right="51"/>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(138,328)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(132,990)</w:t>
            </w: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3"/>
              </w:rPr>
              <w:t>Accumulated</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center"/>
              <w:ind w:right="109"/>
              <w:spacing w:after="0"/>
              <w:rPr>
                <w:sz w:val="20"/>
                <w:szCs w:val="20"/>
                <w:color w:val="auto"/>
              </w:rPr>
            </w:pPr>
            <w:r>
              <w:rPr>
                <w:rFonts w:ascii="Arial" w:cs="Arial" w:eastAsia="Arial" w:hAnsi="Arial"/>
                <w:sz w:val="13"/>
                <w:szCs w:val="13"/>
                <w:b w:val="1"/>
                <w:bCs w:val="1"/>
                <w:color w:val="auto"/>
                <w:w w:val="96"/>
              </w:rPr>
              <w:t>Total</w:t>
            </w: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w w:val="97"/>
              </w:rPr>
              <w:t>Additional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7"/>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Stockholders’</w:t>
            </w:r>
          </w:p>
        </w:tc>
      </w:tr>
      <w:tr>
        <w:trPr>
          <w:trHeight w:val="161"/>
        </w:trPr>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3"/>
                <w:szCs w:val="13"/>
                <w:b w:val="1"/>
                <w:bCs w:val="1"/>
                <w:color w:val="auto"/>
              </w:rPr>
              <w:t>Common Stock</w:t>
            </w: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49"/>
              <w:spacing w:after="0"/>
              <w:rPr>
                <w:sz w:val="20"/>
                <w:szCs w:val="20"/>
                <w:color w:val="auto"/>
              </w:rPr>
            </w:pPr>
            <w:r>
              <w:rPr>
                <w:rFonts w:ascii="Arial" w:cs="Arial" w:eastAsia="Arial" w:hAnsi="Arial"/>
                <w:sz w:val="13"/>
                <w:szCs w:val="13"/>
                <w:b w:val="1"/>
                <w:bCs w:val="1"/>
                <w:color w:val="auto"/>
              </w:rPr>
              <w:t>Paid-in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3"/>
                <w:szCs w:val="13"/>
                <w:b w:val="1"/>
                <w:bCs w:val="1"/>
                <w:color w:val="auto"/>
              </w:rPr>
              <w:t>Comprehensive</w:t>
            </w:r>
          </w:p>
        </w:tc>
        <w:tc>
          <w:tcPr>
            <w:tcW w:w="880" w:type="dxa"/>
            <w:vAlign w:val="bottom"/>
            <w:gridSpan w:val="3"/>
          </w:tcPr>
          <w:p>
            <w:pPr>
              <w:ind w:left="60"/>
              <w:spacing w:after="0"/>
              <w:rPr>
                <w:sz w:val="20"/>
                <w:szCs w:val="20"/>
                <w:color w:val="auto"/>
              </w:rPr>
            </w:pPr>
            <w:r>
              <w:rPr>
                <w:rFonts w:ascii="Arial" w:cs="Arial" w:eastAsia="Arial" w:hAnsi="Arial"/>
                <w:sz w:val="13"/>
                <w:szCs w:val="13"/>
                <w:b w:val="1"/>
                <w:bCs w:val="1"/>
                <w:color w:val="auto"/>
                <w:w w:val="97"/>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09"/>
              <w:spacing w:after="0"/>
              <w:rPr>
                <w:sz w:val="20"/>
                <w:szCs w:val="20"/>
                <w:color w:val="auto"/>
              </w:rPr>
            </w:pPr>
            <w:r>
              <w:rPr>
                <w:rFonts w:ascii="Arial" w:cs="Arial" w:eastAsia="Arial" w:hAnsi="Arial"/>
                <w:sz w:val="13"/>
                <w:szCs w:val="13"/>
                <w:b w:val="1"/>
                <w:bCs w:val="1"/>
                <w:color w:val="auto"/>
                <w:w w:val="94"/>
              </w:rPr>
              <w:t>(Deficit)</w:t>
            </w:r>
          </w:p>
        </w:tc>
      </w:tr>
      <w:tr>
        <w:trPr>
          <w:trHeight w:val="156"/>
        </w:trPr>
        <w:tc>
          <w:tcPr>
            <w:tcW w:w="20" w:type="dxa"/>
            <w:vAlign w:val="bottom"/>
          </w:tcPr>
          <w:p>
            <w:pPr>
              <w:spacing w:after="0"/>
              <w:rPr>
                <w:sz w:val="13"/>
                <w:szCs w:val="13"/>
                <w:color w:val="auto"/>
              </w:rPr>
            </w:pPr>
          </w:p>
        </w:tc>
        <w:tc>
          <w:tcPr>
            <w:tcW w:w="920" w:type="dxa"/>
            <w:vAlign w:val="bottom"/>
            <w:gridSpan w:val="3"/>
          </w:tcPr>
          <w:p>
            <w:pPr>
              <w:ind w:left="16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3"/>
                <w:szCs w:val="13"/>
                <w:color w:val="auto"/>
              </w:rPr>
            </w:pPr>
          </w:p>
        </w:tc>
        <w:tc>
          <w:tcPr>
            <w:tcW w:w="76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129"/>
              <w:spacing w:after="0"/>
              <w:rPr>
                <w:sz w:val="20"/>
                <w:szCs w:val="20"/>
                <w:color w:val="auto"/>
              </w:rPr>
            </w:pPr>
            <w:r>
              <w:rPr>
                <w:rFonts w:ascii="Arial" w:cs="Arial" w:eastAsia="Arial" w:hAnsi="Arial"/>
                <w:sz w:val="13"/>
                <w:szCs w:val="13"/>
                <w:b w:val="1"/>
                <w:bCs w:val="1"/>
                <w:color w:val="auto"/>
              </w:rPr>
              <w:t>Capital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w w:val="95"/>
              </w:rPr>
              <w:t>(Loss) Income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88"/>
              <w:spacing w:after="0"/>
              <w:rPr>
                <w:sz w:val="20"/>
                <w:szCs w:val="20"/>
                <w:color w:val="auto"/>
              </w:rPr>
            </w:pPr>
            <w:r>
              <w:rPr>
                <w:rFonts w:ascii="Arial" w:cs="Arial" w:eastAsia="Arial" w:hAnsi="Arial"/>
                <w:sz w:val="13"/>
                <w:szCs w:val="13"/>
                <w:b w:val="1"/>
                <w:bCs w:val="1"/>
                <w:color w:val="auto"/>
              </w:rPr>
              <w:t>Deficit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09"/>
              <w:spacing w:after="0"/>
              <w:rPr>
                <w:sz w:val="20"/>
                <w:szCs w:val="20"/>
                <w:color w:val="auto"/>
              </w:rPr>
            </w:pPr>
            <w:r>
              <w:rPr>
                <w:rFonts w:ascii="Arial" w:cs="Arial" w:eastAsia="Arial" w:hAnsi="Arial"/>
                <w:sz w:val="13"/>
                <w:szCs w:val="13"/>
                <w:b w:val="1"/>
                <w:bCs w:val="1"/>
                <w:color w:val="auto"/>
                <w:w w:val="95"/>
              </w:rPr>
              <w:t>Equity</w:t>
            </w:r>
          </w:p>
        </w:tc>
      </w:tr>
      <w:tr>
        <w:trPr>
          <w:trHeight w:val="176"/>
        </w:trPr>
        <w:tc>
          <w:tcPr>
            <w:tcW w:w="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7,326,185</w:t>
            </w: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top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73</w:t>
            </w:r>
          </w:p>
        </w:tc>
        <w:tc>
          <w:tcPr>
            <w:tcW w:w="40" w:type="dxa"/>
            <w:vAlign w:val="bottom"/>
            <w:tcBorders>
              <w:top w:val="single" w:sz="8" w:color="auto"/>
            </w:tcBorders>
          </w:tcPr>
          <w:p>
            <w:pPr>
              <w:spacing w:after="0"/>
              <w:rPr>
                <w:sz w:val="15"/>
                <w:szCs w:val="15"/>
                <w:color w:val="auto"/>
              </w:rPr>
            </w:pPr>
          </w:p>
        </w:tc>
        <w:tc>
          <w:tcPr>
            <w:tcW w:w="120" w:type="dxa"/>
            <w:vAlign w:val="bottom"/>
            <w:gridSpan w:val="2"/>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1,851</w:t>
            </w:r>
          </w:p>
        </w:tc>
        <w:tc>
          <w:tcPr>
            <w:tcW w:w="40" w:type="dxa"/>
            <w:vAlign w:val="bottom"/>
            <w:tcBorders>
              <w:top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w:t>
            </w: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(203,044)</w:t>
            </w:r>
          </w:p>
        </w:tc>
        <w:tc>
          <w:tcPr>
            <w:tcW w:w="40" w:type="dxa"/>
            <w:vAlign w:val="bottom"/>
            <w:tcBorders>
              <w:top w:val="single" w:sz="8" w:color="auto"/>
            </w:tcBorders>
          </w:tcPr>
          <w:p>
            <w:pPr>
              <w:spacing w:after="0"/>
              <w:rPr>
                <w:sz w:val="15"/>
                <w:szCs w:val="15"/>
                <w:color w:val="auto"/>
              </w:rPr>
            </w:pPr>
          </w:p>
        </w:tc>
        <w:tc>
          <w:tcPr>
            <w:tcW w:w="120" w:type="dxa"/>
            <w:vAlign w:val="bottom"/>
            <w:gridSpan w:val="2"/>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(201,104)</w:t>
            </w:r>
          </w:p>
        </w:tc>
      </w:tr>
      <w:tr>
        <w:trPr>
          <w:trHeight w:val="305"/>
        </w:trPr>
        <w:tc>
          <w:tcPr>
            <w:tcW w:w="20" w:type="dxa"/>
            <w:vAlign w:val="bottom"/>
          </w:tcPr>
          <w:p>
            <w:pPr>
              <w:spacing w:after="0"/>
              <w:rPr>
                <w:sz w:val="24"/>
                <w:szCs w:val="2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(1,277)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(1,277)</w:t>
            </w:r>
          </w:p>
        </w:tc>
      </w:tr>
      <w:tr>
        <w:trPr>
          <w:trHeight w:val="459"/>
        </w:trPr>
        <w:tc>
          <w:tcPr>
            <w:tcW w:w="20" w:type="dxa"/>
            <w:vAlign w:val="bottom"/>
          </w:tcPr>
          <w:p>
            <w:pPr>
              <w:spacing w:after="0"/>
              <w:rPr>
                <w:sz w:val="24"/>
                <w:szCs w:val="24"/>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29,127,523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291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303,035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303,326</w:t>
            </w:r>
          </w:p>
        </w:tc>
      </w:tr>
      <w:tr>
        <w:trPr>
          <w:trHeight w:val="290"/>
        </w:trPr>
        <w:tc>
          <w:tcPr>
            <w:tcW w:w="20" w:type="dxa"/>
            <w:vAlign w:val="bottom"/>
          </w:tcPr>
          <w:p>
            <w:pPr>
              <w:spacing w:after="0"/>
              <w:rPr>
                <w:sz w:val="24"/>
                <w:szCs w:val="24"/>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12,176,471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122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188,201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188,323</w:t>
            </w:r>
          </w:p>
        </w:tc>
      </w:tr>
      <w:tr>
        <w:trPr>
          <w:trHeight w:val="162"/>
        </w:trPr>
        <w:tc>
          <w:tcPr>
            <w:tcW w:w="20" w:type="dxa"/>
            <w:vAlign w:val="bottom"/>
          </w:tcPr>
          <w:p>
            <w:pPr>
              <w:spacing w:after="0"/>
              <w:rPr>
                <w:sz w:val="14"/>
                <w:szCs w:val="14"/>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387,866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2,792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2,792</w:t>
            </w:r>
          </w:p>
        </w:tc>
      </w:tr>
      <w:tr>
        <w:trPr>
          <w:trHeight w:val="162"/>
        </w:trPr>
        <w:tc>
          <w:tcPr>
            <w:tcW w:w="20" w:type="dxa"/>
            <w:vAlign w:val="bottom"/>
          </w:tcPr>
          <w:p>
            <w:pPr>
              <w:spacing w:after="0"/>
              <w:rPr>
                <w:sz w:val="14"/>
                <w:szCs w:val="14"/>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59,305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151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152</w:t>
            </w:r>
          </w:p>
        </w:tc>
      </w:tr>
      <w:tr>
        <w:trPr>
          <w:trHeight w:val="162"/>
        </w:trPr>
        <w:tc>
          <w:tcPr>
            <w:tcW w:w="20" w:type="dxa"/>
            <w:vAlign w:val="bottom"/>
          </w:tcPr>
          <w:p>
            <w:pPr>
              <w:spacing w:after="0"/>
              <w:rPr>
                <w:sz w:val="14"/>
                <w:szCs w:val="1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(360)</w:t>
            </w:r>
          </w:p>
        </w:tc>
      </w:tr>
      <w:tr>
        <w:trPr>
          <w:trHeight w:val="167"/>
        </w:trPr>
        <w:tc>
          <w:tcPr>
            <w:tcW w:w="20" w:type="dxa"/>
            <w:vAlign w:val="bottom"/>
          </w:tcPr>
          <w:p>
            <w:pPr>
              <w:spacing w:after="0"/>
              <w:rPr>
                <w:sz w:val="14"/>
                <w:szCs w:val="1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(30,458)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(30,458)</w:t>
            </w:r>
          </w:p>
        </w:tc>
      </w:tr>
      <w:tr>
        <w:trPr>
          <w:trHeight w:val="155"/>
        </w:trPr>
        <w:tc>
          <w:tcPr>
            <w:tcW w:w="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49,077,350</w:t>
            </w:r>
          </w:p>
        </w:tc>
        <w:tc>
          <w:tcPr>
            <w:tcW w:w="4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30"/>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491</w:t>
            </w: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494,749</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16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(344)</w:t>
            </w:r>
          </w:p>
        </w:tc>
        <w:tc>
          <w:tcPr>
            <w:tcW w:w="4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(233,502)</w:t>
            </w: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261,394</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-1447800</wp:posOffset>
            </wp:positionV>
            <wp:extent cx="7132320" cy="111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-1139190</wp:posOffset>
            </wp:positionV>
            <wp:extent cx="713232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-650875</wp:posOffset>
            </wp:positionV>
            <wp:extent cx="713232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-445135</wp:posOffset>
            </wp:positionV>
            <wp:extent cx="71323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-239395</wp:posOffset>
            </wp:positionV>
            <wp:extent cx="713232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5360" w:space="100"/>
            <w:col w:w="5780"/>
          </w:cols>
          <w:pgMar w:left="320" w:top="553" w:right="3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Beam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Unaudited</w:t>
      </w:r>
      <w:r>
        <w:rPr>
          <w:rFonts w:ascii="Arial" w:cs="Arial" w:eastAsia="Arial" w:hAnsi="Arial"/>
          <w:sz w:val="16"/>
          <w:szCs w:val="16"/>
          <w:b w:val="1"/>
          <w:bCs w:val="1"/>
          <w:color w:val="auto"/>
        </w:rPr>
        <w: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(30,458)</w:t>
            </w:r>
          </w:p>
        </w:tc>
        <w:tc>
          <w:tcPr>
            <w:tcW w:w="160" w:type="dxa"/>
            <w:vAlign w:val="bottom"/>
          </w:tcPr>
          <w:p>
            <w:pPr>
              <w:spacing w:after="0"/>
              <w:rPr>
                <w:sz w:val="18"/>
                <w:szCs w:val="18"/>
                <w:color w:val="auto"/>
              </w:rPr>
            </w:pPr>
          </w:p>
        </w:tc>
        <w:tc>
          <w:tcPr>
            <w:tcW w:w="960" w:type="dxa"/>
            <w:vAlign w:val="bottom"/>
          </w:tcPr>
          <w:p>
            <w:pPr>
              <w:jc w:val="right"/>
              <w:ind w:right="80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(13,610)</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Depreciation</w:t>
            </w:r>
          </w:p>
        </w:tc>
        <w:tc>
          <w:tcPr>
            <w:tcW w:w="94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1,100</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investment premiums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Stock-based compensation expense</w:t>
            </w:r>
          </w:p>
        </w:tc>
        <w:tc>
          <w:tcPr>
            <w:tcW w:w="94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2,792</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 in operating lease right-of-use assets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952</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Non-cash research and development license expense</w:t>
            </w:r>
          </w:p>
        </w:tc>
        <w:tc>
          <w:tcPr>
            <w:tcW w:w="94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264</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 in fair value of derivative liabilities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2,700</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Prepaid expenses and other current assets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(3,559)</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13"/>
        </w:trPr>
        <w:tc>
          <w:tcPr>
            <w:tcW w:w="7720" w:type="dxa"/>
            <w:vAlign w:val="bottom"/>
          </w:tcPr>
          <w:p>
            <w:pPr>
              <w:ind w:left="740"/>
              <w:spacing w:after="0"/>
              <w:rPr>
                <w:sz w:val="20"/>
                <w:szCs w:val="20"/>
                <w:color w:val="auto"/>
              </w:rPr>
            </w:pPr>
            <w:r>
              <w:rPr>
                <w:rFonts w:ascii="Arial" w:cs="Arial" w:eastAsia="Arial" w:hAnsi="Arial"/>
                <w:sz w:val="16"/>
                <w:szCs w:val="16"/>
                <w:color w:val="auto"/>
              </w:rPr>
              <w:t>Other long-term assets</w:t>
            </w:r>
          </w:p>
        </w:tc>
        <w:tc>
          <w:tcPr>
            <w:tcW w:w="9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payable</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(1,517)</w:t>
            </w:r>
          </w:p>
        </w:tc>
        <w:tc>
          <w:tcPr>
            <w:tcW w:w="0" w:type="dxa"/>
            <w:vAlign w:val="bottom"/>
          </w:tcPr>
          <w:p>
            <w:pPr>
              <w:spacing w:after="0"/>
              <w:rPr>
                <w:sz w:val="1"/>
                <w:szCs w:val="1"/>
                <w:color w:val="auto"/>
              </w:rPr>
            </w:pPr>
          </w:p>
        </w:tc>
      </w:tr>
      <w:tr>
        <w:trPr>
          <w:trHeight w:val="213"/>
        </w:trPr>
        <w:tc>
          <w:tcPr>
            <w:tcW w:w="7720" w:type="dxa"/>
            <w:vAlign w:val="bottom"/>
          </w:tcPr>
          <w:p>
            <w:pPr>
              <w:ind w:left="740"/>
              <w:spacing w:after="0"/>
              <w:rPr>
                <w:sz w:val="20"/>
                <w:szCs w:val="20"/>
                <w:color w:val="auto"/>
              </w:rPr>
            </w:pPr>
            <w:r>
              <w:rPr>
                <w:rFonts w:ascii="Arial" w:cs="Arial" w:eastAsia="Arial" w:hAnsi="Arial"/>
                <w:sz w:val="16"/>
                <w:szCs w:val="16"/>
                <w:color w:val="auto"/>
              </w:rPr>
              <w:t>Accrued expenses and other liabilities</w:t>
            </w:r>
          </w:p>
        </w:tc>
        <w:tc>
          <w:tcPr>
            <w:tcW w:w="94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378</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Operating lease liabilities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(879)</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3"/>
        </w:trPr>
        <w:tc>
          <w:tcPr>
            <w:tcW w:w="7720" w:type="dxa"/>
            <w:vAlign w:val="bottom"/>
          </w:tcPr>
          <w:p>
            <w:pPr>
              <w:ind w:left="740"/>
              <w:spacing w:after="0"/>
              <w:rPr>
                <w:sz w:val="20"/>
                <w:szCs w:val="20"/>
                <w:color w:val="auto"/>
              </w:rPr>
            </w:pPr>
            <w:r>
              <w:rPr>
                <w:rFonts w:ascii="Arial" w:cs="Arial" w:eastAsia="Arial" w:hAnsi="Arial"/>
                <w:sz w:val="16"/>
                <w:szCs w:val="16"/>
                <w:color w:val="auto"/>
              </w:rPr>
              <w:t>Financing milestone liabilities</w:t>
            </w:r>
          </w:p>
        </w:tc>
        <w:tc>
          <w:tcPr>
            <w:tcW w:w="9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(12,000)</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Other long-term liabilities</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7"/>
        </w:trPr>
        <w:tc>
          <w:tcPr>
            <w:tcW w:w="7720" w:type="dxa"/>
            <w:vAlign w:val="bottom"/>
          </w:tcPr>
          <w:p>
            <w:pPr>
              <w:ind w:left="1000"/>
              <w:spacing w:after="0"/>
              <w:rPr>
                <w:sz w:val="20"/>
                <w:szCs w:val="20"/>
                <w:color w:val="auto"/>
              </w:rPr>
            </w:pPr>
            <w:r>
              <w:rPr>
                <w:rFonts w:ascii="Arial" w:cs="Arial" w:eastAsia="Arial" w:hAnsi="Arial"/>
                <w:sz w:val="16"/>
                <w:szCs w:val="16"/>
                <w:color w:val="auto"/>
              </w:rPr>
              <w:t>Net cash used in operating activities</w:t>
            </w:r>
          </w:p>
        </w:tc>
        <w:tc>
          <w:tcPr>
            <w:tcW w:w="9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(27,393)</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(25,857)</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Investing activities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Purchases of property and equipment</w:t>
            </w:r>
          </w:p>
        </w:tc>
        <w:tc>
          <w:tcPr>
            <w:tcW w:w="9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(3,046)</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(2,354)</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marketable securities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(117,719)</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Maturities of marketable securities</w:t>
            </w:r>
          </w:p>
        </w:tc>
        <w:tc>
          <w:tcPr>
            <w:tcW w:w="94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44,723</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 of long-term investment</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(750)</w:t>
            </w:r>
          </w:p>
        </w:tc>
        <w:tc>
          <w:tcPr>
            <w:tcW w:w="1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720" w:type="dxa"/>
            <w:vAlign w:val="bottom"/>
          </w:tcPr>
          <w:p>
            <w:pPr>
              <w:ind w:left="1000"/>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(76,792)</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(2,354)</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Proceeds from issuance of Series B Preferred Stock, net</w:t>
            </w:r>
          </w:p>
        </w:tc>
        <w:tc>
          <w:tcPr>
            <w:tcW w:w="9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37,901</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initial public offering, net of underwriting discount</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192,510</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Payment of initial public offering costs</w:t>
            </w:r>
          </w:p>
        </w:tc>
        <w:tc>
          <w:tcPr>
            <w:tcW w:w="9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(958)</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equipment financings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1,625</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Repayment of equipment financings</w:t>
            </w:r>
          </w:p>
        </w:tc>
        <w:tc>
          <w:tcPr>
            <w:tcW w:w="9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(315)</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exercise of stock options</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152</w:t>
            </w:r>
          </w:p>
        </w:tc>
        <w:tc>
          <w:tcPr>
            <w:tcW w:w="1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7"/>
        </w:trPr>
        <w:tc>
          <w:tcPr>
            <w:tcW w:w="7720" w:type="dxa"/>
            <w:vAlign w:val="bottom"/>
          </w:tcPr>
          <w:p>
            <w:pPr>
              <w:ind w:left="1000"/>
              <w:spacing w:after="0"/>
              <w:rPr>
                <w:sz w:val="20"/>
                <w:szCs w:val="20"/>
                <w:color w:val="auto"/>
              </w:rPr>
            </w:pPr>
            <w:r>
              <w:rPr>
                <w:rFonts w:ascii="Arial" w:cs="Arial" w:eastAsia="Arial" w:hAnsi="Arial"/>
                <w:sz w:val="16"/>
                <w:szCs w:val="16"/>
                <w:color w:val="auto"/>
              </w:rPr>
              <w:t>Net cash provided by financing activities</w:t>
            </w:r>
          </w:p>
        </w:tc>
        <w:tc>
          <w:tcPr>
            <w:tcW w:w="94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193,014</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37,908</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Net change in cash, cash equivalents and restricted cash</w:t>
            </w:r>
          </w:p>
        </w:tc>
        <w:tc>
          <w:tcPr>
            <w:tcW w:w="94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88,829</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9,697</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cash—beginning of period</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50,553</w:t>
            </w:r>
          </w:p>
        </w:tc>
        <w:tc>
          <w:tcPr>
            <w:tcW w:w="1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96"/>
              </w:rPr>
              <w:t>147,936</w:t>
            </w:r>
          </w:p>
        </w:tc>
        <w:tc>
          <w:tcPr>
            <w:tcW w:w="0" w:type="dxa"/>
            <w:vAlign w:val="bottom"/>
          </w:tcPr>
          <w:p>
            <w:pPr>
              <w:spacing w:after="0"/>
              <w:rPr>
                <w:sz w:val="1"/>
                <w:szCs w:val="1"/>
                <w:color w:val="auto"/>
              </w:rPr>
            </w:pPr>
          </w:p>
        </w:tc>
      </w:tr>
      <w:tr>
        <w:trPr>
          <w:trHeight w:val="246"/>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cash—end of period</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139,382</w:t>
            </w:r>
          </w:p>
        </w:tc>
        <w:tc>
          <w:tcPr>
            <w:tcW w:w="160" w:type="dxa"/>
            <w:vAlign w:val="bottom"/>
            <w:tcBorders>
              <w:bottom w:val="single" w:sz="8" w:color="CFF0FC"/>
            </w:tcBorders>
          </w:tcPr>
          <w:p>
            <w:pPr>
              <w:spacing w:after="0"/>
              <w:rPr>
                <w:sz w:val="21"/>
                <w:szCs w:val="21"/>
                <w:color w:val="auto"/>
              </w:rPr>
            </w:pPr>
          </w:p>
        </w:tc>
        <w:tc>
          <w:tcPr>
            <w:tcW w:w="960" w:type="dxa"/>
            <w:vAlign w:val="bottom"/>
            <w:tcBorders>
              <w:bottom w:val="single" w:sz="8" w:color="auto"/>
            </w:tcBorders>
          </w:tcPr>
          <w:p>
            <w:pPr>
              <w:jc w:val="right"/>
              <w:ind w:right="80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6"/>
              </w:rPr>
              <w:t>157,633</w:t>
            </w:r>
          </w:p>
        </w:tc>
        <w:tc>
          <w:tcPr>
            <w:tcW w:w="0" w:type="dxa"/>
            <w:vAlign w:val="bottom"/>
          </w:tcPr>
          <w:p>
            <w:pPr>
              <w:spacing w:after="0"/>
              <w:rPr>
                <w:sz w:val="1"/>
                <w:szCs w:val="1"/>
                <w:color w:val="auto"/>
              </w:rPr>
            </w:pPr>
          </w:p>
        </w:tc>
      </w:tr>
      <w:tr>
        <w:trPr>
          <w:trHeight w:val="200"/>
        </w:trPr>
        <w:tc>
          <w:tcPr>
            <w:tcW w:w="77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paid for interest</w:t>
            </w:r>
          </w:p>
        </w:tc>
        <w:tc>
          <w:tcPr>
            <w:tcW w:w="940" w:type="dxa"/>
            <w:vAlign w:val="bottom"/>
            <w:tcBorders>
              <w:bottom w:val="single" w:sz="8" w:color="auto"/>
            </w:tcBorders>
            <w:shd w:val="clear" w:color="auto" w:fill="CFF0FC"/>
          </w:tcPr>
          <w:p>
            <w:pPr>
              <w:jc w:val="right"/>
              <w:ind w:right="76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134</w:t>
            </w: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80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20" w:type="dxa"/>
            <w:vAlign w:val="bottom"/>
          </w:tcPr>
          <w:p>
            <w:pPr>
              <w:ind w:left="260"/>
              <w:spacing w:after="0"/>
              <w:rPr>
                <w:sz w:val="20"/>
                <w:szCs w:val="20"/>
                <w:color w:val="auto"/>
              </w:rPr>
            </w:pPr>
            <w:r>
              <w:rPr>
                <w:rFonts w:ascii="Arial" w:cs="Arial" w:eastAsia="Arial" w:hAnsi="Arial"/>
                <w:sz w:val="16"/>
                <w:szCs w:val="16"/>
                <w:color w:val="auto"/>
              </w:rPr>
              <w:t>Conversion of redeemable convertible preferred stock to common stock upon closing of the initial public</w:t>
            </w: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offering</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303,326</w:t>
            </w:r>
          </w:p>
        </w:tc>
        <w:tc>
          <w:tcPr>
            <w:tcW w:w="160" w:type="dxa"/>
            <w:vAlign w:val="bottom"/>
            <w:tcBorders>
              <w:bottom w:val="single" w:sz="8" w:color="CFF0FC"/>
            </w:tcBorders>
          </w:tcPr>
          <w:p>
            <w:pPr>
              <w:spacing w:after="0"/>
              <w:rPr>
                <w:sz w:val="21"/>
                <w:szCs w:val="21"/>
                <w:color w:val="auto"/>
              </w:rPr>
            </w:pPr>
          </w:p>
        </w:tc>
        <w:tc>
          <w:tcPr>
            <w:tcW w:w="960" w:type="dxa"/>
            <w:vAlign w:val="bottom"/>
            <w:tcBorders>
              <w:bottom w:val="single" w:sz="8" w:color="auto"/>
            </w:tcBorders>
          </w:tcPr>
          <w:p>
            <w:pPr>
              <w:jc w:val="right"/>
              <w:ind w:right="80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Property and equipment additions in accounts payable and accrued expenses</w:t>
            </w:r>
          </w:p>
        </w:tc>
        <w:tc>
          <w:tcPr>
            <w:tcW w:w="940" w:type="dxa"/>
            <w:vAlign w:val="bottom"/>
            <w:tcBorders>
              <w:bottom w:val="single" w:sz="8" w:color="auto"/>
            </w:tcBorders>
            <w:shd w:val="clear" w:color="auto" w:fill="CFF0FC"/>
          </w:tcPr>
          <w:p>
            <w:pPr>
              <w:jc w:val="right"/>
              <w:ind w:right="76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1,032</w:t>
            </w:r>
          </w:p>
        </w:tc>
        <w:tc>
          <w:tcPr>
            <w:tcW w:w="1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80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1,573</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6"/>
                <w:szCs w:val="16"/>
                <w:color w:val="auto"/>
              </w:rPr>
              <w:t>Operating lease liabilities arising from obtaining right-of-use assets</w:t>
            </w: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tcBorders>
              <w:bottom w:val="single" w:sz="8" w:color="CFF0FC"/>
            </w:tcBorders>
            <w:vMerge w:val="continue"/>
          </w:tcPr>
          <w:p>
            <w:pPr>
              <w:spacing w:after="0"/>
              <w:rPr>
                <w:sz w:val="20"/>
                <w:szCs w:val="20"/>
                <w:color w:val="auto"/>
              </w:rPr>
            </w:pP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4,032</w:t>
            </w:r>
          </w:p>
        </w:tc>
        <w:tc>
          <w:tcPr>
            <w:tcW w:w="160" w:type="dxa"/>
            <w:vAlign w:val="bottom"/>
            <w:tcBorders>
              <w:bottom w:val="single" w:sz="8" w:color="CFF0FC"/>
            </w:tcBorders>
          </w:tcPr>
          <w:p>
            <w:pPr>
              <w:spacing w:after="0"/>
              <w:rPr>
                <w:sz w:val="20"/>
                <w:szCs w:val="20"/>
                <w:color w:val="auto"/>
              </w:rPr>
            </w:pPr>
          </w:p>
        </w:tc>
        <w:tc>
          <w:tcPr>
            <w:tcW w:w="960" w:type="dxa"/>
            <w:vAlign w:val="bottom"/>
            <w:tcBorders>
              <w:bottom w:val="single" w:sz="8" w:color="auto"/>
            </w:tcBorders>
          </w:tcPr>
          <w:p>
            <w:pPr>
              <w:jc w:val="right"/>
              <w:ind w:right="80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 for research and development license</w:t>
            </w:r>
          </w:p>
        </w:tc>
        <w:tc>
          <w:tcPr>
            <w:tcW w:w="940" w:type="dxa"/>
            <w:vAlign w:val="bottom"/>
            <w:shd w:val="clear" w:color="auto" w:fill="CFF0FC"/>
          </w:tcPr>
          <w:p>
            <w:pPr>
              <w:jc w:val="right"/>
              <w:ind w:right="761"/>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80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Equity issuance costs in accounts payable and accrued expenses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tcBorders>
              <w:bottom w:val="single" w:sz="8" w:color="CFF0FC"/>
            </w:tcBorders>
            <w:vMerge w:val="continue"/>
          </w:tcPr>
          <w:p>
            <w:pPr>
              <w:spacing w:after="0"/>
              <w:rPr>
                <w:sz w:val="20"/>
                <w:szCs w:val="20"/>
                <w:color w:val="auto"/>
              </w:rPr>
            </w:pP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707</w:t>
            </w:r>
          </w:p>
        </w:tc>
        <w:tc>
          <w:tcPr>
            <w:tcW w:w="160" w:type="dxa"/>
            <w:vAlign w:val="bottom"/>
            <w:tcBorders>
              <w:bottom w:val="single" w:sz="8" w:color="CFF0FC"/>
            </w:tcBorders>
          </w:tcPr>
          <w:p>
            <w:pPr>
              <w:spacing w:after="0"/>
              <w:rPr>
                <w:sz w:val="20"/>
                <w:szCs w:val="20"/>
                <w:color w:val="auto"/>
              </w:rPr>
            </w:pPr>
          </w:p>
        </w:tc>
        <w:tc>
          <w:tcPr>
            <w:tcW w:w="960" w:type="dxa"/>
            <w:vAlign w:val="bottom"/>
            <w:tcBorders>
              <w:bottom w:val="single" w:sz="8" w:color="auto"/>
            </w:tcBorders>
          </w:tcPr>
          <w:p>
            <w:pPr>
              <w:jc w:val="right"/>
              <w:ind w:right="80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9"/>
              </w:rPr>
              <w:t>Accretion of redeemable convertible preferred stock to redemption value, including dividends on preferred</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stock</w:t>
            </w:r>
          </w:p>
        </w:tc>
        <w:tc>
          <w:tcPr>
            <w:tcW w:w="940" w:type="dxa"/>
            <w:vAlign w:val="bottom"/>
            <w:tcBorders>
              <w:bottom w:val="single" w:sz="8" w:color="auto"/>
            </w:tcBorders>
            <w:shd w:val="clear" w:color="auto" w:fill="CFF0FC"/>
          </w:tcPr>
          <w:p>
            <w:pPr>
              <w:jc w:val="right"/>
              <w:ind w:right="76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1,277</w:t>
            </w: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80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2,963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Beam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Beam Therapeutics Inc. (the “Company” or “Beam”) is a research stage biotechnology company committed to creating a new class of precision genetic medicines, based on the Company’s proprietary base editing technology, with a vision of providing life-long cures to patients suffering from serious diseases. The Company was incorporated in January 2017 as a Delaware corporation and began operations in July 2017. Its principal offices are in Cambridge, Massachusetts.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Since its inception, the Company has devoted substantially all of our resources to building our base editing platform and advancing development of our portfolio of programs, establishing and protecting our intellectual property, conducting research and development activities, organizing and staffing our company, business planning, raising capital and providing general and administrative support for these operations. 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drug development efforts are successful, it is uncertain when, if ever, the Company will realize significant revenue from product sales.</w:t>
      </w:r>
    </w:p>
    <w:p>
      <w:pPr>
        <w:spacing w:after="0" w:line="5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Company’s initial public offering, or IPO, the Company’s board of directors approved a one-for-4.4843 reverse stock split of its issued and outstanding common stock and stock options and a proportional adjustment to the existing conversion ratios for the Company’s redeemable convertible preferred stock effective as of January 24, 2020. Accordingly, all common stock shares, per share amounts, and additional paid in capital amounts for all periods presented in the accompanying financial statements have been retroactively adjusted, where applicable, to reflect the reverse stock split and adjustment to the preferred stock conversion ratios.</w:t>
      </w:r>
    </w:p>
    <w:p>
      <w:pPr>
        <w:spacing w:after="0" w:line="8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February 2020, the Company completed its IPO in which the Company issued and sold 12,176,471 shares of its common stock, including 1,588,235 shares pursuant to the full exercise of the underwriters’ option to purchase additional shares, at a public offering price of $17.00 per share, for aggregate gross proceeds of $207.0 million. The Company received approximately $188.3 million in net proceeds after deducting underwriting discounts and estimated offering expenses payable by the Company. In connection with the IPO, all outstanding shares of redeemable convertible preferred stock converted into 29,127,523 shares of the Company’s common stock.</w:t>
      </w:r>
    </w:p>
    <w:p>
      <w:pPr>
        <w:spacing w:after="0" w:line="8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Since its inception, the Company has incurred substantial losses and had an accumulated deficit of $233.5 million as of March 31, 2020. The Company expects to generate operating losses and negative operating cash flows for the foreseeable future. The Company expects that its cash, cash equivalents, and marketable securities as of March 31, 2020 of $253.4 million will be sufficient to fund its operations for at least the next twelve months from the date of issuance of these financial statements. The Company will need additional financing to support its continuing operations and pursue its growth strategy. Until such time as the Company can generate significant revenue from product sales, if ever, it expects to finance its operations through a combination of equity offerings, debt financings, collaborations, strategic alliances and licensing arrangements. The Company may be unable to raise additional funds or enter into such other agreements when needed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60"/>
        <w:spacing w:after="0" w:line="296"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United States generally accepted accounting principles, or GAAP, and pursuant to the rules and regulations of the Securities and Exchange Commission, or SEC. Certain information and footnote disclosures normally included in financial statements prepared in accordance with GAAP have been condensed or omitted pursuant to such rules and regulations. Any reference in these notes to applicable guidance is meant to refer to the authoritative GAAP as found in the Accounting Standards Codification, or ASC, and Accounting Standards Update, or ASU, of the Financial Accounting Standards Board, or FASB.</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interim condensed consolidated financial statements have been prepared on the same basis as the audited financial statements. In the opinion of the Company’s management, the accompanying unaudited interim condensed consolidated financial statements contain all adjustments that are necessary to present fairly the Company’s financial position as of March 31, 2020,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spacing w:after="0" w:line="275" w:lineRule="auto"/>
        <w:rPr>
          <w:sz w:val="20"/>
          <w:szCs w:val="20"/>
          <w:color w:val="auto"/>
        </w:rPr>
      </w:pPr>
      <w:r>
        <w:rPr>
          <w:rFonts w:ascii="Arial" w:cs="Arial" w:eastAsia="Arial" w:hAnsi="Arial"/>
          <w:sz w:val="17"/>
          <w:szCs w:val="17"/>
          <w:color w:val="auto"/>
        </w:rPr>
        <w:t>results of its operations and other comprehensive loss, redeemable convertible preferred stock and stockholders’ equity (deficit), and cash flows for the three months ended March 31, 2020 and 2019. Such adjustments are of a normal and recurring nature. The results for the three months ended March 31, 2020 are not necessarily indicative of the results for the year ending December 31, 2020, or for any future period. These interim financial statements should be read in conjunction with the audited financial statements as of and for the year ended December 31, 2019, and notes thereto, which are included in the Company’s Annual Report on Form 10-K that was filed with the SEC on March 30, 2020.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Beam Therapeutics Inc. and its wholly owned subsidiaries, Blink Therapeutics Inc., or Blink, which is a Delaware subsidiary that holds certain intellectual property related to RNA base editing, and Beam Therapeutics Securities Corporation, which is a Massachusetts subsidiary created to buy, sell and hold securities. All intercompany transactions and balances have been eliminated in consolidation.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COVID-19-related significant risks and uncertainties</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With the global spread of the ongoing coronavirus disease of 2019, or COVID-19, pandemic in the first and second quarters of 2020, the Company has implemented business continuity plans designed to address and mitigate the impact of the COVID-19 pandemic on its business. In March 2020, to protect the health of its employees, and their families and communities, the Company restricted access to its offices to personnel who must perform critical activities that must be completed on-site, limited the number of such personnel that can be present at its facilities at any one time, and requested that most of its employees work remotely. In May 2020, as restrictions are eased and the number of remote employees are reduced, the Company expects to incur additional costs to provide a safe working environment to its onsite employees.</w:t>
      </w:r>
    </w:p>
    <w:p>
      <w:pPr>
        <w:spacing w:after="0" w:line="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extent to which the COVID-19 pandemic impacts the Company’s business, its corporate development objectives, results of operations and financial condition, and the value of and market for its common stock, will depend on future developments that are highly uncertain and cannot be predicted with confidence at this time, such as the ultimate duration of the pandemic, travel restrictions, quarantines, social distancing and business closure requirements, and the effectiveness of actions taken globally to contain and treat the disease. Disruptions to the global economy, disruption of global healthcare systems, and other significant impacts of the COVID-19 pandemic could have a material adverse effect on the Company’s business, financial condition, results of operations and growth prospects.</w:t>
      </w:r>
    </w:p>
    <w:p>
      <w:pPr>
        <w:spacing w:after="0" w:line="8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While the COVID-19 pandemic did not significantly impact the Company’s business or results of operations during the first quarter of 2020, the length and extent of the pandemic, its consequences, and containment efforts will determine the future impact on the Company’s operations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2019, and notes thereto, which are included in the Company’s Annual Report on Form 10-K that was filed with the SEC on March 30, 2020. Since the date of those financial statements, there have been no changes to Beam’s significant accounting policies.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liabilities and expenses, and the disclosure of contingent assets and liabilities as of and during the reporting period. The Company bases its estimates and assumptions on historical experience when available and on various factors that it believes to be reasonable under the circumstances. The Company evaluates its estimates and assumptions on an ongoing basis. Actual results could differ from these estimates.</w:t>
      </w:r>
    </w:p>
    <w:p>
      <w:pPr>
        <w:spacing w:after="0" w:line="4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COVID-19 pandemic may have an impact on the development timelines of the Company’s pre-clinical programs. 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Cash and cash equivalents consist of standard checking accounts, money market accounts, and all highly liquid investments with an original maturity of three months or less at the date of purchase. Restricted cash represents collateral provided for letters of credit issued as security deposits in connection with the Company’s leases of its corporate facilities.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 w:name="page10"/>
    <w:bookmarkEnd w:id="9"/>
    <w:p>
      <w:pPr>
        <w:ind w:right="40"/>
        <w:spacing w:after="0" w:line="277" w:lineRule="auto"/>
        <w:rPr>
          <w:sz w:val="20"/>
          <w:szCs w:val="20"/>
          <w:color w:val="auto"/>
        </w:rPr>
      </w:pPr>
      <w:r>
        <w:rPr>
          <w:rFonts w:ascii="Arial" w:cs="Arial" w:eastAsia="Arial" w:hAnsi="Arial"/>
          <w:sz w:val="18"/>
          <w:szCs w:val="18"/>
          <w:color w:val="auto"/>
        </w:rPr>
        <w:t>The following table reconciles cash, cash equivalents, and restricted cash reported within the Company’s condensed consolidated balance sheets to the total of the amounts shown in the condensed consolidated statement of cash flows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ind w:right="497"/>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517"/>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7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126,050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156,138</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13,332</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1,495</w:t>
            </w: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cash, cash equivalents, and restricted cash</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139,382</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157,633</w:t>
            </w: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or ASC 808, which clarifies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ASC 808 will be effective for the Company in the first quarter of fiscal 2021, with early adoption permitted. A retrospective adoption to the date the Company adopted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is required by recognizing a cumulative-effect adjustment to the opening balance or retained earnings of the earliest period presented. The Company is currently evaluating the impact of the adoption of this standard on its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tcPr>
          <w:p>
            <w:pPr>
              <w:jc w:val="right"/>
              <w:ind w:right="39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12,670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12,653</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Lab equipment</w:t>
            </w:r>
          </w:p>
        </w:tc>
        <w:tc>
          <w:tcPr>
            <w:tcW w:w="280" w:type="dxa"/>
            <w:vAlign w:val="bottom"/>
          </w:tcPr>
          <w:p>
            <w:pPr>
              <w:spacing w:after="0"/>
              <w:rPr>
                <w:sz w:val="19"/>
                <w:szCs w:val="19"/>
                <w:color w:val="auto"/>
              </w:rPr>
            </w:pP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13,573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12,029</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1,040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1,040</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Computer equipment</w:t>
            </w:r>
          </w:p>
        </w:tc>
        <w:tc>
          <w:tcPr>
            <w:tcW w:w="280" w:type="dxa"/>
            <w:vAlign w:val="bottom"/>
          </w:tcPr>
          <w:p>
            <w:pPr>
              <w:spacing w:after="0"/>
              <w:rPr>
                <w:sz w:val="19"/>
                <w:szCs w:val="19"/>
                <w:color w:val="auto"/>
              </w:rPr>
            </w:pP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547</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process</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2,236</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2,185</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property and equipment</w:t>
            </w:r>
          </w:p>
        </w:tc>
        <w:tc>
          <w:tcPr>
            <w:tcW w:w="280" w:type="dxa"/>
            <w:vAlign w:val="bottom"/>
          </w:tcPr>
          <w:p>
            <w:pPr>
              <w:spacing w:after="0"/>
              <w:rPr>
                <w:sz w:val="19"/>
                <w:szCs w:val="19"/>
                <w:color w:val="auto"/>
              </w:rPr>
            </w:pP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30,066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28,454</w:t>
            </w:r>
          </w:p>
        </w:tc>
      </w:tr>
      <w:tr>
        <w:trPr>
          <w:trHeight w:val="230"/>
        </w:trPr>
        <w:tc>
          <w:tcPr>
            <w:tcW w:w="7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(5,264)</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(4,164)</w:t>
            </w: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24,802</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24,290</w:t>
            </w: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months ended March 31, 2020 and 2019 was $1.1 million, and $0.7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The Company’s financial instruments that are measured at fair value on a recurring basis consist of cash equivalents, marketable securities, and success payment derivative liabilities pursuant to the license agreement between Harvard University, or Harvard, and the Company, or the Harvard License Agreement, and the license agreement between Broad Institute of MIT and Harvard, or Broad Institute, and Blink, or the Broad License Agreement.</w:t>
      </w:r>
    </w:p>
    <w:p>
      <w:pPr>
        <w:spacing w:after="0" w:line="4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 xml:space="preserve">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establishes a fair value hierarchy for those instruments measured at fair value that distinguishes between assumptions based on market data (observable inputs) and our own assumptions (unobservable inputs). The hierarchy consists of three levels:</w:t>
      </w:r>
    </w:p>
    <w:p>
      <w:pPr>
        <w:spacing w:after="0" w:line="124"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225" w:lineRule="exact"/>
        <w:rPr>
          <w:rFonts w:ascii="Arial" w:cs="Arial" w:eastAsia="Arial" w:hAnsi="Arial"/>
          <w:sz w:val="18"/>
          <w:szCs w:val="18"/>
          <w:color w:val="auto"/>
        </w:rPr>
      </w:pPr>
    </w:p>
    <w:p>
      <w:pPr>
        <w:ind w:left="740" w:right="56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Quoted prices for similar assets and liabilities in active markets, quoted prices in markets that are not active, or inputs which are observable, directly or indirectly, for substantially the full term of the asset or liability.</w:t>
      </w:r>
    </w:p>
    <w:p>
      <w:pPr>
        <w:spacing w:after="0" w:line="170" w:lineRule="exact"/>
        <w:rPr>
          <w:rFonts w:ascii="Arial" w:cs="Arial" w:eastAsia="Arial" w:hAnsi="Arial"/>
          <w:sz w:val="18"/>
          <w:szCs w:val="18"/>
          <w:color w:val="auto"/>
        </w:rPr>
      </w:pPr>
    </w:p>
    <w:p>
      <w:pPr>
        <w:ind w:left="740" w:right="46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that reflect our own assumptions about the assumptions market participants would use in pricing the asset or liability in which there is little, if any, market activity for the asset or liability at the measurement date.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ind w:right="180"/>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and liabilities by level within the fair value hierarchy at March 31, 2020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4"/>
                <w:szCs w:val="14"/>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10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10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value</w:t>
            </w:r>
          </w:p>
        </w:tc>
        <w:tc>
          <w:tcPr>
            <w:tcW w:w="2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85"/>
              </w:rPr>
              <w:t>Assets</w:t>
            </w:r>
          </w:p>
        </w:tc>
        <w:tc>
          <w:tcPr>
            <w:tcW w:w="38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08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gridSpan w:val="3"/>
          </w:tcPr>
          <w:p>
            <w:pPr>
              <w:ind w:left="26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shd w:val="clear" w:color="auto" w:fill="CFF0FC"/>
          </w:tcPr>
          <w:p>
            <w:pPr>
              <w:spacing w:after="0"/>
              <w:rPr>
                <w:sz w:val="19"/>
                <w:szCs w:val="19"/>
                <w:color w:val="auto"/>
              </w:rPr>
            </w:pPr>
          </w:p>
        </w:tc>
        <w:tc>
          <w:tcPr>
            <w:tcW w:w="3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70,322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70,322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70,322</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37,255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37,255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37,255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shd w:val="clear" w:color="auto" w:fill="CFF0FC"/>
          </w:tcPr>
          <w:p>
            <w:pPr>
              <w:spacing w:after="0"/>
              <w:rPr>
                <w:sz w:val="19"/>
                <w:szCs w:val="19"/>
                <w:color w:val="auto"/>
              </w:rPr>
            </w:pPr>
          </w:p>
        </w:tc>
        <w:tc>
          <w:tcPr>
            <w:tcW w:w="3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Corporate notes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17,306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17,306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17,306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gridSpan w:val="3"/>
          </w:tcPr>
          <w:p>
            <w:pPr>
              <w:ind w:left="26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shd w:val="clear" w:color="auto" w:fill="CFF0FC"/>
          </w:tcPr>
          <w:p>
            <w:pPr>
              <w:spacing w:after="0"/>
              <w:rPr>
                <w:sz w:val="19"/>
                <w:szCs w:val="19"/>
                <w:color w:val="auto"/>
              </w:rPr>
            </w:pPr>
          </w:p>
        </w:tc>
        <w:tc>
          <w:tcPr>
            <w:tcW w:w="3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72,971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72,971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72,971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Borders>
              <w:bottom w:val="single" w:sz="8" w:color="CFF0FC"/>
            </w:tcBorders>
          </w:tcPr>
          <w:p>
            <w:pPr>
              <w:spacing w:after="0"/>
              <w:rPr>
                <w:sz w:val="19"/>
                <w:szCs w:val="19"/>
                <w:color w:val="auto"/>
              </w:rPr>
            </w:pPr>
          </w:p>
        </w:tc>
        <w:tc>
          <w:tcPr>
            <w:tcW w:w="3820" w:type="dxa"/>
            <w:vAlign w:val="bottom"/>
            <w:tcBorders>
              <w:bottom w:val="single" w:sz="8" w:color="CFF0FC"/>
            </w:tcBorders>
            <w:gridSpan w:val="2"/>
          </w:tcPr>
          <w:p>
            <w:pPr>
              <w:ind w:left="20"/>
              <w:spacing w:after="0"/>
              <w:rPr>
                <w:sz w:val="20"/>
                <w:szCs w:val="20"/>
                <w:color w:val="auto"/>
              </w:rPr>
            </w:pPr>
            <w:r>
              <w:rPr>
                <w:rFonts w:ascii="Arial" w:cs="Arial" w:eastAsia="Arial" w:hAnsi="Arial"/>
                <w:sz w:val="18"/>
                <w:szCs w:val="18"/>
                <w:color w:val="auto"/>
              </w:rPr>
              <w:t>Corporate notes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54,421</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54,421</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54,421</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252,275</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252,275</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70,322</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181,953</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color w:val="auto"/>
                <w:w w:val="97"/>
              </w:rPr>
              <w:t>Liabilities</w:t>
            </w:r>
          </w:p>
        </w:tc>
        <w:tc>
          <w:tcPr>
            <w:tcW w:w="35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gridSpan w:val="3"/>
          </w:tcPr>
          <w:p>
            <w:pPr>
              <w:ind w:left="260"/>
              <w:spacing w:after="0"/>
              <w:rPr>
                <w:sz w:val="20"/>
                <w:szCs w:val="20"/>
                <w:color w:val="auto"/>
              </w:rPr>
            </w:pPr>
            <w:r>
              <w:rPr>
                <w:rFonts w:ascii="Arial" w:cs="Arial" w:eastAsia="Arial" w:hAnsi="Arial"/>
                <w:sz w:val="18"/>
                <w:szCs w:val="18"/>
                <w:color w:val="auto"/>
              </w:rPr>
              <w:t>Success payment liability – Harvard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5,200</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5,200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30"/>
        </w:trPr>
        <w:tc>
          <w:tcPr>
            <w:tcW w:w="43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Success payment liability – Broad Institute</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5,300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5,300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23"/>
        </w:trPr>
        <w:tc>
          <w:tcPr>
            <w:tcW w:w="430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10,500</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10,500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and liabilities by level within the fair value hierarchy at December 31, 2019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4"/>
                <w:szCs w:val="14"/>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10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10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value</w:t>
            </w:r>
          </w:p>
        </w:tc>
        <w:tc>
          <w:tcPr>
            <w:tcW w:w="2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85"/>
              </w:rPr>
              <w:t>Assets</w:t>
            </w:r>
          </w:p>
        </w:tc>
        <w:tc>
          <w:tcPr>
            <w:tcW w:w="38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08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gridSpan w:val="3"/>
          </w:tcPr>
          <w:p>
            <w:pPr>
              <w:ind w:left="26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shd w:val="clear" w:color="auto" w:fill="CFF0FC"/>
          </w:tcPr>
          <w:p>
            <w:pPr>
              <w:spacing w:after="0"/>
              <w:rPr>
                <w:sz w:val="19"/>
                <w:szCs w:val="19"/>
                <w:color w:val="auto"/>
              </w:rPr>
            </w:pPr>
          </w:p>
        </w:tc>
        <w:tc>
          <w:tcPr>
            <w:tcW w:w="3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6,172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6,172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6,172</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3,986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3,986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3,986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36,889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36,889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36,889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0" w:type="dxa"/>
            <w:vAlign w:val="bottom"/>
            <w:shd w:val="clear" w:color="auto" w:fill="CFF0FC"/>
          </w:tcPr>
          <w:p>
            <w:pPr>
              <w:spacing w:after="0"/>
              <w:rPr>
                <w:sz w:val="19"/>
                <w:szCs w:val="19"/>
                <w:color w:val="auto"/>
              </w:rPr>
            </w:pPr>
          </w:p>
        </w:tc>
        <w:tc>
          <w:tcPr>
            <w:tcW w:w="3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Corporate notes</w:t>
            </w: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17,738</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17,738</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17,738</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30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64,785</w:t>
            </w: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64,785</w:t>
            </w:r>
          </w:p>
        </w:tc>
        <w:tc>
          <w:tcPr>
            <w:tcW w:w="1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6,172</w:t>
            </w:r>
          </w:p>
        </w:tc>
        <w:tc>
          <w:tcPr>
            <w:tcW w:w="1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58,613</w:t>
            </w:r>
          </w:p>
        </w:tc>
        <w:tc>
          <w:tcPr>
            <w:tcW w:w="1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300" w:type="dxa"/>
            <w:vAlign w:val="bottom"/>
            <w:gridSpan w:val="3"/>
          </w:tcPr>
          <w:p>
            <w:pPr>
              <w:spacing w:after="0" w:line="189" w:lineRule="exact"/>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Success payment liability – Harvard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3,900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3,900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30"/>
        </w:trPr>
        <w:tc>
          <w:tcPr>
            <w:tcW w:w="4300" w:type="dxa"/>
            <w:vAlign w:val="bottom"/>
            <w:gridSpan w:val="3"/>
          </w:tcPr>
          <w:p>
            <w:pPr>
              <w:ind w:left="260"/>
              <w:spacing w:after="0"/>
              <w:rPr>
                <w:sz w:val="20"/>
                <w:szCs w:val="20"/>
                <w:color w:val="auto"/>
              </w:rPr>
            </w:pPr>
            <w:r>
              <w:rPr>
                <w:rFonts w:ascii="Arial" w:cs="Arial" w:eastAsia="Arial" w:hAnsi="Arial"/>
                <w:sz w:val="18"/>
                <w:szCs w:val="18"/>
                <w:color w:val="auto"/>
              </w:rPr>
              <w:t>Success payment liability – Broad Institute</w:t>
            </w:r>
          </w:p>
        </w:tc>
        <w:tc>
          <w:tcPr>
            <w:tcW w:w="20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3,900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3,900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7,800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7,800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Cash equivalents </w:t>
      </w:r>
      <w:r>
        <w:rPr>
          <w:rFonts w:ascii="Arial" w:cs="Arial" w:eastAsia="Arial" w:hAnsi="Arial"/>
          <w:sz w:val="18"/>
          <w:szCs w:val="18"/>
          <w:color w:val="auto"/>
        </w:rPr>
        <w:t>– Money market funds included within cash equivalents are classified within Level 1 of the fair value hierarchy because they are valued</w:t>
      </w:r>
      <w:r>
        <w:rPr>
          <w:rFonts w:ascii="Arial" w:cs="Arial" w:eastAsia="Arial" w:hAnsi="Arial"/>
          <w:sz w:val="18"/>
          <w:szCs w:val="18"/>
          <w:b w:val="1"/>
          <w:bCs w:val="1"/>
          <w:color w:val="auto"/>
        </w:rPr>
        <w:t xml:space="preserve"> </w:t>
      </w:r>
      <w:r>
        <w:rPr>
          <w:rFonts w:ascii="Arial" w:cs="Arial" w:eastAsia="Arial" w:hAnsi="Arial"/>
          <w:sz w:val="18"/>
          <w:szCs w:val="18"/>
          <w:color w:val="auto"/>
        </w:rPr>
        <w:t>using quoted market prices in active markets. Commercial paper and corporate notes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7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Marketable securities </w:t>
      </w:r>
      <w:r>
        <w:rPr>
          <w:rFonts w:ascii="Arial" w:cs="Arial" w:eastAsia="Arial" w:hAnsi="Arial"/>
          <w:sz w:val="18"/>
          <w:szCs w:val="18"/>
          <w:color w:val="auto"/>
        </w:rPr>
        <w:t>– The Company measures its marketable securities at fair value on a recurring basis and classify those instruments within Level 2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fair value hierarchy. Marketable securities are classified within Level 2 of the fair value hierarchy because pricing inputs are other than quoted prices in active markets, which are either directly or indirectly observable as of the reporting date, and fair value is determined using models or other valuation methodologies.</w:t>
      </w:r>
    </w:p>
    <w:p>
      <w:pPr>
        <w:spacing w:after="0" w:line="7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Success Payment Liabilities </w:t>
      </w:r>
      <w:r>
        <w:rPr>
          <w:rFonts w:ascii="Arial" w:cs="Arial" w:eastAsia="Arial" w:hAnsi="Arial"/>
          <w:sz w:val="18"/>
          <w:szCs w:val="18"/>
          <w:color w:val="auto"/>
        </w:rPr>
        <w:t>– As discussed further in Note 8,</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License Agreements</w:t>
      </w:r>
      <w:r>
        <w:rPr>
          <w:rFonts w:ascii="Arial" w:cs="Arial" w:eastAsia="Arial" w:hAnsi="Arial"/>
          <w:sz w:val="18"/>
          <w:szCs w:val="18"/>
          <w:color w:val="auto"/>
        </w:rPr>
        <w:t>, the Company is required to make success payments determined based</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achievement of specified multiples of the initial weighted average value of the Company’s Series A Preferred at specified valuation dates. The Company’s liability for success payments under the Harvard License Agreement and Broad License Agreement are carried at fair value. To determine the estimated fair value of the success payment liability, the Company uses a Monte Carlo simulation methodology, which models the future movement of stock prices based on several key variables.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The following variables were incorporated in the calculation of the estimated fair value of the Harvard and Broad Institute success payment liabilities: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Harvard</w:t>
            </w: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Broad Institute</w:t>
            </w:r>
          </w:p>
        </w:tc>
      </w:tr>
      <w:tr>
        <w:trPr>
          <w:trHeight w:val="133"/>
        </w:trPr>
        <w:tc>
          <w:tcPr>
            <w:tcW w:w="5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right"/>
              <w:ind w:right="338"/>
              <w:spacing w:after="0" w:line="133"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ind w:right="256"/>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right"/>
              <w:ind w:right="358"/>
              <w:spacing w:after="0" w:line="133"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right"/>
              <w:ind w:right="256"/>
              <w:spacing w:after="0" w:line="133"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6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Fair value of Series A Preferred (per share) (1)</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3.60</w:t>
            </w:r>
          </w:p>
        </w:tc>
      </w:tr>
      <w:tr>
        <w:trPr>
          <w:trHeight w:val="229"/>
        </w:trPr>
        <w:tc>
          <w:tcPr>
            <w:tcW w:w="5620" w:type="dxa"/>
            <w:vAlign w:val="bottom"/>
          </w:tcPr>
          <w:p>
            <w:pPr>
              <w:spacing w:after="0"/>
              <w:rPr>
                <w:sz w:val="20"/>
                <w:szCs w:val="20"/>
                <w:color w:val="auto"/>
              </w:rPr>
            </w:pPr>
            <w:r>
              <w:rPr>
                <w:rFonts w:ascii="Arial" w:cs="Arial" w:eastAsia="Arial" w:hAnsi="Arial"/>
                <w:sz w:val="18"/>
                <w:szCs w:val="18"/>
                <w:color w:val="auto"/>
              </w:rPr>
              <w:t>Fair value of common stock (per share)</w:t>
            </w:r>
          </w:p>
        </w:tc>
        <w:tc>
          <w:tcPr>
            <w:tcW w:w="160" w:type="dxa"/>
            <w:vAlign w:val="bottom"/>
          </w:tcPr>
          <w:p>
            <w:pPr>
              <w:spacing w:after="0"/>
              <w:rPr>
                <w:sz w:val="19"/>
                <w:szCs w:val="19"/>
                <w:color w:val="auto"/>
              </w:rPr>
            </w:pPr>
          </w:p>
        </w:tc>
        <w:tc>
          <w:tcPr>
            <w:tcW w:w="1120" w:type="dxa"/>
            <w:vAlign w:val="bottom"/>
          </w:tcPr>
          <w:p>
            <w:pPr>
              <w:jc w:val="right"/>
              <w:ind w:right="98"/>
              <w:spacing w:after="0"/>
              <w:rPr>
                <w:sz w:val="20"/>
                <w:szCs w:val="20"/>
                <w:color w:val="auto"/>
              </w:rPr>
            </w:pPr>
            <w:r>
              <w:rPr>
                <w:rFonts w:ascii="Arial" w:cs="Arial" w:eastAsia="Arial" w:hAnsi="Arial"/>
                <w:sz w:val="18"/>
                <w:szCs w:val="18"/>
                <w:color w:val="auto"/>
              </w:rPr>
              <w:t>18.00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18.00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96"/>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Expected term (years)</w:t>
            </w:r>
          </w:p>
        </w:tc>
        <w:tc>
          <w:tcPr>
            <w:tcW w:w="160" w:type="dxa"/>
            <w:vAlign w:val="bottom"/>
          </w:tcPr>
          <w:p>
            <w:pPr>
              <w:spacing w:after="0"/>
              <w:rPr>
                <w:sz w:val="20"/>
                <w:szCs w:val="20"/>
                <w:color w:val="auto"/>
              </w:rPr>
            </w:pPr>
          </w:p>
        </w:tc>
        <w:tc>
          <w:tcPr>
            <w:tcW w:w="1120" w:type="dxa"/>
            <w:vAlign w:val="bottom"/>
          </w:tcPr>
          <w:p>
            <w:pPr>
              <w:jc w:val="right"/>
              <w:ind w:right="98"/>
              <w:spacing w:after="0"/>
              <w:rPr>
                <w:sz w:val="20"/>
                <w:szCs w:val="20"/>
                <w:color w:val="auto"/>
              </w:rPr>
            </w:pPr>
            <w:r>
              <w:rPr>
                <w:rFonts w:ascii="Arial" w:cs="Arial" w:eastAsia="Arial" w:hAnsi="Arial"/>
                <w:sz w:val="18"/>
                <w:szCs w:val="18"/>
                <w:color w:val="auto"/>
              </w:rPr>
              <w:t>1.10-9.25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16"/>
              <w:spacing w:after="0"/>
              <w:rPr>
                <w:sz w:val="20"/>
                <w:szCs w:val="20"/>
                <w:color w:val="auto"/>
              </w:rPr>
            </w:pPr>
            <w:r>
              <w:rPr>
                <w:rFonts w:ascii="Arial" w:cs="Arial" w:eastAsia="Arial" w:hAnsi="Arial"/>
                <w:sz w:val="18"/>
                <w:szCs w:val="18"/>
                <w:color w:val="auto"/>
              </w:rPr>
              <w:t>0.10-8.01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1.10-10.11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96"/>
              <w:spacing w:after="0"/>
              <w:rPr>
                <w:sz w:val="20"/>
                <w:szCs w:val="20"/>
                <w:color w:val="auto"/>
              </w:rPr>
            </w:pPr>
            <w:r>
              <w:rPr>
                <w:rFonts w:ascii="Arial" w:cs="Arial" w:eastAsia="Arial" w:hAnsi="Arial"/>
                <w:sz w:val="18"/>
                <w:szCs w:val="18"/>
                <w:color w:val="auto"/>
              </w:rPr>
              <w:t>0.10-8.01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9512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21" w:lineRule="exact"/>
        <w:rPr>
          <w:sz w:val="20"/>
          <w:szCs w:val="20"/>
          <w:color w:val="auto"/>
        </w:rPr>
      </w:pPr>
    </w:p>
    <w:p>
      <w:pPr>
        <w:ind w:left="460" w:right="120" w:hanging="452"/>
        <w:spacing w:after="0" w:line="25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the Company’s one-for-4.4843 reverse stock split in January 2020 only applied to its common stock and did not impact its redeemable convertible preferred stock. As such, the Series A Preferred fair value per share as of December 31, 2019 does not show the effect of the reverse stock split. If adjusted for the effect of the reverse stock split, the fair value per share of Series A Preferred would be $16.14 on December 31, 2019. Upon completion of the Company’s IPO, all outstanding shares of redeemable convertible preferred stock converted into shares of the Company’s common stock.</w:t>
      </w:r>
    </w:p>
    <w:p>
      <w:pPr>
        <w:spacing w:after="0" w:line="188"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At December 31, 2019, the fair value of the Series A Preferred was determined by management with the assistance of an independent third-party specialist. At March 31, 2020, the fair value of the common stock was the market value of the Company’s common stock. The computation of expected volatility was estimated using available information about the historical volatility of stocks of similar publicly traded companies for a period matching the expected term assumption. In addition, the Company incorporated the estimated number, timing, and probability of valuation measurement dates in the calculation of the success payment liability.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the fair value of success payment liabilities based on Level 3 inputs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6"/>
          </w:tcPr>
          <w:p>
            <w:pPr>
              <w:jc w:val="center"/>
              <w:ind w:left="617"/>
              <w:spacing w:after="0"/>
              <w:rPr>
                <w:sz w:val="20"/>
                <w:szCs w:val="20"/>
                <w:color w:val="auto"/>
              </w:rPr>
            </w:pPr>
            <w:r>
              <w:rPr>
                <w:rFonts w:ascii="Arial" w:cs="Arial" w:eastAsia="Arial" w:hAnsi="Arial"/>
                <w:sz w:val="14"/>
                <w:szCs w:val="14"/>
                <w:b w:val="1"/>
                <w:bCs w:val="1"/>
                <w:color w:val="auto"/>
                <w:w w:val="95"/>
              </w:rPr>
              <w:t>Three Months Ended March 31, 2020</w:t>
            </w:r>
          </w:p>
        </w:tc>
        <w:tc>
          <w:tcPr>
            <w:tcW w:w="1060" w:type="dxa"/>
            <w:vAlign w:val="bottom"/>
            <w:tcBorders>
              <w:bottom w:val="single" w:sz="8" w:color="auto"/>
            </w:tcBorders>
          </w:tcPr>
          <w:p>
            <w:pPr>
              <w:spacing w:after="0"/>
              <w:rPr>
                <w:sz w:val="14"/>
                <w:szCs w:val="14"/>
                <w:color w:val="auto"/>
              </w:rPr>
            </w:pPr>
          </w:p>
        </w:tc>
      </w:tr>
      <w:tr>
        <w:trPr>
          <w:trHeight w:val="156"/>
        </w:trPr>
        <w:tc>
          <w:tcPr>
            <w:tcW w:w="6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ind w:right="417"/>
              <w:spacing w:after="0" w:line="155" w:lineRule="exact"/>
              <w:rPr>
                <w:sz w:val="20"/>
                <w:szCs w:val="20"/>
                <w:color w:val="auto"/>
              </w:rPr>
            </w:pPr>
            <w:r>
              <w:rPr>
                <w:rFonts w:ascii="Arial" w:cs="Arial" w:eastAsia="Arial" w:hAnsi="Arial"/>
                <w:sz w:val="14"/>
                <w:szCs w:val="14"/>
                <w:b w:val="1"/>
                <w:bCs w:val="1"/>
                <w:color w:val="auto"/>
              </w:rPr>
              <w:t>Harvard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5"/>
              </w:rPr>
              <w:t>Broad Institute</w:t>
            </w:r>
          </w:p>
        </w:tc>
        <w:tc>
          <w:tcPr>
            <w:tcW w:w="380" w:type="dxa"/>
            <w:vAlign w:val="bottom"/>
          </w:tcPr>
          <w:p>
            <w:pPr>
              <w:spacing w:after="0"/>
              <w:rPr>
                <w:sz w:val="13"/>
                <w:szCs w:val="13"/>
                <w:color w:val="auto"/>
              </w:rPr>
            </w:pPr>
          </w:p>
        </w:tc>
        <w:tc>
          <w:tcPr>
            <w:tcW w:w="1060" w:type="dxa"/>
            <w:vAlign w:val="bottom"/>
          </w:tcPr>
          <w:p>
            <w:pPr>
              <w:jc w:val="right"/>
              <w:ind w:right="535"/>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3,900</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3,900</w:t>
            </w:r>
          </w:p>
        </w:tc>
        <w:tc>
          <w:tcPr>
            <w:tcW w:w="1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7,800</w:t>
            </w:r>
          </w:p>
        </w:tc>
      </w:tr>
      <w:tr>
        <w:trPr>
          <w:trHeight w:val="230"/>
        </w:trPr>
        <w:tc>
          <w:tcPr>
            <w:tcW w:w="6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Changes in fair value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1,300</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1,400</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2,700</w:t>
            </w:r>
          </w:p>
        </w:tc>
      </w:tr>
      <w:tr>
        <w:trPr>
          <w:trHeight w:val="223"/>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5,200</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5,300</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10,500</w:t>
            </w:r>
          </w:p>
        </w:tc>
      </w:tr>
      <w:tr>
        <w:trPr>
          <w:trHeight w:val="20"/>
        </w:trPr>
        <w:tc>
          <w:tcPr>
            <w:tcW w:w="6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marketable securities held at March 31, 2020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left="128"/>
              <w:spacing w:after="0"/>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199"/>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9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2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199"/>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320" w:type="dxa"/>
            <w:vAlign w:val="bottom"/>
            <w:tcBorders>
              <w:top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72,976</w:t>
            </w: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72,971</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Corporate notes</w:t>
            </w:r>
          </w:p>
        </w:tc>
        <w:tc>
          <w:tcPr>
            <w:tcW w:w="3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54,760</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54,421</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127,736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127,392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marketable securities held at December 31, 2019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left="128"/>
              <w:spacing w:after="0"/>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left="128"/>
              <w:spacing w:after="0"/>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9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2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left="128"/>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360" w:type="dxa"/>
            <w:vAlign w:val="bottom"/>
            <w:tcBorders>
              <w:top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36,875</w:t>
            </w: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14</w:t>
            </w: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36,889</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notes</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17,736</w:t>
            </w: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17,738</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54,611</w:t>
            </w:r>
          </w:p>
        </w:tc>
        <w:tc>
          <w:tcPr>
            <w:tcW w:w="1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16</w:t>
            </w:r>
          </w:p>
        </w:tc>
        <w:tc>
          <w:tcPr>
            <w:tcW w:w="1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54,627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amortized cost of marketable securities is adjusted for amortization of premiums and accretion of discounts to maturity. At March 31, 2020, the balance in accumulated other comprehensive (loss) income was comprised solely of activity related to marketable securities. There were no realized gains or losses recognized on the sale or maturity of marketable securities for the three months ended March 31, 2020 and 2019 and, as a result, the Company did not reclassify any amounts out of accumulated other comprehensive (loss) income for the same period.</w:t>
      </w:r>
    </w:p>
    <w:p>
      <w:pPr>
        <w:spacing w:after="0" w:line="6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held 26 debt securities in an unrealized loss position at March 31, 2020. The aggregate fair value of securities held by the Company in an unrealized loss position for less than 12 months at March 31, 2020 was $73.1 million, and there were no securities held by the Company in an unrealized loss position for more than 12 months. The Company holds debt securities of companies with high credit quality and has determined that there was no material change in the credit risk of any of its debt securities, and as of March 31, 2020 the Company did not intend to sell, and was more than likely not required to sell, the debt securities in a loss position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ind w:right="720"/>
        <w:spacing w:after="0" w:line="277" w:lineRule="auto"/>
        <w:rPr>
          <w:sz w:val="20"/>
          <w:szCs w:val="20"/>
          <w:color w:val="auto"/>
        </w:rPr>
      </w:pPr>
      <w:r>
        <w:rPr>
          <w:rFonts w:ascii="Arial" w:cs="Arial" w:eastAsia="Arial" w:hAnsi="Arial"/>
          <w:sz w:val="18"/>
          <w:szCs w:val="18"/>
          <w:color w:val="auto"/>
        </w:rPr>
        <w:t>before recovery of their amortized cost bases. As a result, the Company determined it did not hold any investments with any other-than-temporary impairment as of March 31, 2020. The contractual maturity date of all the investments are less than one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9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500" w:type="dxa"/>
            <w:vAlign w:val="bottom"/>
            <w:tcBorders>
              <w:bottom w:val="single" w:sz="8" w:color="CFF0FC"/>
            </w:tcBorders>
          </w:tcPr>
          <w:p>
            <w:pPr>
              <w:spacing w:after="0"/>
              <w:rPr>
                <w:sz w:val="14"/>
                <w:szCs w:val="14"/>
                <w:color w:val="auto"/>
              </w:rPr>
            </w:pPr>
          </w:p>
        </w:tc>
        <w:tc>
          <w:tcPr>
            <w:tcW w:w="62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costs (1)</w:t>
            </w:r>
          </w:p>
        </w:tc>
        <w:tc>
          <w:tcPr>
            <w:tcW w:w="1120" w:type="dxa"/>
            <w:vAlign w:val="bottom"/>
            <w:shd w:val="clear" w:color="auto" w:fill="CFF0FC"/>
          </w:tcPr>
          <w:p>
            <w:pPr>
              <w:jc w:val="right"/>
              <w:ind w:right="93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8"/>
              </w:rPr>
              <w:t>4,285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1,548</w:t>
            </w: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Employee compensation and related benefits</w:t>
            </w:r>
          </w:p>
        </w:tc>
        <w:tc>
          <w:tcPr>
            <w:tcW w:w="112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1,253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3,531</w:t>
            </w: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1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8"/>
              </w:rPr>
              <w:t>1,760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1,541</w:t>
            </w:r>
          </w:p>
        </w:tc>
      </w:tr>
      <w:tr>
        <w:trPr>
          <w:trHeight w:val="230"/>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8"/>
              </w:rPr>
              <w:t>1,182</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1,232</w:t>
            </w:r>
          </w:p>
        </w:tc>
      </w:tr>
      <w:tr>
        <w:trPr>
          <w:trHeight w:val="223"/>
        </w:trPr>
        <w:tc>
          <w:tcPr>
            <w:tcW w:w="772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FF0FC"/>
          </w:tcPr>
          <w:p>
            <w:pPr>
              <w:jc w:val="right"/>
              <w:ind w:right="93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8"/>
              </w:rPr>
              <w:t>8,480</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7,852</w:t>
            </w:r>
          </w:p>
        </w:tc>
      </w:tr>
      <w:tr>
        <w:trPr>
          <w:trHeight w:val="20"/>
        </w:trPr>
        <w:tc>
          <w:tcPr>
            <w:tcW w:w="15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6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tcPr>
          <w:p>
            <w:pPr>
              <w:spacing w:after="0"/>
              <w:rPr>
                <w:sz w:val="10"/>
                <w:szCs w:val="10"/>
                <w:color w:val="auto"/>
              </w:rPr>
            </w:pPr>
          </w:p>
        </w:tc>
      </w:tr>
    </w:tbl>
    <w:p>
      <w:pPr>
        <w:spacing w:after="0" w:line="26" w:lineRule="exact"/>
        <w:rPr>
          <w:sz w:val="20"/>
          <w:szCs w:val="20"/>
          <w:color w:val="auto"/>
        </w:rPr>
      </w:pPr>
    </w:p>
    <w:p>
      <w:pPr>
        <w:ind w:left="500" w:right="60" w:hanging="492"/>
        <w:spacing w:after="0" w:line="263"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 March 2020, the Company determined that a patent under its license agreement with Bio Palette Co., Ltd., or Bio Palette, became probable of issuance and recognized $2.3 million of research and development expense during the three months ended March 31, 2020. Refer to Note 8, </w:t>
      </w:r>
      <w:r>
        <w:rPr>
          <w:rFonts w:ascii="Arial" w:cs="Arial" w:eastAsia="Arial" w:hAnsi="Arial"/>
          <w:sz w:val="18"/>
          <w:szCs w:val="18"/>
          <w:i w:val="1"/>
          <w:iCs w:val="1"/>
          <w:color w:val="auto"/>
        </w:rPr>
        <w:t>License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 for further discussion of the Bio Palette license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operating leases are as follow:</w:t>
      </w:r>
    </w:p>
    <w:p>
      <w:pPr>
        <w:spacing w:after="0" w:line="225" w:lineRule="exact"/>
        <w:rPr>
          <w:sz w:val="20"/>
          <w:szCs w:val="20"/>
          <w:color w:val="auto"/>
        </w:rPr>
      </w:pPr>
    </w:p>
    <w:p>
      <w:pPr>
        <w:ind w:left="740" w:right="100" w:hanging="368"/>
        <w:spacing w:after="0" w:line="263"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February 2018 lease for 38,203 square feet of office and laboratory space, which commenced in March 2018 and terminates in September 2028. The lease is subject to fixed-rate rent escalations and provided for $6.1 million in tenant improvements and a term extension option, which was not probable of exercise.</w:t>
      </w:r>
    </w:p>
    <w:p>
      <w:pPr>
        <w:spacing w:after="0" w:line="183" w:lineRule="exact"/>
        <w:rPr>
          <w:rFonts w:ascii="Arial" w:cs="Arial" w:eastAsia="Arial" w:hAnsi="Arial"/>
          <w:sz w:val="18"/>
          <w:szCs w:val="18"/>
          <w:color w:val="auto"/>
        </w:rPr>
      </w:pPr>
    </w:p>
    <w:p>
      <w:pPr>
        <w:ind w:left="740" w:right="120" w:hanging="368"/>
        <w:spacing w:after="0" w:line="301"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October 2018 lease for laboratory space, which commenced in April 2019 and was amended in March 2020. The amended lease commenced in March 2020 and terminates in March 2023. The amended lease is subject to fixed-rate rent escalations and provides an option to extend the lease for an additional year through March 31, 2024, which was determined by the Company to be reasonably certain of being exercised. Upon commencement, the Company recorded an operating lease right-of-use, or ROU, asset and a lease liability of $4.2 million.</w:t>
      </w:r>
    </w:p>
    <w:p>
      <w:pPr>
        <w:spacing w:after="0" w:line="157" w:lineRule="exact"/>
        <w:rPr>
          <w:rFonts w:ascii="Arial" w:cs="Arial" w:eastAsia="Arial" w:hAnsi="Arial"/>
          <w:sz w:val="16"/>
          <w:szCs w:val="16"/>
          <w:color w:val="auto"/>
        </w:rPr>
      </w:pPr>
    </w:p>
    <w:p>
      <w:pPr>
        <w:ind w:left="740" w:right="18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Leases in June and July 2019 for office and laboratory space, both of which commenced in October 2019 and terminate in December 2021. The leases are subject to fixed-rate rent escalations.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operating lease costs as well as sublease income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6"/>
          </w:tcPr>
          <w:p>
            <w:pPr>
              <w:jc w:val="right"/>
              <w:ind w:right="756"/>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00" w:type="dxa"/>
            <w:vAlign w:val="bottom"/>
            <w:tcBorders>
              <w:bottom w:val="single" w:sz="8" w:color="CFF0FC"/>
            </w:tcBorders>
          </w:tcPr>
          <w:p>
            <w:pPr>
              <w:spacing w:after="0"/>
              <w:rPr>
                <w:sz w:val="13"/>
                <w:szCs w:val="13"/>
                <w:color w:val="auto"/>
              </w:rPr>
            </w:pPr>
          </w:p>
        </w:tc>
        <w:tc>
          <w:tcPr>
            <w:tcW w:w="24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37"/>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676"/>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2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708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Variable lease costs</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costs</w:t>
            </w:r>
          </w:p>
        </w:tc>
        <w:tc>
          <w:tcPr>
            <w:tcW w:w="2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Sublease income</w:t>
            </w:r>
          </w:p>
        </w:tc>
        <w:tc>
          <w:tcPr>
            <w:tcW w:w="24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4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1,886</w:t>
            </w:r>
          </w:p>
        </w:tc>
        <w:tc>
          <w:tcPr>
            <w:tcW w:w="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908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w w:val="99"/>
              </w:rPr>
              <w:t>The following table summarizes the lease term and discount rate:</w:t>
            </w: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00" w:type="dxa"/>
            <w:vAlign w:val="bottom"/>
            <w:vMerge w:val="continue"/>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2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456"/>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5200" w:type="dxa"/>
            <w:vAlign w:val="bottom"/>
            <w:tcBorders>
              <w:bottom w:val="single" w:sz="8" w:color="CFF0FC"/>
            </w:tcBorders>
          </w:tcPr>
          <w:p>
            <w:pPr>
              <w:spacing w:after="0"/>
              <w:rPr>
                <w:sz w:val="14"/>
                <w:szCs w:val="14"/>
                <w:color w:val="auto"/>
              </w:rPr>
            </w:pPr>
          </w:p>
        </w:tc>
        <w:tc>
          <w:tcPr>
            <w:tcW w:w="24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3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2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ind w:left="560"/>
              <w:spacing w:after="0"/>
              <w:rPr>
                <w:sz w:val="20"/>
                <w:szCs w:val="20"/>
                <w:color w:val="auto"/>
              </w:rPr>
            </w:pPr>
            <w:r>
              <w:rPr>
                <w:rFonts w:ascii="Arial" w:cs="Arial" w:eastAsia="Arial" w:hAnsi="Arial"/>
                <w:sz w:val="18"/>
                <w:szCs w:val="18"/>
                <w:color w:val="auto"/>
              </w:rPr>
              <w:t>6.8 years</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96"/>
              <w:spacing w:after="0"/>
              <w:rPr>
                <w:sz w:val="20"/>
                <w:szCs w:val="20"/>
                <w:color w:val="auto"/>
              </w:rPr>
            </w:pPr>
            <w:r>
              <w:rPr>
                <w:rFonts w:ascii="Arial" w:cs="Arial" w:eastAsia="Arial" w:hAnsi="Arial"/>
                <w:sz w:val="18"/>
                <w:szCs w:val="18"/>
                <w:color w:val="auto"/>
              </w:rPr>
              <w:t>7.4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w:t>
            </w:r>
          </w:p>
        </w:tc>
        <w:tc>
          <w:tcPr>
            <w:tcW w:w="2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380" w:type="dxa"/>
            <w:vAlign w:val="bottom"/>
            <w:gridSpan w:val="6"/>
          </w:tcPr>
          <w:p>
            <w:pPr>
              <w:spacing w:after="0"/>
              <w:rPr>
                <w:sz w:val="20"/>
                <w:szCs w:val="20"/>
                <w:color w:val="auto"/>
              </w:rPr>
            </w:pPr>
            <w:r>
              <w:rPr>
                <w:rFonts w:ascii="Arial" w:cs="Arial" w:eastAsia="Arial" w:hAnsi="Arial"/>
                <w:sz w:val="18"/>
                <w:szCs w:val="18"/>
                <w:color w:val="auto"/>
                <w:w w:val="96"/>
              </w:rPr>
              <w:t>The following table summarizes the cash paid for amounts included in the measurement of lease liabilities (in thousands):</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6"/>
          </w:tcPr>
          <w:p>
            <w:pPr>
              <w:jc w:val="right"/>
              <w:ind w:right="756"/>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00" w:type="dxa"/>
            <w:vAlign w:val="bottom"/>
            <w:tcBorders>
              <w:bottom w:val="single" w:sz="8" w:color="CFF0FC"/>
            </w:tcBorders>
          </w:tcPr>
          <w:p>
            <w:pPr>
              <w:spacing w:after="0"/>
              <w:rPr>
                <w:sz w:val="13"/>
                <w:szCs w:val="13"/>
                <w:color w:val="auto"/>
              </w:rPr>
            </w:pPr>
          </w:p>
        </w:tc>
        <w:tc>
          <w:tcPr>
            <w:tcW w:w="24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37"/>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676"/>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used for operating leases</w:t>
            </w:r>
          </w:p>
        </w:tc>
        <w:tc>
          <w:tcPr>
            <w:tcW w:w="2520" w:type="dxa"/>
            <w:vAlign w:val="bottom"/>
            <w:gridSpan w:val="2"/>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748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w w:val="97"/>
              </w:rPr>
              <w:t>Operating lease liabilities arising from obtaining right-of-use assets</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4,032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200" w:type="dxa"/>
            <w:vAlign w:val="bottom"/>
          </w:tcPr>
          <w:p>
            <w:pPr>
              <w:spacing w:after="0"/>
              <w:rPr>
                <w:sz w:val="24"/>
                <w:szCs w:val="24"/>
                <w:color w:val="auto"/>
              </w:rPr>
            </w:pPr>
          </w:p>
        </w:tc>
        <w:tc>
          <w:tcPr>
            <w:tcW w:w="2400" w:type="dxa"/>
            <w:vAlign w:val="bottom"/>
          </w:tcPr>
          <w:p>
            <w:pPr>
              <w:jc w:val="right"/>
              <w:ind w:right="17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13" w:name="page14"/>
    <w:bookmarkEnd w:id="13"/>
    <w:p>
      <w:pPr>
        <w:ind w:right="140"/>
        <w:spacing w:after="0" w:line="277" w:lineRule="auto"/>
        <w:rPr>
          <w:sz w:val="20"/>
          <w:szCs w:val="20"/>
          <w:color w:val="auto"/>
        </w:rPr>
      </w:pPr>
      <w:r>
        <w:rPr>
          <w:rFonts w:ascii="Arial" w:cs="Arial" w:eastAsia="Arial" w:hAnsi="Arial"/>
          <w:sz w:val="18"/>
          <w:szCs w:val="18"/>
          <w:color w:val="auto"/>
        </w:rPr>
        <w:t>At March 31, 2020, the future minimum lease payments for the Company’s operating leases for each of the years ending December 31 were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4220" w:type="dxa"/>
            <w:vAlign w:val="bottom"/>
            <w:gridSpan w:val="2"/>
            <w:shd w:val="clear" w:color="auto" w:fill="CFF0FC"/>
          </w:tcPr>
          <w:p>
            <w:pPr>
              <w:jc w:val="right"/>
              <w:ind w:right="54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5,487</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2021</w:t>
            </w:r>
          </w:p>
        </w:tc>
        <w:tc>
          <w:tcPr>
            <w:tcW w:w="3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6,538</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5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4,777</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2023</w:t>
            </w:r>
          </w:p>
        </w:tc>
        <w:tc>
          <w:tcPr>
            <w:tcW w:w="3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4,912</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5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3,808</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2025</w:t>
            </w:r>
          </w:p>
        </w:tc>
        <w:tc>
          <w:tcPr>
            <w:tcW w:w="3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3,585</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35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10,411</w:t>
            </w: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Undiscounted lease payments</w:t>
            </w:r>
          </w:p>
        </w:tc>
        <w:tc>
          <w:tcPr>
            <w:tcW w:w="3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39,518</w:t>
            </w:r>
          </w:p>
        </w:tc>
      </w:tr>
      <w:tr>
        <w:trPr>
          <w:trHeight w:val="230"/>
        </w:trPr>
        <w:tc>
          <w:tcPr>
            <w:tcW w:w="5740" w:type="dxa"/>
            <w:vAlign w:val="bottom"/>
            <w:shd w:val="clear" w:color="auto" w:fill="CFF0FC"/>
          </w:tcPr>
          <w:p>
            <w:pPr>
              <w:spacing w:after="0"/>
              <w:rPr>
                <w:sz w:val="19"/>
                <w:szCs w:val="19"/>
                <w:color w:val="auto"/>
              </w:rPr>
            </w:pPr>
          </w:p>
        </w:tc>
        <w:tc>
          <w:tcPr>
            <w:tcW w:w="35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9"/>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imputed interest</w:t>
            </w:r>
          </w:p>
        </w:tc>
        <w:tc>
          <w:tcPr>
            <w:tcW w:w="35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(10,760)</w:t>
            </w:r>
          </w:p>
        </w:tc>
      </w:tr>
      <w:tr>
        <w:trPr>
          <w:trHeight w:val="223"/>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35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28,758</w:t>
            </w:r>
          </w:p>
        </w:tc>
      </w:tr>
      <w:tr>
        <w:trPr>
          <w:trHeight w:val="20"/>
        </w:trPr>
        <w:tc>
          <w:tcPr>
            <w:tcW w:w="57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to the leases discussed above, the Company is party to an April 2019 lease for office and laboratory space to be built, with the lease for the first phase expected to commence at the earliest in late 2021 and the second phase expected to commence at the earliest in first half of 2023. The lease will terminate 12 years from the second phase commencement date. The lease is subject to fixed-rate rent escalations and provides for $23.4 million in tenant improvements and the option to extend the lease for two terms of 5 years each. Upon executing the lease, the Company made a security deposit of $11.8 million in the form of a letter of credit, which is included in restricted cash as of March 31, 2020. As the lease had not commenced, the Company has not recorded an operating lease ROU asset or lease liability for this lease in the accompanying condensed consolidated balance sheets. The minimum amount of anticipated undiscounted lease payments due under the MIT lease is $168.7 million. Further, the tabular disclosure of minimum lease payments above does not include payments due under this lease.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w:t>
      </w:r>
    </w:p>
    <w:p>
      <w:pPr>
        <w:spacing w:after="0" w:line="11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 July 2019 and October 2019, the Company sold certain equipment to a leasing company. Contemporaneous with the closing of the sale, the Company entered into a lease agreement with the leasing company with a term of four years pursuant to which the Company leased back the equipment.</w:t>
      </w:r>
    </w:p>
    <w:p>
      <w:pPr>
        <w:spacing w:after="0" w:line="1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Further, in February 2020, the Company sold additional equipment to the leasing company for a total of $1.6 million and, concurrently, entered into a lease agreement with the leasing company to lease back the equipment for an annual rent of $0.5 million over a term of four years.</w:t>
      </w:r>
    </w:p>
    <w:p>
      <w:pPr>
        <w:spacing w:after="0" w:line="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equipment leases are being accounted for as financings as the lease terms are for substantially all the remaining economic life of the underlying equipment. Management concluded that control, including the significant risks and rewards of ownership, did not effectively transfer to the buyer-lessor at the inception of the sale and leaseback transactions. As a result, the transactions are accounted for as failed sale and leasebacks and result in the recognition of financing liabilities.</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future minimum payments related to the equipment financing obligations at March 31, 2020, for each of the years ending December 31 were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740" w:type="dxa"/>
            <w:vAlign w:val="bottom"/>
            <w:gridSpan w:val="2"/>
            <w:shd w:val="clear" w:color="auto" w:fill="CFF0FC"/>
          </w:tcPr>
          <w:p>
            <w:pPr>
              <w:jc w:val="right"/>
              <w:ind w:right="609"/>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1,651</w:t>
            </w: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2,200</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2,200</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1,549</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7,670</w:t>
            </w:r>
          </w:p>
        </w:tc>
      </w:tr>
      <w:tr>
        <w:trPr>
          <w:trHeight w:val="229"/>
        </w:trPr>
        <w:tc>
          <w:tcPr>
            <w:tcW w:w="9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Less: amounts representing interest at 8.56%</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(1,212)</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Plus: residual values</w:t>
            </w:r>
          </w:p>
        </w:tc>
        <w:tc>
          <w:tcPr>
            <w:tcW w:w="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535</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Financing obligations</w:t>
            </w: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6,993</w:t>
            </w: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Total paydown of principal and interest expense related to the equipment financing obligations were $0.3 million and $0.1 million, respectively for the three months ended March 31,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8.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Harvard license agreement</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the terms of the Harvard License Agreement, Harvard is entitled to receive success payments, determined based upon the achievement of specified multiples of the initial weighted average value of the Company’s Series A Preferred at specified valuation dates. The Company is required to make success payments to Harvard during a period of time, or the Harvard Success Payment Period, which has been determined to be the later of (1) the ninth anniversary of the Harvard License Agreement or (2) the earlier of (a) the 12th anniversary of the Harvard License Agreement and (b) the third anniversary of the first date on which a licensed product receives regulatory approval in the United States. During the Harvard Success Payment Period, the Company will perform a valuation on each rolling 90-day period, commencing one year after the Company’s IPO. As of March 31, 2020 and December 31, 2019, the Company has recorded $5.2 million and $3.9 million, respectively, for the estimated fair value of the success fee derivative liability. During the three months ended March 31, 2020 and 2019, the Company recorded $1.3 million and $0.5 million, respectively, of other expense related to the remeasurement of the liability. As of March 31, 2020, no success payments were paid or due to Harvard.</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addition, Harvard was entitled to receive financing milestone payments, which were paid by the Company during the three months ended March 31, 2019.</w:t>
      </w:r>
    </w:p>
    <w:p>
      <w:pPr>
        <w:spacing w:after="0" w:line="6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annual maintenance fee under the Harvard License Agreement is recorded as research and development expense. Patent prosecution costs are recognized as expense in the period incurred. As of March 31, 2020, the Company determined that product development and regulatory approval milestones and royalties under the Harvard License Agreement were not probable and, as such, no amounts were recognized for the three months ended March 31,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 license agreement</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Under the terms of the Broad License Agreement, Broad Institute is entitled to receive success payments, determined based upon the achievement of specified multiples of the initial weighted average value of the Blink Series A Preferred at specified valuation dates. The Company is required to make success payments to Broad Institute during a period of time, or the Broad Success Payment Period, which has been determined to be the earliest of (1) the twelfth anniversary of the Broad License Agreement, or (2) the third anniversary of the first date on which a licensed product receives regulatory approval in the United States. During the Broad Success Payment Period, the Company will perform a valuation on each rolling 90-day period, commencing one year after the Company’s IPO. As of March 31, 2020 and December 31, 2019, the Company has recorded $5.3 million and $3.9 million, respectively, for the estimated fair value of a success fee derivative liability. During the three months ended March 31, 2020 and 2019, the Company recorded $1.4 million and $0.5 million, respectively, of other expense related to the remeasurement of this liability. As of March 31, 2020, no success payments were paid or payable to Broad Institute.</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Broad Institute was entitled to receive financing milestone payments, which were paid by the Company during the year ended December 31, 2019.</w:t>
      </w:r>
    </w:p>
    <w:p>
      <w:pPr>
        <w:spacing w:after="0" w:line="6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annual maintenance fee under the Broad License Agreement is recorded as research and development expense. Patent prosecution costs are recognized as expense in the period incurred. As of March 31, 2020, the Company determined that product development and regulatory approval milestones and royalties under the Broad License Agreement were not probable and, as such, no amounts were recognized for the three months ended March 31, 2020.</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Editas license agreement</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May 2018, the Company entered into a license agreement, or the Editas License Agreement, with Editas Medicine, Inc., or Editas, for certain intellectual property rights owned or controlled by Editas, for specified uses. Under the Editas License Agreement, Editas granted to the Company a worldwide, exclusive, sublicensable, license (subject to certain exceptions and conditions) under certain intellectual property controlled by Editas for the use of base editing therapies for the treatment of any field of human diseases and conditions, subject to certain exceptions, or the Beam Field, and the licenses granted or to be granted under the Editas License Agreement, or the Editas Development and Commercialization License). Additionally, Editas granted to the Company a royalty-free, non-exclusive license under certain intellectual property owned or controlled by Editas to perform research activities in the Beam Field. Editas provided the Company with an exclusive option to obtain an Editas Development and Commercialization License to three additional groups of intellectual property owned or controlled by Editas, on a group by group basis, during the specified option period, subject to certain exceptions. Pursuant to the Editas License Agreement, the Company will use commercially reasonable efforts to develop a product that includes the rights licensed to the Company within a specified period of time and to commercialize any such products that have received regulatory approval in certain specified countries.</w:t>
      </w:r>
    </w:p>
    <w:p>
      <w:pPr>
        <w:spacing w:after="0" w:line="6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annual maintenance fees under the Editas License Agreement are recorded as research and development expense. Annual patent costs are expensed as incurred. In addition, the Company is required to make certain development, regulatory and commercial milestone payments to Editas upon the achievement of specified milestones. The triggering of these milestone payments was not probable and, as such, no amounts were recognized for the three months ended March 31, 2020.</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Bio Palette</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March 2019, the Company entered into a license agreement with Bio Palette pursuant to which Beam received an exclusive (even as to Bio Palette), sublicensable license under certain patent rights related to base editing owned or controlled by Bio Palette to exploit products for the treatment of human disease throughout the world, but excluding products in the microbiome field in Asia, or the Bio Palette License Agreement. In addition, the Company granted Bio Palette an exclusive (even as to Beam) license under certain patent rights related to base editing and gene editing owned or controlled by the Company to exploit products in the microbiome field in Asia. Each party to the agreement retains non-exclusive rights to develop and manufacture products in the microbiome field worldwide for the sole purpose of exploiting those products in its own territory. Each party agrees to certain coordination obligations in the microbiome field if either party determines not to exploit their rights in such field.</w:t>
      </w:r>
    </w:p>
    <w:p>
      <w:pPr>
        <w:spacing w:after="0" w:line="6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Upon the execution of the Bio Palette License Agreement, the Company paid Bio Palette an upfront fee of $0.5 million and issued to Bio Palette 16,725 shares of its common stock valued at $0.1 million, which were recorded as research and development expense for the three months ended March 31, 2019. Upon the issuance of a certain Bio Palette patent in the United States, the Company will pay a milestone payment of $2.0 million and will issue to Bio Palette 39,025 shares of its common stock valued at $0.3 million. As of March 31, 2020, the Company determined that the patent was probable of issuance and has recognized $2.3 million as research and development expense for the three months ended March 31,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Prime Medicine</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September 2019, the Company entered into a Collaboration and License Agreement with Prime Medicine, Inc., or Prime Medicine, to research and develop a novel gene editing technology developed by one of Beam’s founders. Under the terms of the agreement, the Company granted Prime Medicine a non-exclusive license to certain of its CRISPR technology (including Cas12b), delivery technology and certain other technology controlled by Beam to develop and commercialize gene editing products for the treatment of human diseases. The Company is not currently using the intellectual property licensed from Prime Medicine in any of its current programs, but it is required to use commercially reasonable effort to develop new product candidates using the intellectual property licensed from Prime Medicine. Additionally, each party granted to the other party certain exclusive and non-exclusive licenses to certain technology developed after the effective date of the agreement and controlled by the granting party or jointly owned by the parties. Each party has an obligation to assign rights in certain technology developed under the collaboration to the other party.</w:t>
      </w:r>
    </w:p>
    <w:p>
      <w:pPr>
        <w:spacing w:after="0" w:line="57" w:lineRule="exact"/>
        <w:rPr>
          <w:sz w:val="20"/>
          <w:szCs w:val="20"/>
          <w:color w:val="auto"/>
        </w:rPr>
      </w:pPr>
    </w:p>
    <w:p>
      <w:pPr>
        <w:ind w:right="1620"/>
        <w:spacing w:after="0" w:line="375" w:lineRule="auto"/>
        <w:rPr>
          <w:sz w:val="20"/>
          <w:szCs w:val="20"/>
          <w:color w:val="auto"/>
        </w:rPr>
      </w:pPr>
      <w:r>
        <w:rPr>
          <w:rFonts w:ascii="Arial" w:cs="Arial" w:eastAsia="Arial" w:hAnsi="Arial"/>
          <w:sz w:val="18"/>
          <w:szCs w:val="18"/>
          <w:color w:val="auto"/>
        </w:rPr>
        <w:t xml:space="preserve">As of March 31, 2020, the Company determined that milestones and royalties under the agreement were not probable of recognition. </w:t>
      </w:r>
      <w:r>
        <w:rPr>
          <w:rFonts w:ascii="Arial" w:cs="Arial" w:eastAsia="Arial" w:hAnsi="Arial"/>
          <w:sz w:val="18"/>
          <w:szCs w:val="18"/>
          <w:b w:val="1"/>
          <w:bCs w:val="1"/>
          <w:i w:val="1"/>
          <w:iCs w:val="1"/>
          <w:color w:val="auto"/>
        </w:rPr>
        <w:t>Verve</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April 2019, Beam entered into a Collaboration and License Agreement with Verve Therapeutics, Inc., or Verve, to investigate gene editing strategies to modify genes associated with an increased risk of coronary diseases. Under the terms of the agreement, the Company granted Verve an exclusive license to certain base editor technology and certain delivery technology, and improvements and Verve granted Beam a non-exclusive license under certain know-how and patents controlled by Verve, an interest in joint collaboration technology and an exclusive license (except as to Verve) under certain delivery technology.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the Company determined that milestones and royalties under the agreement were not probable of recognition.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and common stock</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the three months ended March 31, 2020, the Company authorized preferred stock issuable of 25,000,000 shares and increased its authorized common stock issuable to 250,000,000 shares, both with a $0.01 par value per share.</w:t>
      </w:r>
    </w:p>
    <w:p>
      <w:pPr>
        <w:spacing w:after="0" w:line="6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Company’s board of directors approved a one-for-4.4843 reverse stock split of its common stock and stock options and a proportional adjustment to the existing conversion ratios for the Company’s redeemable convertible preferred stock effective as of January 24, 2020. Accordingly, all common stock shares, per share amounts, and additional paid-in capital amounts for all periods presented in the accompanying condensed consolidated financial statements and notes thereto have been retroactively adjusted, where applicable, to reflect the reverse stock split.</w:t>
      </w:r>
    </w:p>
    <w:p>
      <w:pPr>
        <w:spacing w:after="0" w:line="4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February 2020, the Company completed its IPO in which the Company issued and sold 12,176,471 shares of its common stock, including 1,588,235 shares pursuant to the full exercise of the underwriters’ option to purchase additional shares, at a public offering price of $17.00 per share, for aggregate gross proceeds of $207.0 million. The Company received approximately $188.3 million in net proceeds after deducting underwriting discounts and estimated offering expenses payable by the Company. In connection with the IPO, all outstanding shares of Preferred Stock converted into 29,127,523 shares of the Company’s common stock.</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11. Stock option and grant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and grant plan</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2017 Stock Option and Grant Plan adopted by the board of directors in June 2017 and amended in February and May 2019, provides for the grant of qualified incentive stock options and nonqualified stock options, restricted stock or other awards to the Company’s employees, officers, directors, advisors, and outside consultants for the issuance or purchase of shares of the Company’s common stock.</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February 2020, the Company’s board of directors adopted the Beam Therapeutics Inc. 2019 Equity Incentive Plan, or the 2019 Plan, and, subsequent to the IPO, all equity-based awards will be granted under the 2019 Plan. The 2019 Plan provides for grant of qualified and nonqualified stock options, stock appreciation rights, restricted and unrestricted stock and stock units, performance awards, and other share-based awards to the Company’s employees, officers, directors, advisors, and outside consultants. As of March 31, 2020, the Company had 8,431,743 shares reserved and 2,768,145 shares available for future issuance under the 2019 Plan.</w:t>
      </w:r>
    </w:p>
    <w:p>
      <w:pPr>
        <w:spacing w:after="0" w:line="8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Stock-based compensation expense recorded as research and development and general and administrative expenses in the condensed consolidated statements of operations and other comprehensive loss is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6"/>
          </w:tcPr>
          <w:p>
            <w:pPr>
              <w:jc w:val="right"/>
              <w:ind w:right="756"/>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644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36"/>
              <w:spacing w:after="0" w:line="155"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336"/>
              <w:spacing w:after="0" w:line="155" w:lineRule="exact"/>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1,773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1,019</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1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2,792</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1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4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40" w:type="dxa"/>
            <w:vAlign w:val="bottom"/>
          </w:tcPr>
          <w:p>
            <w:pPr>
              <w:spacing w:after="0"/>
              <w:rPr>
                <w:sz w:val="20"/>
                <w:szCs w:val="20"/>
                <w:color w:val="auto"/>
              </w:rPr>
            </w:pPr>
            <w:r>
              <w:rPr>
                <w:rFonts w:ascii="Arial" w:cs="Arial" w:eastAsia="Arial" w:hAnsi="Arial"/>
                <w:sz w:val="18"/>
                <w:szCs w:val="18"/>
                <w:color w:val="auto"/>
              </w:rPr>
              <w:t>A summary of option activity under the Company’s equity award plans:</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center"/>
              <w:ind w:right="336"/>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vMerge w:val="restart"/>
          </w:tcPr>
          <w:p>
            <w:pPr>
              <w:jc w:val="center"/>
              <w:ind w:right="296"/>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center"/>
              <w:ind w:right="316"/>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center"/>
              <w:ind w:right="316"/>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71"/>
        </w:trPr>
        <w:tc>
          <w:tcPr>
            <w:tcW w:w="6440" w:type="dxa"/>
            <w:vAlign w:val="bottom"/>
            <w:tcBorders>
              <w:bottom w:val="single" w:sz="8" w:color="CFF0FC"/>
            </w:tcBorders>
          </w:tcPr>
          <w:p>
            <w:pPr>
              <w:spacing w:after="0"/>
              <w:rPr>
                <w:sz w:val="14"/>
                <w:szCs w:val="14"/>
                <w:color w:val="auto"/>
              </w:rPr>
            </w:pPr>
          </w:p>
        </w:tc>
        <w:tc>
          <w:tcPr>
            <w:tcW w:w="1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w w:val="88"/>
              </w:rPr>
              <w:t>of options</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4,791,047</w:t>
            </w:r>
          </w:p>
        </w:tc>
        <w:tc>
          <w:tcPr>
            <w:tcW w:w="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64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949,640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56"/>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(59,305)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Forfeitures</w:t>
            </w:r>
          </w:p>
        </w:tc>
        <w:tc>
          <w:tcPr>
            <w:tcW w:w="1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(17,784)</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400" w:type="dxa"/>
            <w:vAlign w:val="bottom"/>
            <w:tcBorders>
              <w:bottom w:val="single" w:sz="8" w:color="CFF0FC"/>
            </w:tcBorders>
          </w:tcPr>
          <w:p>
            <w:pPr>
              <w:jc w:val="right"/>
              <w:ind w:right="56"/>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2020</w:t>
            </w:r>
          </w:p>
        </w:tc>
        <w:tc>
          <w:tcPr>
            <w:tcW w:w="1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5,663,598</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ind w:right="56"/>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color w:val="auto"/>
              </w:rPr>
              <w:t>Exercisable as of March 31, 2020</w:t>
            </w:r>
          </w:p>
        </w:tc>
        <w:tc>
          <w:tcPr>
            <w:tcW w:w="1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vMerge w:val="restart"/>
          </w:tcPr>
          <w:p>
            <w:pPr>
              <w:jc w:val="right"/>
              <w:ind w:right="56"/>
              <w:spacing w:after="0"/>
              <w:rPr>
                <w:sz w:val="20"/>
                <w:szCs w:val="20"/>
                <w:color w:val="auto"/>
              </w:rPr>
            </w:pPr>
            <w:r>
              <w:rPr>
                <w:rFonts w:ascii="Arial" w:cs="Arial" w:eastAsia="Arial" w:hAnsi="Arial"/>
                <w:sz w:val="18"/>
                <w:szCs w:val="18"/>
                <w:color w:val="auto"/>
              </w:rPr>
              <w:t>1.66</w:t>
            </w:r>
          </w:p>
        </w:tc>
        <w:tc>
          <w:tcPr>
            <w:tcW w:w="0" w:type="dxa"/>
            <w:vAlign w:val="bottom"/>
          </w:tcPr>
          <w:p>
            <w:pPr>
              <w:spacing w:after="0" w:line="20" w:lineRule="exact"/>
              <w:rPr>
                <w:sz w:val="1"/>
                <w:szCs w:val="1"/>
                <w:color w:val="auto"/>
              </w:rPr>
            </w:pPr>
          </w:p>
        </w:tc>
      </w:tr>
      <w:tr>
        <w:trPr>
          <w:trHeight w:val="210"/>
        </w:trPr>
        <w:tc>
          <w:tcPr>
            <w:tcW w:w="644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1,097,819</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weighted-average grant date fair value per share of options granted in the three months ended March 31, 2020 was $12.06. As of March 31, 2020, there was $24.8 million of unrecognized compensation cost related to unvested stock options, which is expected to be recognized over a weighted-average period of approximately 2.66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Company’s restricted stock activity: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ind w:right="259"/>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84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46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5"/>
              </w:rPr>
              <w:t>date fair</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ind w:right="259"/>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as of December 31, 2019</w:t>
            </w:r>
          </w:p>
        </w:tc>
        <w:tc>
          <w:tcPr>
            <w:tcW w:w="168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2,655,806</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Issued</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(387,866)</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Unvested as of March 31, 2020</w:t>
            </w:r>
          </w:p>
        </w:tc>
        <w:tc>
          <w:tcPr>
            <w:tcW w:w="16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2,267,940</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March 31, 2020, there was approximately $6.4 million of unrecognized stock-based compensation expense related to restricted stock that is expected to vest. These costs are expected to be recognized over a weighted-average remaining vesting period of 1.6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 attributable to common stockholders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noted above, for periods in which the Company reports a net loss attributable to common stockholders, potentially dilutive securities have been excluded from the computation of diluted net loss per share as their effects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ind w:right="120"/>
        <w:spacing w:after="0" w:line="277" w:lineRule="auto"/>
        <w:rPr>
          <w:sz w:val="20"/>
          <w:szCs w:val="20"/>
          <w:color w:val="auto"/>
        </w:rPr>
      </w:pPr>
      <w:r>
        <w:rPr>
          <w:rFonts w:ascii="Arial" w:cs="Arial" w:eastAsia="Arial" w:hAnsi="Arial"/>
          <w:sz w:val="18"/>
          <w:szCs w:val="18"/>
          <w:color w:val="auto"/>
        </w:rPr>
        <w:t>outstanding at period end, from the computation of diluted net loss per share attributable to common stockholders because including them would have had an anti-dilutive effect: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tcBorders>
              <w:bottom w:val="single" w:sz="8" w:color="auto"/>
            </w:tcBorders>
            <w:gridSpan w:val="3"/>
          </w:tcPr>
          <w:p>
            <w:pPr>
              <w:jc w:val="right"/>
              <w:ind w:right="754"/>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7720" w:type="dxa"/>
            <w:vAlign w:val="bottom"/>
            <w:tcBorders>
              <w:bottom w:val="single" w:sz="8" w:color="CFF0FC"/>
            </w:tcBorders>
          </w:tcPr>
          <w:p>
            <w:pPr>
              <w:spacing w:after="0"/>
              <w:rPr>
                <w:sz w:val="13"/>
                <w:szCs w:val="13"/>
                <w:color w:val="auto"/>
              </w:rPr>
            </w:pPr>
          </w:p>
        </w:tc>
        <w:tc>
          <w:tcPr>
            <w:tcW w:w="1660" w:type="dxa"/>
            <w:vAlign w:val="bottom"/>
            <w:tcBorders>
              <w:bottom w:val="single" w:sz="8" w:color="auto"/>
            </w:tcBorders>
          </w:tcPr>
          <w:p>
            <w:pPr>
              <w:jc w:val="right"/>
              <w:ind w:right="67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68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16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29,127,543</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1660" w:type="dxa"/>
            <w:vAlign w:val="bottom"/>
          </w:tcPr>
          <w:p>
            <w:pPr>
              <w:jc w:val="right"/>
              <w:ind w:right="36"/>
              <w:spacing w:after="0"/>
              <w:rPr>
                <w:sz w:val="20"/>
                <w:szCs w:val="20"/>
                <w:color w:val="auto"/>
              </w:rPr>
            </w:pPr>
            <w:r>
              <w:rPr>
                <w:rFonts w:ascii="Arial" w:cs="Arial" w:eastAsia="Arial" w:hAnsi="Arial"/>
                <w:sz w:val="18"/>
                <w:szCs w:val="18"/>
                <w:color w:val="auto"/>
              </w:rPr>
              <w:t>2,267,940</w:t>
            </w:r>
          </w:p>
        </w:tc>
        <w:tc>
          <w:tcPr>
            <w:tcW w:w="180" w:type="dxa"/>
            <w:vAlign w:val="bottom"/>
          </w:tcPr>
          <w:p>
            <w:pPr>
              <w:spacing w:after="0"/>
              <w:rPr>
                <w:sz w:val="19"/>
                <w:szCs w:val="19"/>
                <w:color w:val="auto"/>
              </w:rPr>
            </w:pPr>
          </w:p>
        </w:tc>
        <w:tc>
          <w:tcPr>
            <w:tcW w:w="1680" w:type="dxa"/>
            <w:vAlign w:val="bottom"/>
          </w:tcPr>
          <w:p>
            <w:pPr>
              <w:jc w:val="right"/>
              <w:ind w:right="54"/>
              <w:spacing w:after="0"/>
              <w:rPr>
                <w:sz w:val="20"/>
                <w:szCs w:val="20"/>
                <w:color w:val="auto"/>
              </w:rPr>
            </w:pPr>
            <w:r>
              <w:rPr>
                <w:rFonts w:ascii="Arial" w:cs="Arial" w:eastAsia="Arial" w:hAnsi="Arial"/>
                <w:sz w:val="18"/>
                <w:szCs w:val="18"/>
                <w:color w:val="auto"/>
              </w:rPr>
              <w:t>3,826,370</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Outstanding options to purchase common stock</w:t>
            </w:r>
          </w:p>
        </w:tc>
        <w:tc>
          <w:tcPr>
            <w:tcW w:w="16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5,663,598</w:t>
            </w:r>
          </w:p>
        </w:tc>
        <w:tc>
          <w:tcPr>
            <w:tcW w:w="180" w:type="dxa"/>
            <w:vAlign w:val="bottom"/>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3,165,049</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7,931,538</w:t>
            </w:r>
          </w:p>
        </w:tc>
        <w:tc>
          <w:tcPr>
            <w:tcW w:w="180" w:type="dxa"/>
            <w:vAlign w:val="bottom"/>
          </w:tcPr>
          <w:p>
            <w:pPr>
              <w:spacing w:after="0"/>
              <w:rPr>
                <w:sz w:val="19"/>
                <w:szCs w:val="19"/>
                <w:color w:val="auto"/>
              </w:rPr>
            </w:pPr>
          </w:p>
        </w:tc>
        <w:tc>
          <w:tcPr>
            <w:tcW w:w="16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36,118,962</w:t>
            </w:r>
          </w:p>
        </w:tc>
      </w:tr>
      <w:tr>
        <w:trPr>
          <w:trHeight w:val="20"/>
        </w:trPr>
        <w:tc>
          <w:tcPr>
            <w:tcW w:w="77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summarizes the computation of basic and diluted net loss per share attributable to common stockholders of the Company (in thousands except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684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77"/>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5"/>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9"/>
        </w:trPr>
        <w:tc>
          <w:tcPr>
            <w:tcW w:w="6840" w:type="dxa"/>
            <w:vAlign w:val="bottom"/>
          </w:tcPr>
          <w:p>
            <w:pPr>
              <w:ind w:left="260"/>
              <w:spacing w:after="0"/>
              <w:rPr>
                <w:sz w:val="20"/>
                <w:szCs w:val="20"/>
                <w:color w:val="auto"/>
              </w:rPr>
            </w:pPr>
            <w:r>
              <w:rPr>
                <w:rFonts w:ascii="Arial" w:cs="Arial" w:eastAsia="Arial" w:hAnsi="Arial"/>
                <w:sz w:val="18"/>
                <w:szCs w:val="18"/>
                <w:color w:val="auto"/>
              </w:rPr>
              <w:t>Net loss attributable to common stockholders</w:t>
            </w:r>
          </w:p>
        </w:tc>
        <w:tc>
          <w:tcPr>
            <w:tcW w:w="12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(31,735)</w:t>
            </w:r>
          </w:p>
        </w:tc>
        <w:tc>
          <w:tcPr>
            <w:tcW w:w="5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(16,573)</w:t>
            </w:r>
          </w:p>
        </w:tc>
      </w:tr>
      <w:tr>
        <w:trPr>
          <w:trHeight w:val="229"/>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6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Weighted average number of common shares, basic and diluted</w:t>
            </w:r>
          </w:p>
        </w:tc>
        <w:tc>
          <w:tcPr>
            <w:tcW w:w="8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30,725,077</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5,795,481</w:t>
            </w:r>
          </w:p>
        </w:tc>
      </w:tr>
      <w:tr>
        <w:trPr>
          <w:trHeight w:val="223"/>
        </w:trPr>
        <w:tc>
          <w:tcPr>
            <w:tcW w:w="6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common share attributable to common stockholders, basic and diluted</w:t>
            </w:r>
          </w:p>
        </w:tc>
        <w:tc>
          <w:tcPr>
            <w:tcW w:w="8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w:t>
            </w:r>
          </w:p>
        </w:tc>
      </w:tr>
      <w:tr>
        <w:trPr>
          <w:trHeight w:val="20"/>
        </w:trPr>
        <w:tc>
          <w:tcPr>
            <w:tcW w:w="6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three months ended March 31, 2020 and 2019, the Company recorded a full valuation allowance on federal and state deferred tax assets since management does not forecast the Company to be in a taxable position in the near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the three months ended March 31, 2020 and 2019, the Company made payments of $0.1 million and $0.1 million, respectively, to its three founder shareholders for scientific consulting and other expenses.</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has entered into collaboration and license agreements with Prime Medicine and Verve. The Company and Prime Medicine have a common founder and several common board members. The Company and Verve have a common board member. During the three months ended March 31, 2020 and 2019, the Company purchased shares of Verve series A preferred stock valued at $0.8 million and $0.4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evaluated all subsequent events through May 12, 2020, the date that these condensed consolidated financial statements were issued to determine if such events should be reflected in these condensed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amendment</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April 2020, the Company entered into a third amendment of its March 2020 amended lease agreement for laboratory space in Cambridge, Massachusetts. The amended lease commenced in April 2020 and will expire on December 31, 2025. The lease provides an option to extend the lease for two additional two-year periods through December 31, 2029, which were not determined by the Company to be reasonably certain of being exercised. As the commencement date of the leases has not occurred at March 31, 2020, no operating lease ROU asset or lease liability has been recorded in the accompanying condensed consolidated balance sheets for this amendment. The incremental increase in total amount of undiscounted lease payments as a result of the amended lease is approximately $1.1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the related notes to those statements included elsewhere in this Quarterly Report on Form 10-Q. In addition to historical financial information, the following discussion and analysis contains forward-looking statements that involve risks, uncertainties and assumptions. Some of the numbers included herein have been rounded for the convenience of presentation. Our actual results may differ materially from those anticipated in these forward-looking statements as a result of many factors, including those discussed in “Risk Factors” in Part II, Item 1A. and elsewhere in this Quarterly Report on Form 10-Q.</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a biotechnology company committed to creating a new class of precision genetic medicines based on our proprietary base editing technology, with a vision of providing life-long cures to patients suffering from serious diseases. Our proprietary base editing technology potentially enables an entirely new class of precision genetic medicines that targets a single base in the genome without making a double-stranded break in the DNA. This approach uses a chemical reaction designed to create precise, predictable and efficient genetic outcomes at the targeted sequence, which we believe will dramatically increase the impact of gene editing for a broad range of therapeutic applications. By building on the significant recent advances in the field of genetic medicine, we believe we will be able to rapidly advance our portfolio of novel base editing.</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currently advancing a broad, diversified portfolio of base editing programs against distinct editing targets, with each program progressing along a clearly defined scientific path and utilizing the full range of our development capabilities. To unlock the full potential of our base editing technology across a wide range of therapeutic applications, we are pursuing a comprehensive suite of clinically validated delivery modalities in parallel. For a given tissue type, we use the delivery modality with the most compelling biodistribution.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With the global spread of the ongoing COVID-19 pandemic in the first and second quarters of 2020, we have implemented business continuity plans designed to address and mitigate the impact of the COVID-19 pandemic on our business. In March 2020, to protect the health of our employees, and their families and communities, we restricted access to our offices to personnel who must perform critical activities that must be completed on-site, limited the number of such personnel that can be present at our facilities at any one time, and requested that most of our employees work remotely. In May 2020, as restrictions are eased and the number of remote employees is reduced, we expect to incur additional costs to provide a safe working environment to our onsite employees.</w:t>
      </w:r>
    </w:p>
    <w:p>
      <w:pPr>
        <w:spacing w:after="0" w:line="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extent to which the COVID-19 pandemic impacts our business, our corporate development objectives, results of operations and financial condition, including and the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and the effectiveness of actions taken globally to contain and treat the disease. Disruptions to the global economy, disruption of global healthcare systems, and other significant impacts of the COVID-19 pandemic could have a material adverse effect on our business, financial condition, results of operations and growth prospects.</w:t>
      </w:r>
    </w:p>
    <w:p>
      <w:pPr>
        <w:spacing w:after="0" w:line="8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While the COVID-19 pandemic did not significantly impact our business or results of operations during the first quarter of 2020, the length and extent of the pandemic, its consequences, and containment efforts will determine the future impact on our operations and financial condition.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base editing portfolio</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Our programs are organized by delivery modality into three distinct pipelines: electroporation for efficient delivery to blood cells and immune cells ex vivo; lipid nanoparticles, or LNPs, for non-viral in vivo delivery to the liver and potentially other organs in the future; and adeno-associated viral vectors, or AAV, for viral delivery to the eye and central nervous system, or CNS. We have achieved proof-of-concept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with long-term engraftment of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base edited human CD34 cells in mice for our Hereditary Persistence of Fetal Hemoglobin, or HPFH, program. Additionally, in the second quarter of 2020, we have published data on our Makassar precise correction sickle cell program, demonstrating that our adenine base editors, or ABEs, can efficiently convert the causative Hemoglobin S, or HbS, point mutation to HbG-Makassar, a naturally-occurring human variant that does not cause hemoglobin to polymerize, or red cells to sickle. With respect to our liver disease programs, also in the second quarter of 2020, we have shown the ability to directly correct the mutation causing alpha-1 antitrypsin deficiency, providing both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proof of concept for base editing to correct this disease. We have also successfully demonstrated feasibility of base editing with each of our three delivery modalities in relevant cell types for electroporation and AAV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in mice for LNP.</w:t>
      </w:r>
    </w:p>
    <w:p>
      <w:pPr>
        <w:spacing w:after="0" w:line="77"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 xml:space="preserve">Beyond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proofs-of-concept already established, we expect to achieve additional milestones in 2020, which could include engraftment studies with our Makassar corrected CD34+ cells, xenograft models for our CAR-T programs or additional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based editing in our programs using LNP or AAV delivery. If successful, and provided the COVID-19 pandemic does not cause our timelines to slip materially, this will allow us to initiate investigational new drug, or IND, enabling studies beginning in 2020. We expect to submit an initial wave of IND filings beginning in 2021.</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696595</wp:posOffset>
            </wp:positionH>
            <wp:positionV relativeFrom="page">
              <wp:posOffset>294640</wp:posOffset>
            </wp:positionV>
            <wp:extent cx="6163310" cy="2486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16331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modularity of our platform means that establishing preclinical proof-of-concept of base editing using a particular delivery modality will potentially reduce risk and accelerate the timeline for additional product candidates that we may develop targeting the same tissue. In some cases, a new product candidate may only require changing the guide RNA. Subsequent programs using the same delivery modality can also take advantage of shared capabilities and resources of earlier programs. In this way, we view each delivery modality as its own unique pipeline, where the success of any one program may pave the way for a large number of additional programs to progress quickly to the clinic.</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 vivo </w:t>
      </w:r>
      <w:r>
        <w:rPr>
          <w:rFonts w:ascii="Arial" w:cs="Arial" w:eastAsia="Arial" w:hAnsi="Arial"/>
          <w:sz w:val="18"/>
          <w:szCs w:val="18"/>
          <w:b w:val="1"/>
          <w:bCs w:val="1"/>
          <w:color w:val="auto"/>
        </w:rPr>
        <w:t>electroporation for hematologic diseases and oncology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Sickle Cell Disease and Beta-Thalassemia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using base editing to pursue two complementary approaches to treating sickle cell disease and one to treat beta-thalassemia:</w:t>
      </w:r>
    </w:p>
    <w:p>
      <w:pPr>
        <w:spacing w:after="0" w:line="225" w:lineRule="exact"/>
        <w:rPr>
          <w:sz w:val="20"/>
          <w:szCs w:val="20"/>
          <w:color w:val="auto"/>
        </w:rPr>
      </w:pPr>
    </w:p>
    <w:p>
      <w:pPr>
        <w:ind w:left="1120" w:right="100" w:hanging="370"/>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differentiated approach to elevating fetal hemoglobin which could be used in treatments for both sickle cell disease and beta-thalassemia; and</w:t>
      </w:r>
    </w:p>
    <w:p>
      <w:pPr>
        <w:spacing w:after="0" w:line="170"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novel approach to directly correcting the sickle mutation.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Approach 1: Recreate naturally occurring protective HPFH mutations to elevate HbF</w:t>
      </w:r>
    </w:p>
    <w:p>
      <w:pPr>
        <w:spacing w:after="0" w:line="11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beneficial effects of fetal hemoglobin tetramer, or HbF, which is the fetal form of hemoglobin, to compensate for mutations in adult hemoglobin were first identified in individuals with a condition known as HPFH. Beta-thalassemia or sickle cell disease patients who also have HPFH are asymptomatic or experience a much milder form of their disease. HPFH is caused by single base changes in the regulatory region of the genes, HBG1 and HBG2, which prevents binding of one or more repressor proteins and increases the expression of gamma globin, which is half of the HbF tetramer.</w:t>
      </w:r>
    </w:p>
    <w:p>
      <w:pPr>
        <w:spacing w:after="0" w:line="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Using base editing, we reproduce these specific, naturally occurring base changes in the regulatory elements of the gamma globin genes, preventing binding of repressor proteins and leading to re-activation of gamma globin expression, and thus the increase in gamma globin levels. Our in vitro and in vivo characterization shows ex vivo delivery of ABEs achieved precise editing, resulting in long-term engraftment and therapeutically relevant increases in target gene expression.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in vitro characterization:</w:t>
      </w:r>
    </w:p>
    <w:p>
      <w:pPr>
        <w:spacing w:after="0" w:line="225" w:lineRule="exact"/>
        <w:rPr>
          <w:sz w:val="20"/>
          <w:szCs w:val="20"/>
          <w:color w:val="auto"/>
        </w:rPr>
      </w:pPr>
    </w:p>
    <w:p>
      <w:pPr>
        <w:ind w:left="1120" w:hanging="370"/>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demonstrated optimization of editing achieves &gt;90% editing in healthy donor CD34 cells in vitro.</w:t>
      </w:r>
    </w:p>
    <w:p>
      <w:pPr>
        <w:spacing w:after="0" w:line="225"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demonstrated gamma globin upregulation following erythroid differentiation is highly correlated (R</w:t>
      </w:r>
      <w:r>
        <w:rPr>
          <w:rFonts w:ascii="Arial" w:cs="Arial" w:eastAsia="Arial" w:hAnsi="Arial"/>
          <w:sz w:val="15"/>
          <w:szCs w:val="15"/>
          <w:color w:val="auto"/>
        </w:rPr>
        <w:t>2</w:t>
      </w:r>
      <w:r>
        <w:rPr>
          <w:rFonts w:ascii="Arial" w:cs="Arial" w:eastAsia="Arial" w:hAnsi="Arial"/>
          <w:sz w:val="18"/>
          <w:szCs w:val="18"/>
          <w:color w:val="auto"/>
        </w:rPr>
        <w:t>=0.993) with editing rates, where at &gt;90% editing we achieve &gt;60% increase in gamma globin in healthy donor CD34+ cells.</w:t>
      </w:r>
    </w:p>
    <w:p>
      <w:pPr>
        <w:spacing w:after="0" w:line="170" w:lineRule="exact"/>
        <w:rPr>
          <w:rFonts w:ascii="Arial" w:cs="Arial" w:eastAsia="Arial" w:hAnsi="Arial"/>
          <w:sz w:val="18"/>
          <w:szCs w:val="18"/>
          <w:color w:val="auto"/>
        </w:rPr>
      </w:pPr>
    </w:p>
    <w:p>
      <w:pPr>
        <w:ind w:left="1120" w:right="380" w:hanging="370"/>
        <w:spacing w:after="0" w:line="308" w:lineRule="auto"/>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Successful editing of CD34+ cells from a homozygous sickle cell disease patient, demonstrating a greater than 60% increase in gamma globin levels with a concomitant decrease to less than 40% sickle beta globin levels in vitro after in vitro differentiation.</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In vivo performance:</w:t>
      </w:r>
    </w:p>
    <w:p>
      <w:pPr>
        <w:spacing w:after="0" w:line="225" w:lineRule="exact"/>
        <w:rPr>
          <w:sz w:val="20"/>
          <w:szCs w:val="20"/>
          <w:color w:val="auto"/>
        </w:rPr>
      </w:pPr>
    </w:p>
    <w:p>
      <w:pPr>
        <w:ind w:left="1120" w:right="160" w:hanging="370"/>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demonstrated that edited CD34+ cells from a healthy donor engraft with high chimerism and maintain &gt;90% editing after 16 weeks in immunocompromised mice.</w:t>
      </w:r>
    </w:p>
    <w:p>
      <w:pPr>
        <w:spacing w:after="0" w:line="170" w:lineRule="exact"/>
        <w:rPr>
          <w:rFonts w:ascii="Arial" w:cs="Arial" w:eastAsia="Arial" w:hAnsi="Arial"/>
          <w:sz w:val="18"/>
          <w:szCs w:val="18"/>
          <w:color w:val="auto"/>
        </w:rPr>
      </w:pPr>
    </w:p>
    <w:p>
      <w:pPr>
        <w:ind w:left="1120" w:right="60" w:hanging="370"/>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demonstrated after 16-week engraftment that these cells lead to successful multilineage reconstitution with &gt;90% base editing achieved in sorted human HSPCs, myeloid, lymphoid and erythroid cells.</w:t>
      </w:r>
    </w:p>
    <w:p>
      <w:pPr>
        <w:spacing w:after="0" w:line="170" w:lineRule="exact"/>
        <w:rPr>
          <w:rFonts w:ascii="Arial" w:cs="Arial" w:eastAsia="Arial" w:hAnsi="Arial"/>
          <w:sz w:val="18"/>
          <w:szCs w:val="18"/>
          <w:color w:val="auto"/>
        </w:rPr>
      </w:pP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replicated these findings with cells from a second donor at 18 weeks post-engraftment.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Approach 2: Direct correction of the sickle cell point mutation</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second base editing approach for sickle cell disease is a direct correction of the causative HbS point mutation at position 6 of the beta globin gene. By making a single A-to-G edit, we have demonstrated in primary human CD34+ cells, isolated from sickle cell disease patients, the ability to create the naturally occurring Makassar variant of hemoglobin. This variant, which was originally identified in humans in 1970, has the same function as the wild-type variant and does not cause sickle cell disease. Distinct from other approaches, cells that are successfully edited in this way are fully corrected, no longer containing the sickle protein.</w:t>
      </w:r>
    </w:p>
    <w:p>
      <w:pPr>
        <w:spacing w:after="0" w:line="8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Using our ABE platform to edit CD34+ hematopoietic stem and progenitor cells, or HSPCs, isolated from donors with sickle cell disease, we achieved greater than 80% correction of the HbS point mutation to the HbG-Makassar variant, following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erythroid differentiation. As expected, we observed the simultaneous reduction of HbS to less than 20% of control levels. In addition, more than 70% of erythroid colonies derived from edited patient cells showed biallelic editing, with 20% monoallelic, and 2% unedited. Further, the correction of the HbS protein to the HbG-Makassar variant was shown to very significantly reduce the propensity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differentiated erythroid cells to sickle when subjected to hypoxia. These findings represent therapeutic levels of correction and support advancement of this program to potentially address the underlying genetic cause of sickle cell disease. Published modeling studies suggest that 20% correction of HbS may be sufficient to cure the disease.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 vivo </w:t>
      </w:r>
      <w:r>
        <w:rPr>
          <w:rFonts w:ascii="Arial" w:cs="Arial" w:eastAsia="Arial" w:hAnsi="Arial"/>
          <w:sz w:val="18"/>
          <w:szCs w:val="18"/>
          <w:b w:val="1"/>
          <w:bCs w:val="1"/>
          <w:color w:val="auto"/>
        </w:rPr>
        <w:t>electroporation for multiplex editing of advanced cell therapies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CAR-T Cell Therapies in Immunology/Oncology</w:t>
      </w:r>
    </w:p>
    <w:p>
      <w:pPr>
        <w:spacing w:after="0" w:line="11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We believe that base editing is an ideal tool to simultaneously multiplex edit a large number of genes, without chromosomal rearrangements, to endow allogeneic CAR-T cells with a combination of features that may dramatically enhance their therapeutic potential.</w:t>
      </w:r>
    </w:p>
    <w:p>
      <w:pPr>
        <w:spacing w:after="0" w:line="3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proof-of-concept experiments demonstrate the ability of base editing to make simultaneous multiplex edits with very high efficiencies (85% to 95%) and without the generation of chromosomal rearrangements. In these experiments, we saw no significant loss of editing the efficiency from a single edit to a simultaneous triple edit. The high level of genetic editing resulted in the expected loss of expression of the corresponding proteins on the surface of the cells, which demonstrates that 90% of cells achieved complete loss of CD3 (TRAC gene) and of ß2M proteins.</w:t>
      </w:r>
    </w:p>
    <w:p>
      <w:pPr>
        <w:spacing w:after="0" w:line="6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Importantly, no chromosomal rearrangements were seen, as detected by a sensitive method (UDiTaS</w:t>
      </w:r>
      <w:r>
        <w:rPr>
          <w:rFonts w:ascii="Arial" w:cs="Arial" w:eastAsia="Arial" w:hAnsi="Arial"/>
          <w:sz w:val="15"/>
          <w:szCs w:val="15"/>
          <w:color w:val="auto"/>
        </w:rPr>
        <w:t>TM</w:t>
      </w:r>
      <w:r>
        <w:rPr>
          <w:rFonts w:ascii="Arial" w:cs="Arial" w:eastAsia="Arial" w:hAnsi="Arial"/>
          <w:sz w:val="18"/>
          <w:szCs w:val="18"/>
          <w:color w:val="auto"/>
        </w:rPr>
        <w:t>) following editing with the C base editor. By contrast, in Cas9 nuclease-treated cells, chromosomal rearrangements were readily detected.</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Notably, nuclease-treated cells also demonstrated a growth deficit compared to controls, as the number of simultaneous edits rises. By contrast, base edited cells grew normally, consistent with a potentially more efficient manufacturing process for base edited cells.</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Finally, the triple-edited cells were highly functional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that measured secreted interferon gamma, a biomarker of T cell activity. High levels of interferon were only released after the CAR-T cells interacted with cells expressing the targeted antigen and not with cells lacking the antigen, demonstrating the functional recognition of the antigen by the CAR.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Non-Viral delivery for liver diseases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Alpha-1 Antitrypsin Deficiency</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With the high efficiency and precision of our base editors, we aim to utilize our ABEs to enable the programmable conversion of A-to-T and G-to-C base pairs and precisely correct the E342K point mutation, also referred to as the PiZ mutation or the PiZ allele, back to the wild type sequence.</w:t>
      </w:r>
    </w:p>
    <w:p>
      <w:pPr>
        <w:spacing w:after="0" w:line="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a recent study, we engineered novel ABEs and guide RNAs capable of correcting the PiZ mutation, and then applied a proprietary non-viral lipid nanoparticle formulation to deliver the optimized reagents to the livers of PiZ transgenic mice. This direct editing approach resulted in an average of 16.9% correction of beneficial alleles at 7 days and 28.8% at three months. This significant increase over the period suggests that corrected hepatocytes may have a proliferative advantage relative to uncorrected cells. In addition, treated mice demonstrate decreased alpha-1 antitrypsin, or A1AT, globule burden within the liver and a durable, significant increase in serum A1AT active protein at three months, roughly 4.9-fold higher than in controls, levels which we believe would be therapeutic if achieved in patients. These data indicate the potential for base editing to treat both lung and liver manifestations of Alpha-1 antitrypsin deficiency, supporting the therapeutic opportunity for base editing in treating this disease.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Glycogen Storage Disease 1a</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approach to treating patients with glycogen storage disease 1a, or GSD1a, is to apply base editing via LNP delivery to repair the two most prevalent mutations that cause the disease, R83C and Q347X. It is estimated that these two-point mutations account for 900 and 500 patients, respectively, in the United States, representing approximately 59% of all GSD1a patients. Animal studies have shown that as little as 11% of normal G6Pase activity in liver cells is sufficient to restore fasting glucose; however, this level must be maintained in order to preserve glucose control and alleviate other serious, and potentially fatal, GSD1a sequelae</w:t>
      </w:r>
    </w:p>
    <w:p>
      <w:pPr>
        <w:spacing w:after="0" w:line="8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have identified product candidates that can correct up to 80% of the alleles in cells harboring the Q347X point mutation and approximately 60% of the alleles in cells harboring the R83C mutation as shown in the figures below. Correction of at least 11% is expected to be clinically relevant and potentially disease modifying for GSD1a patients.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Viral delivery for ocular and CNS disorders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Stargardt Disease</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most prevalent mutation in the ABCA4 gene that leads to Stargardt disease is the G1961E point mutation. Approximately 5,500 individuals in the United States are affected by this mutation. Our base editing approach is to repair the G1961E point mutation in the ABCA4 gene. Disease modeling using tiny spot stimuli, or light stimuli through holes that are equivalent in size to a single photoreceptor cell, suggests that only 12%-20% of these cells are sufficient to preserve vision. We anticipate, therefore, that editing percentages in the range of 12%-20% of these cells would be disease-modifying, since each edited cell will be fully corrected and protected from the biochemical defect.</w:t>
      </w:r>
    </w:p>
    <w:p>
      <w:pPr>
        <w:spacing w:after="0" w:line="6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have identified a base editor that is able to edit approximately 45% of the alleles in recombinant cells carrying the human mutated sequence. Given that the base editor is larger than the packaging capacity of a single AAV, we use a split AAV system that delivers the base editor via two AAV vectors. Once inside the cell, the two halves of the editor are recombined to create a functional base editor. In human retinal pigment epithelial cells, or ARPE-19 cells, we have demonstrated approximately 50% editing of a surrogate base positioned immediately adjacent to the target base, which would be present in a diseased cell. If edited, this surrogate base would result in a synonymous change (i.e., no change to the amino acid).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critical accounting policies are those policies which require the most significant judgments and estimates in the preparation of our condensed consolidated financial statements. We have determined that our most critical accounting policies are those relating to stock-based compensation, variable interest entities, fair value measurements, and leases. There have been no significant changes to our existing critical accounting policies discussed in our Annual Report on Form 10-K for the year ended December 31,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were incorporated on January 25, 2017 and commenced operations shortly thereafter. Since our inception, we have devoted substantially all of our resources to building our base editing platform and advancing development of our portfolio of programs, establishing and protecting our intellectual property, conducting research and development activities, organizing and staffing our company, business planning, raising capital and providing general and administrative support for these operations. To date, we have financed our operations primarily through the sales of our redeemable convertible preferred stock and proceeds from our IPO.</w:t>
      </w:r>
    </w:p>
    <w:p>
      <w:pPr>
        <w:spacing w:after="0" w:line="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a development stage company, and all of our programs are at a preclinical stage of development. To date, we have not generated any revenue from product sales and do not expect to generate revenue from the sale of products for the foreseeable future. Since inception we have incurred significant operating losses. Our net losses for the three months ended March 31, 2020 and 2019 were $30.5 million and $13.6 million, respectively. As of March 31, 2020, we had an accumulated deficit of $233.5 million. We expect to continue to incur significant expenses and increasing operating losses in connection with ongoing development activities related to our portfolio of programs as we continue our preclinical development of product candidates; advance these product candidates toward clinical development; further develop our base editing platform; research activities as we seek to discover and develop additional product candidates; maintenance, expansion enforcement, defense, and protection of our intellectual property portfolio; and hiring research and development, clinical and commercial personnel. In addition, we expect to incur additional costs associated with operating as a public company.</w:t>
      </w:r>
    </w:p>
    <w:p>
      <w:pPr>
        <w:spacing w:after="0" w:line="5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a result of these anticipated expenditures, we will need additional financing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licensing arrangements. We may be unable to raise additional funds or enter into such other agreements when needed on favorable terms or at all. Our inability to raise capital as and when needed would have a negative impact on our financial condition and our ability to pursue our business strategy. We can give no assurance that we will be able to secure such additional sources of funds to support our operations, or, if such funds are available to us, that such additional funding will be sufficient to meet our needs.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consist of costs incurred in performing research and development activities, which include:</w:t>
      </w:r>
    </w:p>
    <w:p>
      <w:pPr>
        <w:spacing w:after="0" w:line="225" w:lineRule="exact"/>
        <w:rPr>
          <w:sz w:val="20"/>
          <w:szCs w:val="20"/>
          <w:color w:val="auto"/>
        </w:rPr>
      </w:pPr>
    </w:p>
    <w:p>
      <w:pPr>
        <w:ind w:left="740" w:right="34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to obtain licenses to intellectual property, such as those with Harvard, Broad Institute, and Editas, and related future payments should certain success, development and regulatory milestones be achieved;</w:t>
      </w:r>
    </w:p>
    <w:p>
      <w:pPr>
        <w:spacing w:after="0" w:line="170" w:lineRule="exact"/>
        <w:rPr>
          <w:rFonts w:ascii="Arial" w:cs="Arial" w:eastAsia="Arial" w:hAnsi="Arial"/>
          <w:sz w:val="18"/>
          <w:szCs w:val="18"/>
          <w:color w:val="auto"/>
        </w:rPr>
      </w:pPr>
    </w:p>
    <w:p>
      <w:pPr>
        <w:ind w:left="740" w:right="80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personnel-related expenses, including salaries, bonuses, benefits and stock-based compensation for employees engaged in research and development functions;</w:t>
      </w:r>
    </w:p>
    <w:p>
      <w:pPr>
        <w:spacing w:after="0" w:line="170" w:lineRule="exact"/>
        <w:rPr>
          <w:rFonts w:ascii="Arial" w:cs="Arial" w:eastAsia="Arial" w:hAnsi="Arial"/>
          <w:sz w:val="18"/>
          <w:szCs w:val="18"/>
          <w:color w:val="auto"/>
        </w:rPr>
      </w:pPr>
    </w:p>
    <w:p>
      <w:pPr>
        <w:ind w:left="740" w:right="6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incurred in connection with the discovery and preclinical development of our research programs, including under agreements with third parties, such as consultants, contractors and contract research organizations;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developing and validating our manufacturing process for use in our preclinical studies and future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laboratory supplies and research materials;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w:t>
      </w:r>
    </w:p>
    <w:p>
      <w:pPr>
        <w:spacing w:after="0" w:line="22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We expense research and development costs as incurred. Advance payments that we make for goods or services to be received in the future for use in research and development activities are recorded as prepaid expenses. The prepaid amounts are expensed as the benefits are consumed.</w:t>
      </w:r>
    </w:p>
    <w:p>
      <w:pPr>
        <w:spacing w:after="0" w:line="1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In the early phases of development, our research and development costs are often devoted to product platform and proof-of-concept studies that are not necessarily allocable to a specific target, therefore, we have not yet begun tracking our expenses on a program-by-program basis.</w:t>
      </w:r>
    </w:p>
    <w:p>
      <w:pPr>
        <w:spacing w:after="0" w:line="38"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We expect that our research and development expenses will increase substantially in connection with our planned preclinical and future clinical development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intellectual property, business development, finance, and administrative functions. General and administrative expenses also include legal fees relating to intellectual property and corporate matters, professional fees for accounting, auditing, tax and consulting services, insurance costs, travel, and direct and allocated facility related expenses and other operating costs.</w:t>
      </w:r>
    </w:p>
    <w:p>
      <w:pPr>
        <w:spacing w:after="0" w:line="79"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We anticipate that our general and administrative expenses will increase in the future to support increased research and development activities. We also expect to incur increased costs associated with being a public company, including costs of accounting, audit, legal, regulatory and tax-related services associated with maintaining compliance with Nasdaq and SEC requirements, director and officer insurance costs, and investor and public relations costs.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together with the change in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Three Months Ended March 31,</w:t>
            </w: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60" w:type="dxa"/>
            <w:vAlign w:val="bottom"/>
            <w:tcBorders>
              <w:bottom w:val="single" w:sz="8" w:color="CFF0FC"/>
            </w:tcBorders>
          </w:tcPr>
          <w:p>
            <w:pPr>
              <w:spacing w:after="0"/>
              <w:rPr>
                <w:sz w:val="13"/>
                <w:szCs w:val="13"/>
                <w:color w:val="auto"/>
              </w:rPr>
            </w:pPr>
          </w:p>
        </w:tc>
        <w:tc>
          <w:tcPr>
            <w:tcW w:w="2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2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Operating expenses:</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21,549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9,179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12,370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6,812</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3,929</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28,361</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13,108</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15,253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(28,355)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(13,108)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Change in fair value of derivative liabilities</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 net</w:t>
            </w:r>
          </w:p>
        </w:tc>
        <w:tc>
          <w:tcPr>
            <w:tcW w:w="2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597</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498</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w:t>
            </w:r>
          </w:p>
        </w:tc>
        <w:tc>
          <w:tcPr>
            <w:tcW w:w="2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(30,458)</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(13,610)</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200" w:type="dxa"/>
            <w:vAlign w:val="bottom"/>
            <w:vMerge w:val="restart"/>
          </w:tcPr>
          <w:p>
            <w:pPr>
              <w:jc w:val="right"/>
              <w:ind w:right="850"/>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6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License revenue</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License revenue was $6.0 thousand for the three months ended March 31, 2020 representing Verve license revenue recorded under the Collaboration and License Agreement executed in April 2019. There was no revenue for the three months ended March 31,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Research and development expenses were $21.5 million and $9.2 million for the three months ended March 31, 2020 and 2019, respectively. The increase of $12.4 million was primarily due to the following:</w:t>
      </w:r>
    </w:p>
    <w:p>
      <w:pPr>
        <w:spacing w:after="0" w:line="170" w:lineRule="exact"/>
        <w:rPr>
          <w:sz w:val="20"/>
          <w:szCs w:val="20"/>
          <w:color w:val="auto"/>
        </w:rPr>
      </w:pPr>
    </w:p>
    <w:p>
      <w:pPr>
        <w:ind w:left="740" w:right="80" w:hanging="368"/>
        <w:spacing w:after="0" w:line="259"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of $5.2 million in lab supplies and outsourced services, $2.8 million in personnel-related costs, and $1.0 million in facility-related costs, including depreciation. These increases were due to the growth in the number of research and development employees from 56 at March 31, 2019 to 110 at March 31, 2020, and their related activities, as well as the expense allocated to research and development related to our leased facilities.</w:t>
      </w:r>
    </w:p>
    <w:p>
      <w:pPr>
        <w:spacing w:after="0" w:line="186" w:lineRule="exact"/>
        <w:rPr>
          <w:rFonts w:ascii="Arial" w:cs="Arial" w:eastAsia="Arial" w:hAnsi="Arial"/>
          <w:sz w:val="18"/>
          <w:szCs w:val="18"/>
          <w:color w:val="auto"/>
        </w:rPr>
      </w:pPr>
    </w:p>
    <w:p>
      <w:pPr>
        <w:ind w:left="740" w:right="660" w:hanging="368"/>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$1.3 million in stock compensation from additional stock option awards due to the increase in the number of research and development employees as well as an increase in the value of our common stock.</w:t>
      </w:r>
    </w:p>
    <w:p>
      <w:pPr>
        <w:spacing w:after="0" w:line="170" w:lineRule="exact"/>
        <w:rPr>
          <w:rFonts w:ascii="Arial" w:cs="Arial" w:eastAsia="Arial" w:hAnsi="Arial"/>
          <w:sz w:val="18"/>
          <w:szCs w:val="18"/>
          <w:color w:val="auto"/>
        </w:rPr>
      </w:pPr>
    </w:p>
    <w:p>
      <w:pPr>
        <w:jc w:val="both"/>
        <w:ind w:left="740" w:right="20" w:hanging="368"/>
        <w:spacing w:after="0" w:line="263"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$1.7 million related to our agreement with Bio Palette. We recorded $0.6 million for the three months ended March 31, 2019 upon signing of the agreement and a $2.3 million milestone for the three months ended March 31, 2020 as the issuance of a certain patent in the United States became probable.</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Research and development expenses will continue to increase as we continue our current research programs, initiate new research programs, continue our preclinical development of product candidates and conduct future clinical trials for any of our product candidates.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General and administrative expenses were $6.8 million and $3.9 million for the three months ended March 31, 2020 and 2019, respectively. The increase of $2.9 million was primarily a result of a $1.2 million increase in personnel related costs due to an increase in general and administrative employees from nine employees as of March 31, 2019 to 24 employees as of March 31, 2020, a $0.7 million increase in stock-based compensation due to an increase in the number of general and administrative employees as well as an increase in the value of our common stock, a $0.7 million increase in other administrative expenses, a $0.3 million increase in intellectual property costs, and a $0.1 million increase in expense allocated to general and administrative expense related to our leased facilities, including depreciation, to support the growing organization.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liabilities</w:t>
      </w:r>
    </w:p>
    <w:p>
      <w:pPr>
        <w:spacing w:after="0" w:line="11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During the three months ended March 31, 2020, we recorded a $2.7 million change in fair value expense related to the success payment liabilities as compared to a $1.0 million expense for the three months ended March 31, 2019. The success payment obligations are still outstanding as of March 31, 2020 and will continue to be revalued at each reporting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interest and other income was primarily due to an increase in interest income from cash proceeds received from our IPO.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Since our inception in January 2017, we have incurred significant operating losses. We expect to incur significant expenses and operating losses for the foreseeable future as we advance the preclinical and, if successful, the clinical development of our programs. To date, we have funded our operations primarily with proceeds from the sales of Preferred Stock and through proceeds from our IPO. As of March 31, 2020, we had $253.4 million in cash, cash equivalents, and marketable securities.</w:t>
      </w:r>
    </w:p>
    <w:p>
      <w:pPr>
        <w:spacing w:after="0" w:line="79"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In February 2020, we completed our IPO in which we issued and sold 12,176,471 shares of our common stock, including 1,588,235 shares of common stock sold pursuant to the underwriters’ full exercise of their option to purchase additional shares, at a public offering price of $17.00 per share. We received net proceeds from our IPO of $188.3 million, after deducting underwriting discounts and estimated offering expenses payable by us.</w:t>
      </w:r>
    </w:p>
    <w:p>
      <w:pPr>
        <w:spacing w:after="0" w:line="4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To date, we have not generated any revenue from product sales and do not expect to generate revenue from the sale of products for the foreseeable future. We anticipate the need for additional capital in order to continue to fund our research and development, including our plans for clinical and preclinical trials and new product development, as well as to fund general operations. As and if necessary, we will seek to raise these additional funds through various potential sources, such as equity and debt financings or through corporate collaboration and license agreements. Especially in light of the COVID-19 pandemic, we can give no assurances that we will be able to secure such additional sources of funds to support our operations, or, if such funds are available to us, that such additional financing will be sufficient to meet our needs. For a more detailed discussion of risks related to COVID-19, please see Part II., Item 1A., </w:t>
      </w:r>
      <w:r>
        <w:rPr>
          <w:rFonts w:ascii="Arial" w:cs="Arial" w:eastAsia="Arial" w:hAnsi="Arial"/>
          <w:sz w:val="17"/>
          <w:szCs w:val="17"/>
          <w:i w:val="1"/>
          <w:iCs w:val="1"/>
          <w:color w:val="auto"/>
        </w:rPr>
        <w:t>Risk factors—Risks related to our relationships with third parties</w:t>
      </w:r>
      <w:r>
        <w:rPr>
          <w:rFonts w:ascii="Arial" w:cs="Arial" w:eastAsia="Arial" w:hAnsi="Arial"/>
          <w:sz w:val="17"/>
          <w:szCs w:val="17"/>
          <w:color w:val="auto"/>
        </w:rPr>
        <w:t>, in this Quarterly Report on Form 10-Q.</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 for the three months ended March 31, 2020 and 2019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0" w:type="dxa"/>
            <w:vAlign w:val="bottom"/>
            <w:tcBorders>
              <w:bottom w:val="single" w:sz="8" w:color="auto"/>
            </w:tcBorders>
            <w:gridSpan w:val="5"/>
          </w:tcPr>
          <w:p>
            <w:pPr>
              <w:jc w:val="right"/>
              <w:ind w:right="69"/>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4"/>
                <w:szCs w:val="14"/>
                <w:color w:val="auto"/>
              </w:rPr>
            </w:pPr>
          </w:p>
        </w:tc>
      </w:tr>
      <w:tr>
        <w:trPr>
          <w:trHeight w:val="156"/>
        </w:trPr>
        <w:tc>
          <w:tcPr>
            <w:tcW w:w="60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20" w:type="dxa"/>
            <w:vAlign w:val="bottom"/>
          </w:tcPr>
          <w:p>
            <w:pPr>
              <w:spacing w:after="0"/>
              <w:rPr>
                <w:sz w:val="13"/>
                <w:szCs w:val="13"/>
                <w:color w:val="auto"/>
              </w:rPr>
            </w:pPr>
          </w:p>
        </w:tc>
      </w:tr>
      <w:tr>
        <w:trPr>
          <w:trHeight w:val="223"/>
        </w:trPr>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7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(27,393)</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8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(25,857)</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(76,792)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(2,354)</w:t>
            </w: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7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193,014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37,908</w:t>
            </w:r>
          </w:p>
        </w:tc>
      </w:tr>
      <w:tr>
        <w:trPr>
          <w:trHeight w:val="223"/>
        </w:trPr>
        <w:tc>
          <w:tcPr>
            <w:tcW w:w="6000" w:type="dxa"/>
            <w:vAlign w:val="bottom"/>
          </w:tcPr>
          <w:p>
            <w:pPr>
              <w:ind w:left="260"/>
              <w:spacing w:after="0"/>
              <w:rPr>
                <w:sz w:val="20"/>
                <w:szCs w:val="20"/>
                <w:color w:val="auto"/>
              </w:rPr>
            </w:pPr>
            <w:r>
              <w:rPr>
                <w:rFonts w:ascii="Arial" w:cs="Arial" w:eastAsia="Arial" w:hAnsi="Arial"/>
                <w:sz w:val="18"/>
                <w:szCs w:val="18"/>
                <w:color w:val="auto"/>
              </w:rPr>
              <w:t>Net change in cash, cash equivalents and restricted cash</w:t>
            </w:r>
          </w:p>
        </w:tc>
        <w:tc>
          <w:tcPr>
            <w:tcW w:w="1720" w:type="dxa"/>
            <w:vAlign w:val="bottom"/>
          </w:tcPr>
          <w:p>
            <w:pPr>
              <w:spacing w:after="0"/>
              <w:rPr>
                <w:sz w:val="19"/>
                <w:szCs w:val="19"/>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88,829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2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9,697</w:t>
            </w:r>
          </w:p>
        </w:tc>
      </w:tr>
      <w:tr>
        <w:trPr>
          <w:trHeight w:val="20"/>
        </w:trPr>
        <w:tc>
          <w:tcPr>
            <w:tcW w:w="6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Net cash used in operating activities for the three months ended March 31, 2020 was $27.4 million, consisting primarily of our net loss of $30.5 million, an increase in prepaid expenses and other current assets of $3.6 million, a decrease in operating lease liabilities of $0.9 million, and decreases in accounts payable and accrued expenses of $0.1 million, offset by noncash charges consisting primarily of stock-based compensation expense of $2.8 million, change in fair value of derivative liabilities of $ 2.7 million, depreciation expense of $1.1 million, and change in operating lease ROU assets of $1.0 million.</w:t>
      </w:r>
    </w:p>
    <w:p>
      <w:pPr>
        <w:spacing w:after="0" w:line="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cash used in operating activities for the three months ended March 31, 2019 was $25.9 million, consisting primarily of our net loss of $13.6 million, a decrease in financing milestone liabilities of $12.0 million resulting from payment of these liabilities, and decreases in accounts payable and accrued expenses of $2.1 million, offset by noncash charges consisting primarily of change in fair value of derivative liabilities of $1.0 million, stock-based compensation expense of $0.9 million, and depreciation expense of $0.7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three months ended March 31, 2020, cash used in investing activities was primarily the net purchases of marketable securities of $73.0 million, in addition to purchases of property and equipment of $3.0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2019, cash used in investing activities was for purchases of property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Net cash provided by financing activities for the three months ended March 31, 2020 consisted primarily of proceeds from our IPO of $192.5 million, net of underwriting discounts, and net proceeds of $1.6 million from equipment financing, offset by the payment of IPO costs of $1.0 million, and repayments of equipment financing of $0.3 million.</w:t>
      </w:r>
    </w:p>
    <w:p>
      <w:pPr>
        <w:spacing w:after="0" w:line="76"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2019 consisted primarily of the net proceeds from the issuance of Series B Preferred Stock of $37.9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operating expenses are expected to increase substantially as we continue to advance our portfolio of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Specifically, our expenses will increase if and as we:</w:t>
      </w:r>
    </w:p>
    <w:p>
      <w:pPr>
        <w:spacing w:after="0" w:line="225" w:lineRule="exact"/>
        <w:rPr>
          <w:sz w:val="20"/>
          <w:szCs w:val="20"/>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our current research programs and our preclinical development of product candidates from our current research programs;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to identify additional research programs and additional product candidates;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preclinical testing and clinical trials for any product candidates we identify and develop;</w:t>
      </w:r>
    </w:p>
    <w:p>
      <w:pPr>
        <w:spacing w:after="0" w:line="225" w:lineRule="exact"/>
        <w:rPr>
          <w:rFonts w:ascii="Arial" w:cs="Arial" w:eastAsia="Arial" w:hAnsi="Arial"/>
          <w:sz w:val="18"/>
          <w:szCs w:val="18"/>
          <w:color w:val="auto"/>
        </w:rPr>
      </w:pPr>
    </w:p>
    <w:p>
      <w:pPr>
        <w:ind w:left="740" w:right="26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 portfolio and provide reimbursement of third-party expenses related to our patent portfolio;</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marketing approvals for any of our product candidates that successfully complete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medicines for which we may obtain marketing approval;</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further develop our base editing platform;</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additional personnel including research and development, clinical and commercial personnel;</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or in-license products, intellectual property, medicines and technologies;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left="740" w:hanging="368"/>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should we decide to do so, build and maintain a commercial-scale current Good Manufacturing Practices, or cGMP, manufacturing facility; and</w:t>
      </w:r>
    </w:p>
    <w:p>
      <w:pPr>
        <w:spacing w:after="0" w:line="248" w:lineRule="exact"/>
        <w:rPr>
          <w:rFonts w:ascii="Arial" w:cs="Arial" w:eastAsia="Arial" w:hAnsi="Arial"/>
          <w:sz w:val="16"/>
          <w:szCs w:val="16"/>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expect that our cash, cash equivalents and marketable securities at March 31, 2020 will enable us to fund our current and planned operating expenses and capital expenditures for at least the next 12 months. We have based these estimates on assumptions that may prove to be imprecise, and we may exhaust our available capital resources sooner that we currently expect. Because of the numerous risks and uncertainties associated with the development our programs, we are unable to estimate the amounts of increased capital outlays and operating expenses associated with completing the research and development of our product candidates.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225" w:lineRule="exact"/>
        <w:rPr>
          <w:sz w:val="20"/>
          <w:szCs w:val="20"/>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continuing to build our base editing platform;</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acquiring licenses for the delivery modalities that will be used with our product candidates;</w:t>
      </w:r>
    </w:p>
    <w:p>
      <w:pPr>
        <w:spacing w:after="0" w:line="225"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preclinical development, laboratory testing, manufacturing and clinical trials for the product candidates we may develop;</w:t>
      </w:r>
    </w:p>
    <w:p>
      <w:pPr>
        <w:spacing w:after="0" w:line="170" w:lineRule="exact"/>
        <w:rPr>
          <w:rFonts w:ascii="Arial" w:cs="Arial" w:eastAsia="Arial" w:hAnsi="Arial"/>
          <w:sz w:val="18"/>
          <w:szCs w:val="18"/>
          <w:color w:val="auto"/>
        </w:rPr>
      </w:pPr>
    </w:p>
    <w:p>
      <w:pPr>
        <w:ind w:left="740" w:right="60" w:hanging="368"/>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and proprietary rights, and defending intellectual property-related claims;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the product candidates we may develop;</w:t>
      </w:r>
    </w:p>
    <w:p>
      <w:pPr>
        <w:spacing w:after="0" w:line="225"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distribution, coverage and reimbursement for any product candidates for which we receive regulatory approval;</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our license agreements and our collaborations;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225" w:lineRule="exact"/>
        <w:rPr>
          <w:rFonts w:ascii="Arial" w:cs="Arial" w:eastAsia="Arial" w:hAnsi="Arial"/>
          <w:sz w:val="18"/>
          <w:szCs w:val="18"/>
          <w:color w:val="auto"/>
        </w:rPr>
      </w:pPr>
    </w:p>
    <w:p>
      <w:pPr>
        <w:ind w:left="740" w:right="360" w:hanging="368"/>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additional collaboration agreements we obtain;</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acquire or in-license products, intellectual property, and technologies;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Debt financing, if available, may involve agreements that include covenants limiting or restricting our ability to take specific actions, such as incurring additional debt, making capital expenditures, or declaring dividends.</w:t>
      </w:r>
    </w:p>
    <w:p>
      <w:pPr>
        <w:spacing w:after="0" w:line="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If we raise funds through additional collaborations, strategic alliances, or licensing arrangements with third parties, we may have to relinquish valuable rights to our technologies, future revenue streams, research programs, or product candidates, or we may have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We can give no assurance that we will be able to secure such additional sources of funds to support our operations, or, if such funds are available to us, that such additional funding will be sufficient to meet our needs.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enter into contracts in the normal course of business with contract research organizations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5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 xml:space="preserve">During the three months ended March 31, 2020, except for the minimum rental commitments disclosed in Note 7, </w:t>
      </w:r>
      <w:r>
        <w:rPr>
          <w:rFonts w:ascii="Arial" w:cs="Arial" w:eastAsia="Arial" w:hAnsi="Arial"/>
          <w:sz w:val="18"/>
          <w:szCs w:val="18"/>
          <w:i w:val="1"/>
          <w:iCs w:val="1"/>
          <w:color w:val="auto"/>
        </w:rPr>
        <w:t>Leases</w:t>
      </w:r>
      <w:r>
        <w:rPr>
          <w:rFonts w:ascii="Arial" w:cs="Arial" w:eastAsia="Arial" w:hAnsi="Arial"/>
          <w:sz w:val="18"/>
          <w:szCs w:val="18"/>
          <w:color w:val="auto"/>
        </w:rPr>
        <w:t>, to the condensed consolidated financial statements in this Quarterly Report on Form 10-Q, there were no significant changes to our contractual obligations and commitments described under Management’s Discussion and Analysis of Financial Condition and Results of Operations in our Annual Report on Form 10-K for the year ended December 31,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the applicable regulations of the SEC.</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exposed to market risk related to changes in interest rates. As of March 31, 2020, we had cash, cash equivalents, and marketable securities of $253.4 million, which consisted of cash, money market funds, commercial paper and corporate notes. 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8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We are not currently exposed to significant market risk related to changes in foreign currency exchange rates; however, we do contract with vendors that are located outside of the United States and may be subject to fluctuations in foreign currency rates. We may enter into additional contracts with vendors located outside of the United States in the future, which may increase our foreign currency exchange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management, with the participation of our principal executive officer and our principal financial officer, evaluated, as of the end of the period covered by this Quarterly Report on Form 10-Q, the effectiveness of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6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Based on the evaluation of our disclosure controls and procedures as of March 31, 2020, our principal executive officer and principal financial officer concluded that our disclosure controls and procedures as of such date are effective at the reasonable assurance level.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March 31, 2020 that have materially affected, or are reasonably likely to materially affect, our internal control over financial reporting. We have not experienced any material impact in our internal controls over financial reporting despite our employees working remotely due to the COVID-19 pandemic. We are continually monitoring and assessing the COVID-19 pandemic on our internal controls including changes to their design and operating effectiveness.</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i w:val="1"/>
          <w:iCs w:val="1"/>
          <w:color w:val="auto"/>
        </w:rPr>
        <w:t>You should carefully consider the risks and uncertainties described below together with all of the other information contained in this Quarterly Report on Form 10-Q, including our condensed consolidated financial statements and related notes hereto, in evaluating our company. If any of the events or developments described below were to occur, our business, prospects, operating results and financial condition could suffer materially, the trading price of our common stock could decline. The risks and uncertainties described below are not the only ones we face. Additional risks and uncertainties not presently known to us or that we currently believe to be immaterial may also adversely affect our business.</w:t>
      </w:r>
    </w:p>
    <w:p>
      <w:pPr>
        <w:spacing w:after="0" w:line="6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Those risk factors below denoted with a “*” are newly added or have been materially updated from our Annual Report on Form 10-K filed with the SEC, on March 30,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We expect to incur losses for the foreseeable future and may never achieve or maintain profitability.</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Since inception, we have incurred significant operating losses. Our net loss was $30.5 million for the three months ended March 31, 2020. As of March 31, 2020, we had an accumulated deficit of $233.5 million. We have financed our operations primarily through private placements of our preferred stock and proceeds from the sale of common stock in our IPO. We have devoted all of our efforts to research and development.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188" w:lineRule="exact"/>
        <w:rPr>
          <w:sz w:val="20"/>
          <w:szCs w:val="20"/>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our current research programs and our preclinical development of product candidates from our current research programs;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to identify additional research programs and additional product candidates;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 preclinical testing and clinical trials for any product candidates we identify and develop;</w:t>
      </w:r>
    </w:p>
    <w:p>
      <w:pPr>
        <w:spacing w:after="0" w:line="225"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 portfolio and provide reimbursement of third-party expenses related to our patent portfolio;</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marketing approvals for any of our product candidates that successfully complete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medicines for which we may obtain marketing approval;</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further develop our base editing platform;</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additional personnel, including research and development, clinical, and commercial personnel;</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or in-license products, intellectual property, medicines, and technologies;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should we decided to do so, build and maintain a commercial-scale cGMP manufacturing facility;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not initiated clinical development of any product candidate and expect that it will be many years, if ever, before we have a product candidate ready for commercialization. To become and remain profitable, we must develop and, either directly or through collaborators, eventually commercialize a medicine or medicines with significant market potential. This will require us to be successful in a range of challenging activities, including identifying product candidates, completing preclinical testing and clinical trials of product candidates, obtaining marketing approval for these product candidates, manufacturing, marketing, and selling those medicines for which we may obtain marketing approval, and satisfying any post-marketing requirements. We may never succeed in these activities and, even if we do, may never generate revenues that are significant or large enough to achieve profitability. We are currently only in the preclinical testing stages for all our research programs. Because of the numerous risks and uncertainties associated with developing base editing product candidates, we are unable to predict the extent of any future losses or when we will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ind w:right="120"/>
        <w:spacing w:after="0" w:line="263" w:lineRule="auto"/>
        <w:rPr>
          <w:sz w:val="20"/>
          <w:szCs w:val="20"/>
          <w:color w:val="auto"/>
        </w:rPr>
      </w:pPr>
      <w:r>
        <w:rPr>
          <w:rFonts w:ascii="Arial" w:cs="Arial" w:eastAsia="Arial" w:hAnsi="Arial"/>
          <w:sz w:val="18"/>
          <w:szCs w:val="18"/>
          <w:color w:val="auto"/>
        </w:rPr>
        <w:t>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7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would be forced to delay, reduce, or eliminate our research and product development programs or future commercialization efforts.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expect our expenses to increase in connection with our ongoing activities, particularly as we identify, continue the research and development of, initiate clinical trials of, and seek marketing approval for, product candidates. In addition, if we obtain marketing approval for any product candidates we may develop, we expect to incur significant commercialization expenses related to product sales, marketing, manufacturing, and distribution to the extent that such sales, marketing, manufacturing, and distribution are not the responsibility of a collaborator. Furthermore, since the closing of our IPO, we have incurred and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product development programs or future commercialization efforts.</w:t>
      </w:r>
    </w:p>
    <w:p>
      <w:pPr>
        <w:spacing w:after="0" w:line="69"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At March 31, 2020, our cash, cash equivalents, and marketable securities were $253.4 million. We believe that our existing cash, cash equivalents, and marketable securities will enable us to fund our operating expenses and capital expenditure requirements for at least the next 12 months. However, our operating plan may change as a result of factors currently unknown to us, and we may need to seek additional funding sooner than planned. Our future capital requirements will depend on many factors, including:</w:t>
      </w:r>
    </w:p>
    <w:p>
      <w:pPr>
        <w:spacing w:after="0" w:line="187" w:lineRule="exact"/>
        <w:rPr>
          <w:sz w:val="20"/>
          <w:szCs w:val="20"/>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continuing to build our base editing platform;</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acquiring licenses for the delivery modalities that will be used with our product candidates;</w:t>
      </w:r>
    </w:p>
    <w:p>
      <w:pPr>
        <w:spacing w:after="0" w:line="225"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preclinical development, laboratory testing, manufacturing, and clinical trials for the product candidates we may develop;</w:t>
      </w:r>
    </w:p>
    <w:p>
      <w:pPr>
        <w:spacing w:after="0" w:line="170"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and proprietary rights, and defending intellectual property-related claims;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the product candidates we may develop;</w:t>
      </w:r>
    </w:p>
    <w:p>
      <w:pPr>
        <w:spacing w:after="0" w:line="225" w:lineRule="exact"/>
        <w:rPr>
          <w:rFonts w:ascii="Arial" w:cs="Arial" w:eastAsia="Arial" w:hAnsi="Arial"/>
          <w:sz w:val="18"/>
          <w:szCs w:val="18"/>
          <w:color w:val="auto"/>
        </w:rPr>
      </w:pPr>
    </w:p>
    <w:p>
      <w:pPr>
        <w:ind w:left="740" w:right="280" w:hanging="368"/>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distribution, coverage and reimbursement for any product candidates for which we receive regulatory approval;</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our license agreements and our collaborations;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225" w:lineRule="exact"/>
        <w:rPr>
          <w:rFonts w:ascii="Arial" w:cs="Arial" w:eastAsia="Arial" w:hAnsi="Arial"/>
          <w:sz w:val="18"/>
          <w:szCs w:val="18"/>
          <w:color w:val="auto"/>
        </w:rPr>
      </w:pPr>
    </w:p>
    <w:p>
      <w:pPr>
        <w:ind w:left="740" w:right="400" w:hanging="368"/>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additional collaboration agreements we obtain;</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in-license products, intellectual property and technologies;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even if we successfully identify and develop product candidates and those are approved, we may not achieve commercial success. Our commercial revenues, if any, will be derived from sales of medicines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8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 agreements and any future collaboration agreements may also be terminated if we are unable to meet the payment or other obligations under the agreements. We could be required to seek collaborators for product candidates we may develop at an earlier stage than otherwise would be desirable or on terms that are less favorable than might otherwise be available or relinquish or license on unfavorable terms our rights to product candidates we may develop in markets where we otherwise would seek to pursue development or commercialization ourselves.</w:t>
      </w:r>
    </w:p>
    <w:p>
      <w:pPr>
        <w:spacing w:after="0" w:line="5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9" w:name="page30"/>
    <w:bookmarkEnd w:id="29"/>
    <w:p>
      <w:pPr>
        <w:ind w:right="140"/>
        <w:spacing w:after="0" w:line="277" w:lineRule="auto"/>
        <w:rPr>
          <w:sz w:val="20"/>
          <w:szCs w:val="20"/>
          <w:color w:val="auto"/>
        </w:rPr>
      </w:pPr>
      <w:r>
        <w:rPr>
          <w:rFonts w:ascii="Arial" w:cs="Arial" w:eastAsia="Arial" w:hAnsi="Arial"/>
          <w:sz w:val="18"/>
          <w:szCs w:val="18"/>
          <w:color w:val="auto"/>
        </w:rPr>
        <w:t>results of operations. Any of the above events could significantly harm our business, prospects, financial condition and results of operations and cause the price of our common stock to decline.</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 we may develop.</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declaring dividends, and possibly other restrictions.</w:t>
      </w:r>
    </w:p>
    <w:p>
      <w:pPr>
        <w:spacing w:after="0" w:line="8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we may develop, or we may have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short operating history may make it difficult for you to evaluate the success of our business to date and to assess our future viability.</w:t>
      </w:r>
    </w:p>
    <w:p>
      <w:pPr>
        <w:spacing w:after="0" w:line="1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an early-stage company. We were founded and commenced operations in January 2017. Our operations to date have been limited to organizing and staffing our company, business planning, raising capital, acquiring and developing our platform and technology, identifying potential product candidates, and undertaking preclinical studies. All of our research programs are still in the preclinical or research stage of development, and their risk of failure is high. We have not yet demonstrated an ability to initiate or successfully complete any clinical trials, including large-scale, pivotal clinical trials, obtain marketing approvals, manufacture a commercial-scale medicine, or arrange for a third party to do so on our behalf, or conduct sales and marketing activities necessary for successful commercialization. Typically, it takes about 10 to 15 years to develop a new medicine from the time it is discovered to when it is available for treating patients. Consequently, any predictions you make about our future success or viability may not be as accurate as they could be if we had a longer operating history.</w:t>
      </w:r>
    </w:p>
    <w:p>
      <w:pPr>
        <w:spacing w:after="0" w:line="84"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Our limited operating history, particularly in light of the rapidly evolving base editing and gene editing field, may make it difficult to evaluate our technology and industry and predict our future performance. Our short history as an operating company makes any assessment of our future success or viability subject to significant uncertainty. We will encounter risks and difficulties frequently experienced by very early stage companies in rapidly evolving fields. If we do not address these risks successfully, our business will suffer.</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as a new business, we may encounter other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become profitable.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product candidates we may identify for development. We do not anticipate generating revenues from product sales for the next several years, if ever. Our ability to generate future revenues from product sales depends heavily on our, or our collaborators’, ability to successfully:</w:t>
      </w:r>
    </w:p>
    <w:p>
      <w:pPr>
        <w:spacing w:after="0" w:line="187" w:lineRule="exact"/>
        <w:rPr>
          <w:sz w:val="20"/>
          <w:szCs w:val="20"/>
          <w:color w:val="auto"/>
        </w:rPr>
      </w:pPr>
    </w:p>
    <w:p>
      <w:pPr>
        <w:ind w:left="740" w:hanging="368"/>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identify product candidates and complete research and preclinical and clinical development of any product candidates we may identify;</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and obtain regulatory and marketing approvals for any of our product candidates for which we complete clinical trials;</w:t>
      </w:r>
    </w:p>
    <w:p>
      <w:pPr>
        <w:spacing w:after="0" w:line="225" w:lineRule="exact"/>
        <w:rPr>
          <w:rFonts w:ascii="Arial" w:cs="Arial" w:eastAsia="Arial" w:hAnsi="Arial"/>
          <w:sz w:val="18"/>
          <w:szCs w:val="18"/>
          <w:color w:val="auto"/>
        </w:rPr>
      </w:pPr>
    </w:p>
    <w:p>
      <w:pPr>
        <w:ind w:left="740" w:right="280" w:hanging="368"/>
        <w:spacing w:after="0" w:line="277"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 and commercialize any of our product candidates for which we obtain regulatory and marketing approval by establishing a sales force, marketing, and distribution infrastructure or, alternatively, collaborating with a commercialization partner;</w:t>
      </w:r>
    </w:p>
    <w:p>
      <w:pPr>
        <w:spacing w:after="0" w:line="170" w:lineRule="exact"/>
        <w:rPr>
          <w:rFonts w:ascii="Arial" w:cs="Arial" w:eastAsia="Arial" w:hAnsi="Arial"/>
          <w:sz w:val="18"/>
          <w:szCs w:val="18"/>
          <w:color w:val="auto"/>
        </w:rPr>
      </w:pPr>
    </w:p>
    <w:p>
      <w:pPr>
        <w:ind w:left="740" w:right="220" w:hanging="368"/>
        <w:spacing w:after="0" w:line="277"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qualify for adequate coverage and reimbursement by government and third-party payors for any of our product candidates for which we obtain regulatory and marketing approval;</w:t>
      </w:r>
    </w:p>
    <w:p>
      <w:pPr>
        <w:spacing w:after="0" w:line="170"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maintain, and enhance a sustainable, scalable, reproducible, and transferable manufacturing process for the product candidates we may develop;</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ind w:left="740" w:right="80" w:hanging="368"/>
        <w:spacing w:after="0" w:line="263"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that can provide adequate, in both amount and quality, products, and services to support clinical development and the market demand for any of our product candidates for which we obtain regulatory and marketing approval;</w:t>
      </w:r>
    </w:p>
    <w:p>
      <w:pPr>
        <w:spacing w:after="0" w:line="183"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market acceptance of any product candidates we may develop as viable treatment options;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 competing technological and market developments;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 internal systems and infrastructure, as needed;</w:t>
      </w:r>
    </w:p>
    <w:p>
      <w:pPr>
        <w:spacing w:after="0" w:line="225"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negotiate favorable terms in any collaboration, licensing, or other arrangements into which we may enter and performing our obligations in such collaborations;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maintain, protect, enforce, defend, and expand our portfolio of intellectual property rights, including patents, trade secrets, and know-how;</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avoid and defend against third-party interference, infringement, and other intellectual property claims;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Even if one or more of the product candidates we may develop are approved for commercial sale, we anticipate incurring significant costs associated with commercializing any approved product candidate. Our expenses could increase beyond expectations if we are required by the U.S. Food and Drug Administration, or the FDA, the European Medicines Agency, or the EMA, or other regulatory authorities to perform clinical and other studies in addition to those that we currently anticipate. Even if we are able to generate revenues from the sale of any approved product candidates, we may not become profitable and may need to obtain additional funding to continue operations.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ability to utilize our net operating loss carryforwards and certain other tax attributes may be limited.</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have incurred substantial losses during our history, and we may never achieve profitability. To the extent that we continue to generate taxable losses, unused losses will carry forward to offset a portion of future taxable income, if any, subject to expiration of such carryforwards in the case of carryforwards generated prior to 2018. Additionally, we continue to generate business tax credits, including research and development tax credits, which generally may be carried forward to offset a portion of future taxable income, if any, subject to expiration of such credit carryforwards. In addition, under Sections 382 and 383 of the Internal Revenue Code of 1986, as amended, or the Code, if a corporation undergoes an “ownership change,” generally defined as one or more shareholders or groups of shareholders who own at least 5% of the corporation’s equity increasing their ownership in the aggregate by a greater than 50 percentage point change (by value) in its equity ownership over a three-year period, the corporation’s ability to use its pre-change net operating loss carryforwards, or NOLs, and other pre-change tax attributes (such as research and development tax credits) to offset its post-change income or taxes may be limited. Our prior equity offerings and other changes in our stock ownership may have resulted in such ownership changes. In addition, we may experience ownership changes in the future as a result shifts in our stock ownership, some of which are outside of our control. As a result, if we earn net taxable income, our ability to use our pre-change NOLs or other pre-change tax attributes to offset U.S. federal taxable income may be subject to limitations, which could potentially result in increased future tax liability to us. Additional limitations on our ability to utilize our NOLs to offset future taxable income may arise as a result of our corporate structure whereby NOLs generated by certain of our subsidiaries or controlled entities may not be available to offset taxable income earned by our subsidiaries or other controlled entities. In addition, under legislation commonly referred to as the Tax Cuts and Jobs Act of 2017, or the Tax Act, the amount of post-2017 NOLs that we are permitted to deduct in any taxable year is limited to 80% of our taxable income in such year. The Tax Act generally eliminates the ability to carry back any NOLs to prior taxable years, while allowing post-2017 unused NOLs to be carried forward indefinitely. There is a risk that due to changes under the Tax Act,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owed. For these reasons, we may not be able to realize a tax benefit from the use of our NOLs or tax credits, even if we attain profitability.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On December 22, 2017, the Tax Act was signed into law. The Tax Act, among other things, contains significant changes to corporate taxation, including</w:t>
      </w:r>
    </w:p>
    <w:p>
      <w:pPr>
        <w:spacing w:after="0" w:line="46" w:lineRule="exact"/>
        <w:rPr>
          <w:sz w:val="20"/>
          <w:szCs w:val="20"/>
          <w:color w:val="auto"/>
        </w:rPr>
      </w:pPr>
    </w:p>
    <w:p>
      <w:pPr>
        <w:ind w:right="100" w:firstLine="8"/>
        <w:spacing w:after="0" w:line="253" w:lineRule="auto"/>
        <w:tabs>
          <w:tab w:leader="none" w:pos="2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reduction of the corporate tax rate from a top marginal rate of 35% to a flat rate of 21%, (ii) limitation of the tax deduction for interest expense to 30% of adjusted earnings (except for certain small businesses), (iii) limitation of the deduction for NOLs to 80% of current year taxable income in respect of NOLs generated during or after 2018 and elimination of NOL carrybacks, (iv) immediate deductions for certain new investments instead of deductions for depreciation expense over time, and (v) modifying or repealing many business deductions and credits. Any federal NOL incurred in 2018 and in future years may now be carried forward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right="120"/>
        <w:spacing w:after="0" w:line="277" w:lineRule="auto"/>
        <w:rPr>
          <w:sz w:val="20"/>
          <w:szCs w:val="20"/>
          <w:color w:val="auto"/>
        </w:rPr>
      </w:pPr>
      <w:r>
        <w:rPr>
          <w:rFonts w:ascii="Arial" w:cs="Arial" w:eastAsia="Arial" w:hAnsi="Arial"/>
          <w:sz w:val="18"/>
          <w:szCs w:val="18"/>
          <w:color w:val="auto"/>
        </w:rPr>
        <w:t>indefinitely pursuant to the Tax Act. It is uncertain if and to what extent various states will conform to the newly enacted federal tax law. We will continue to examine the impact the Tax Act may have on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development, and commercialization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Base editing is a novel technology that is not yet clinically validated for human therapeutic use. The approaches we are taking to discover and develop novel therapeutics are unproven and may never lead to marketable products.</w:t>
      </w:r>
    </w:p>
    <w:p>
      <w:pPr>
        <w:spacing w:after="0" w:line="6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We are focused on developing potentially curative medicines utilizing base editing technology. Although there have been significant advances in the field of gene therapy, which typically involves introducing a copy of a gene into a patient’s cell, and gene editing in recent years, base editing technologies are new and largely unproven. The technologies that we have licensed and that we intend to develop and intend to license have not yet been clinically tested, nor are we aware of any clinical trials for safety or efficacy having been completed by third parties using our base editing or similar technologies. The scientific evidence to support the feasibility of developing product candidates based on these technologies is both preliminary and limited, and base editing and delivery modalities for it are novel. Successful development of product candidates by us will require solving a number of issues, including safely delivering a therapeutic into target cells within the human body or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setting, optimizing the efficiency and specificity of such product candidates, and ensuring the therapeutic selectivity of such product candidates. There can be no assurance we will be successful in solving any or all of these issues.</w:t>
      </w:r>
    </w:p>
    <w:p>
      <w:pPr>
        <w:spacing w:after="0" w:line="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concentrated our research efforts to date on preclinical work to bring therapeutics to the clinic for our initial indications, and our future success is highly dependent on the successful development of base editing technologies, cellular delivery methods and therapeutic applications of that technology. While some of the existing gene editing technologies have progressed to clinical trials, they continue to suffer from various limitations, and such limitations may affect our future success. We may decide to alter or abandon our initial programs as new data become available and we gain experience in developing base editing therapeutics. We cannot be sure that our technologies will yield satisfactory products that are safe and effective, scalable or profitable in our initial indications or any other indication we pursue.</w:t>
      </w:r>
    </w:p>
    <w:p>
      <w:pPr>
        <w:spacing w:after="0" w:line="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Development activities in the field of base editing are currently subject to a number of risks related to the ownership and use of certain intellectual property rights that are subject to patent interference proceedings in the United States and opposition proceedings in Europe. For additional information regarding the risks that may apply to our and our licensors’ intellectual property rights, see the section entitled “—Risks related to our intellectual property” for more information.</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identify and develop potential product candidates. If these efforts are unsuccessful, we may never become a commercial stage company or generate any revenues.</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The success of our business depends primarily upon our ability to identify, develop, and commercialize product candidates based on our gene editing platform. All of our product development programs are still in the research or preclinical stage of development. Our research programs may fail to identify potential product candidates for clinical development for a number of reasons. Our research methodology may be unsuccessful in identifying potential product candidates, our potential product candidates may be shown to have harmful side effects in preclinical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experiments or animal model studies, they may not show promising signals of therapeutic effect in such experiments or studies or they may have other characteristics that may make the product candidates impractical to manufacture, unmarketable, or unlikely to receive marketing approval.</w:t>
      </w:r>
    </w:p>
    <w:p>
      <w:pPr>
        <w:spacing w:after="0" w:line="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addition, although we believe base editing will position us to rapidly expand our portfolio of product candidates beyond our current product candidates we may develop after only minimal changes to the product candidate construct, we have not yet successfully developed any product candidate and our ability to expand our portfolio may never materialize.</w:t>
      </w:r>
    </w:p>
    <w:p>
      <w:pPr>
        <w:spacing w:after="0" w:line="7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If any of these events occur, we may be forced to abandon our research or development efforts for a program or programs, which would have a material adverse effect on our business, financial condition, results of operations, and prospects. Research programs to identify new product candidates require substantial technical, financial, and human resources. We may focus our efforts and resources on potential programs or product candidates that ultimately prove to be unsuccessful, which would be costly and time-consuming.</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The gene editing field is relatively new and is evolving rapidly. We are focusing our research and development efforts on gene editing using base editing technology, but other gene editing technologies may be discovered that provide significant advantages over base editing, which could materially harm our business.</w:t>
      </w:r>
    </w:p>
    <w:p>
      <w:pPr>
        <w:spacing w:after="0" w:line="7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To date, we have focused our efforts on gene editing technologies using base editing. Other companies have previously undertaken research and development of gene editing technologies using zinc finger nucleases, engineered meganucleases, and transcription activator-like effector nucleases, or TALENs, but to date none has obtained marketing approval for a product candidate. There can be no certainty that base editing technology will lead to the development of genetic medicines or that other gene editing technologies will not be considered better or more attractive for the development of medicines. For example, Feng Zhang’s group at MIT and Broad Institute, and, separately, Samuel Sternberg’s group at Columbia University recently announced the discovery of the use of transposons, or “jumping genes.” Transposons can insert themselves into different places in the genome and can be programmed to carry specific DNA sequences to specific sites, without the need for making double-stranded breaks in DNA. In addition, one of our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spacing w:after="0" w:line="267" w:lineRule="auto"/>
        <w:rPr>
          <w:sz w:val="20"/>
          <w:szCs w:val="20"/>
          <w:color w:val="auto"/>
        </w:rPr>
      </w:pPr>
      <w:r>
        <w:rPr>
          <w:rFonts w:ascii="Arial" w:cs="Arial" w:eastAsia="Arial" w:hAnsi="Arial"/>
          <w:sz w:val="17"/>
          <w:szCs w:val="17"/>
          <w:color w:val="auto"/>
        </w:rPr>
        <w:t>founders, David Liu, and his group at Broad Institute developed a novel gene editing technology. We have secured an exclusive license from Prime Medicine, a company founded by David Liu, to pursue this new technology in certain fields and for certain applications similar to those we are already pursuing with base editing. Our license does not cover all fields and applications of this new technology for gene editing and Prime Medicine retains broad rights to use this technology outside of the fields licensed to us. It is possible that this gene editing technology developed by David Liu’s group is competitive with our business, and it is also possible that such gene editing technology may potentially be considered more attractive than base editing. Therefore, Prime Medicine may pursue this technology in other fields and for other applications and may develop competing products using such technology. Similarly, another new gene editing technology that has not been discovered yet may be determined to be more attractive than base editing. Moreover, if we decide to develop gene editing technologies other than those involving base editing, we cannot be certain we will be able to obtain rights to such technologies. Although all of our founders who currently provide consulting and advisory services to us in the area of base editing technologies have assignment of inventions obligations to us with respect to the services they perform for us, these assignment of inventions obligations are subject to limitations and do not extend to their work in other fields or to the intellectual property arising from their employment with their respective academic and research institutions. To obtain intellectual property rights assigned by these founders to such institutions, we would need to enter into license agreements with such institutions, which may not be available on commercially reasonable terms or at all. Further, while our three founders have non-competition clauses in their respective consulting agreements, the non-competition obligation is limited to the field of base editing for human therapeutics, and our founders have developed and may in the future develop new technologies that are outside of the field of their non-competition obligations but may be competitive to our business. For example, as discussed above, David Liu and his group at Broad Institute have developed novel gene editing technology outside of the field of his non-competition obligations that may be used to develop products that compete with our business. Any of these factors could reduce or eliminate our commercial opportunity, and could have a material adverse effect on our business, financial condition, results of operations, and prospects.</w:t>
      </w:r>
    </w:p>
    <w:p>
      <w:pPr>
        <w:spacing w:after="0" w:line="8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b w:val="1"/>
          <w:bCs w:val="1"/>
          <w:i w:val="1"/>
          <w:iCs w:val="1"/>
          <w:color w:val="auto"/>
        </w:rPr>
        <w:t>We are very early in our development efforts. All of our product candidates are still in preclinical development or earlier stages and it will be many years before we or our collaborators commercialize a product candidate, if ever. If we are unable to advance our product candidates to clinical development, obtain regulatory approval and ultimately commercialize our product candidates, or experience significant delays in doing so, our business will be materially harmed.</w:t>
      </w:r>
    </w:p>
    <w:p>
      <w:pPr>
        <w:spacing w:after="0" w:line="79"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 xml:space="preserve">We are very early in our development efforts and have focused our research and development efforts to date on base editing technology, identifying our initial targeted disease indications and our initial product candidates. We have not yet achieved preclinical proof of concept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for the majority of our programs and there is no guarantee that we will achieve it for these programs. Our future success depends heavily on the successful development of our base editing product candidates. Currently, all of our product candidates are in preclinical development or in discovery. We have invested substantially all of our efforts and financial resources in building our base editing platform, and the identification and preclinical development of our current product candidates. Our ability to generate product revenue, which we do not expect will occur for many years, if ever, will depend heavily on the successful development and eventual commercialization of our product candidates, which may never occur. We currently generate no revenue from sales of any product, and we may never be able to develop or commercialize a marketable product.</w:t>
      </w:r>
    </w:p>
    <w:p>
      <w:pPr>
        <w:spacing w:after="0" w:line="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Commencing clinical trials in the United States is also subject to acceptance by the FDA of our Investigational New Drug application, or IND, and finalizing the trial design based on discussions with the FDA and other regulatory authorities. In the event that the FDA requires us to complete additional preclinical studies or we are required to satisfy other FDA requests, the start of our first clinical trials may be delayed. Even after we receive and incorporate guidance from these regulatory authorities, the FDA or other regulatory authorities could disagree that we have satisfied their requirements to commence our clinical trial or change their position on the acceptability of our trial design or the clinical endpoints selected, which may require us to complete additional preclinical studies or clinical trials or impose stricter approval conditions than we currently expect. There are equivalent processes and risks applicable to clinical trial applications in other countries, including in Europe.</w:t>
      </w:r>
    </w:p>
    <w:p>
      <w:pPr>
        <w:spacing w:after="0" w:line="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Commercialization of our product candidates we may develop will require additional preclinical and clinical development; regulatory and marketing approval in multiple jurisdictions, including by the FDA and the EMA; obtaining manufacturing supply, capacity and expertise; building of a commercial organization; and significant marketing efforts. The success of product candidates we may identify and develop will depend on many factors, including the following:</w:t>
      </w:r>
    </w:p>
    <w:p>
      <w:pPr>
        <w:spacing w:after="0" w:line="187" w:lineRule="exact"/>
        <w:rPr>
          <w:sz w:val="20"/>
          <w:szCs w:val="20"/>
          <w:color w:val="auto"/>
        </w:rPr>
      </w:pPr>
    </w:p>
    <w:p>
      <w:pPr>
        <w:ind w:left="740" w:hanging="368"/>
        <w:spacing w:after="0"/>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sufficiency of our financial and other resources to complete the necessary preclinical studies, IND-enabling studies, and clinical trials;</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25" w:lineRule="exact"/>
        <w:rPr>
          <w:rFonts w:ascii="Arial" w:cs="Arial" w:eastAsia="Arial" w:hAnsi="Arial"/>
          <w:sz w:val="18"/>
          <w:szCs w:val="18"/>
          <w:color w:val="auto"/>
        </w:rPr>
      </w:pPr>
    </w:p>
    <w:p>
      <w:pPr>
        <w:ind w:left="740" w:right="740" w:hanging="368"/>
        <w:spacing w:after="0" w:line="277"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for clinical supply and commercial manufacturing and, where applicable, commercial manufacturing capabilities;</w:t>
      </w:r>
    </w:p>
    <w:p>
      <w:pPr>
        <w:spacing w:after="0" w:line="170" w:lineRule="exact"/>
        <w:rPr>
          <w:rFonts w:ascii="Arial" w:cs="Arial" w:eastAsia="Arial" w:hAnsi="Arial"/>
          <w:sz w:val="18"/>
          <w:szCs w:val="18"/>
          <w:color w:val="auto"/>
        </w:rPr>
      </w:pPr>
    </w:p>
    <w:p>
      <w:pPr>
        <w:ind w:left="740" w:right="80" w:hanging="368"/>
        <w:spacing w:after="0" w:line="277"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development of our internal manufacturing processes and transfer to larger-scale facilities operated by either a contract manufacturing organization, or CMO, or by us;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left="740" w:hanging="368"/>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obtaining and maintaining patent, trade secret, and other intellectual property protection and non-patent exclusivity for our medicines;</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launching commercial sales of the medicines, if and when approved, whether alone or in collaboration with others;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the products, if and when approved, by patients, the medical community, and third-party payors;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effectively competing with other therapies and treatment options;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continued acceptable safety profile of the medicines following approval;</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enforcing and defending intellectual property and proprietary rights and claims;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supplying the product at a price that is acceptable to the pricing or reimbursement authorities in different countries.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If we do not successfully achieve one or more of these activities in a timely manner or at all, we could experience significant delays or an inability to successfully commercialize any product candidates we may develop, which would materially harm our business. If we do not receive regulatory approvals for our product candidates, we may not be able to continue our operations.</w:t>
      </w:r>
    </w:p>
    <w:p>
      <w:pPr>
        <w:spacing w:after="0" w:line="7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b w:val="1"/>
          <w:bCs w:val="1"/>
          <w:i w:val="1"/>
          <w:iCs w:val="1"/>
          <w:color w:val="auto"/>
        </w:rPr>
        <w:t>If any of the product candidates we may develop, or the delivery modes we rely on to administer them, cause serious adverse events, undesirable side effects, or unexpected characteristics, such events, side effects or characteristics could delay or prevent regulatory approval of the product candidates, limit the commercial potential, or result in significant negative consequences following any potential marketing approval.</w:t>
      </w:r>
    </w:p>
    <w:p>
      <w:pPr>
        <w:spacing w:after="0" w:line="4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have not evaluated any product candidates in human clinical trials. Moreover, there have been only a limited number of clinical trials involving the use of gene editing technologies and none involving base editing technology similar to our technology. It is impossible to predict when or if any product candidates we may develop will prove safe in humans. In the genetic medicine field, there have been several significant adverse events from gene therapy treatments in the past, including reported cases of leukemia and death. There can be no assurance that base editing technologies will not cause undesirable side effects, as improper editing of a patient’s DNA could lead to lymphoma, leukemia, or other cancers, or other aberrantly functioning cells.</w:t>
      </w:r>
    </w:p>
    <w:p>
      <w:pPr>
        <w:spacing w:after="0" w:line="5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 significant risk in any base editing product candidate is that “off-target” edits may occur, which could cause serious adverse events, undesirable side effects or unexpected characteristics. For example, Erwei Zuo et al. reported that cytosine base editors generated substantial off-target edits, that is, edits in unintended locations on the DNA, when tested in mouse embryos. Such unintended edits are referred to as “spurious deamination.” We cannot be certain that off-target editing will not occur in any of our planned or future clinical studies, and the lack of observed side effects in preclinical studies does not guarantee that such side effects will not occur in human clinical studies. There is also the potential risk of delayed adverse events following exposure to base editing therapy due to the permanence of edits to DNA or due to other components of product candidates used to carry the genetic material. Further, because base editing makes a permanent change, the therapy cannot be withdrawn, even after a side effect is observed. In addition, Rees et al. and Grunewald et al. have reported that the deaminases we currently use in our C base editors and our A base editors for use in DNA base editing also cause unintended mutations in RNA for as long as the editor is present in the cell.</w:t>
      </w:r>
    </w:p>
    <w:p>
      <w:pPr>
        <w:spacing w:after="0" w:line="7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Although we and others have demonstrated the ability to engineer base editors to improve the specificity of their edits in a laboratory setting, we cannot be sure that our engineering efforts will be effective in any product candidates that we may develop. For example, we might not be able to engineer an editor to make the desired change or a by-stander edit could diminish the effectiveness of an edit that we make.</w:t>
      </w:r>
    </w:p>
    <w:p>
      <w:pPr>
        <w:spacing w:after="0" w:line="7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certain of our programs, we plan to use lipid nanoparticles, or LNPs, to deliver our base editors. LNPs have been shown to induce oxidative stress in the liver at certain doses, as well as initiate systemic inflammatory responses that can be fatal in some cases. While we aim to continue to optimize our LNPs, there can be no assurance that our LNPs will not have undesired effects. Our LNPs could contribute, in whole or in part, to one or more of the following: immune reactions, infusion reactions, complement reactions, opsonation reactions, antibody reactions including IgA, IgM, IgE or IgG or some combination thereof, or reactions to the PEG from some lipids or PEG otherwise associated with the LNP. Certain aspects of our investigational medicines may induce immune reactions from either the mRNA or the lipid as well as adverse reactions within liver pathways or degradation of the mRNA or the LNP, any of which could lead to significant adverse events in one or more of our future clinical trials. Many of these types of side effects have been seen for legacy LNPs. There may be uncertainty as to the underlying cause of any such adverse event, which would make it difficult to accurately predict side effects in future clinical trials and would result in significant delays in our programs.</w:t>
      </w:r>
    </w:p>
    <w:p>
      <w:pPr>
        <w:spacing w:after="0" w:line="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viral vectors including AAV or lentiviruses, which are relatively new approaches used for disease treatment, also have known side effects, and for which additional risks could develop in the future. In past clinical trials that were conducted by others with non-AAV vectors, several significant side effects were caused by gene therapy treatments, including reported cases of leukemia and death. Other potential side effects could include an immunologic reaction and insertional oncogenesis, which is the process whereby the insertion of a functional gene near a gene that is important in cell growth or division results in uncontrolled cell division, which could potentially enhance the risk of malignant transformation. If the vectors we use demonstrate a similar side effect, or other adverse events, we may be required to halt or delay further clinical development of any potential product candidates. Furthermore, the FDA</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ind w:right="20"/>
        <w:spacing w:after="0" w:line="277" w:lineRule="auto"/>
        <w:rPr>
          <w:sz w:val="20"/>
          <w:szCs w:val="20"/>
          <w:color w:val="auto"/>
        </w:rPr>
      </w:pPr>
      <w:r>
        <w:rPr>
          <w:rFonts w:ascii="Arial" w:cs="Arial" w:eastAsia="Arial" w:hAnsi="Arial"/>
          <w:sz w:val="18"/>
          <w:szCs w:val="18"/>
          <w:color w:val="auto"/>
        </w:rPr>
        <w:t>has stated that lentiviral vectors possess characteristics that may pose high risks of delayed adverse events. Such delayed adverse events may occur in other viral vectors, including AAV vectors, at a lower rate.</w:t>
      </w:r>
    </w:p>
    <w:p>
      <w:pPr>
        <w:spacing w:after="0" w:line="6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addition to side effects and adverse events caused by our product candidates, the conditioning, administration process or related procedures which may be used in our electroporation pipeline also can cause adverse side effects and adverse events. A gene therapy patient is generally administered cytotoxic drugs to remove stem cells from the bone marrow to create sufficient space in the bone marrow for the modified stem cells to engraft and produce new cells. This procedure compromises the patient’s immune system. If in the future we are unable to demonstrate that such adverse events were caused by the conditioning regimens used, or administration process or related procedure, the FDA, the European Commission, EMA or other regulatory authorities could order us to cease further development of, or deny approval of, our product candidates for any or all target indications. Even if we are able to demonstrate that adverse events are not related to the drug product or the administration of such drug product, such occurrences could affect patient recruitment, the ability of enrolled patients to complete the clinical trial, or the commercial viability of any product candidates that obtain regulatory approval.</w:t>
      </w:r>
    </w:p>
    <w:p>
      <w:pPr>
        <w:spacing w:after="0" w:line="8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If any product candidates we develop are associated with serious adverse events, undesirable side effects, or unexpected characteristics, we may need to abandon their development or limit development to certain uses or subpopulations in which the serious adverse events, undesirable side effects or other characteristics are less prevalent, less severe, or more acceptable from a risk-benefit perspective, any of which would have a material adverse effect on our business, financial condition, results of operations, and prospects. Many product candidates that initially showed promise in early stage testing for treating cancer or other diseases have later been found to cause side effects that prevented further clinical development of the product candidates.</w:t>
      </w:r>
    </w:p>
    <w:p>
      <w:pPr>
        <w:spacing w:after="0" w:line="5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in the future we are unable to demonstrate that any of the above adverse events were caused by factors other than our product candidate, the FDA, the EMA or other regulatory authorities could order us to cease further development of, or deny approval of, any product candidates we are able to develop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product candidate we may develop, the commercial prospects of such product candidates may be harmed and our ability to generate product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Additionally, if we successfully develop a product candidate and it receives marketing approval, the FDA could require us to adopt a Risk Evaluation and Mitigation Strategy, or REMS, to ensure that the benefits of treatment with such product candidate outweighs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Furthermore, if we or others later identify undesirable side effects caused by any product candidate that we develop, several potentially significant negative consequences could result, including:</w:t>
      </w:r>
    </w:p>
    <w:p>
      <w:pPr>
        <w:spacing w:after="0" w:line="192" w:lineRule="exact"/>
        <w:rPr>
          <w:sz w:val="20"/>
          <w:szCs w:val="20"/>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limit the approved use of such product candidate;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conduct additional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any product candidates we may identify and develop and could have a material adverse effect on our business, financial condition, and results of operations.</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have not tested any of our proposed delivery modalities and product candidates in clinical trials and any favorable preclinical results are not predictive of results that may be observed in clinical trials.</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not tested any of our proposed delivery modalities in clinical trials. For example, we intend to use novel split intein technology for AAV gene therapy that allows us to deliver the base editor and guide RNA construct by co-infection with two viruses, where each virus contains one half of the editor. The scientific evidence to support the feasibility of developing product candidates based on this technology is both preliminary and limited. We also intend to use LNPs to deliver some of our base editors. While LNPs have been used to deliver smaller molecules, such as RNAi, they have not been clinically proven to deliver larger RNA molecules, such as the ones we intend to use for our base editors. Furthermore, as with many AAV-mediated gene therapy approaches, certain patients’ immune systems might prohibit the successful delivery, thereby potentially limiting treatment outcomes of these patients. Even if initial clinical trials in any of our product candidates we may develop are successful, these product candidates we may develop may fail to show the desired safety and efficacy in later stages of clinical development despite having successfully advanced through preclinical studies and initial clinical trials.</w:t>
      </w:r>
    </w:p>
    <w:p>
      <w:pPr>
        <w:spacing w:after="0" w:line="5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is a high failure rate for drugs and biologics proceeding through clinical trials. A number of companies in the pharmaceutical and biotechnology industries have suffered significant setbacks in later stage clinical trials even after achieving promising results 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5" w:name="page36"/>
    <w:bookmarkEnd w:id="35"/>
    <w:p>
      <w:pPr>
        <w:ind w:right="240"/>
        <w:spacing w:after="0" w:line="263" w:lineRule="auto"/>
        <w:rPr>
          <w:sz w:val="20"/>
          <w:szCs w:val="20"/>
          <w:color w:val="auto"/>
        </w:rPr>
      </w:pPr>
      <w:r>
        <w:rPr>
          <w:rFonts w:ascii="Arial" w:cs="Arial" w:eastAsia="Arial" w:hAnsi="Arial"/>
          <w:sz w:val="18"/>
          <w:szCs w:val="18"/>
          <w:color w:val="auto"/>
        </w:rPr>
        <w:t>earlier stage clinical trials. Data obtained from preclinical and clinical activities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7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Any such adverse events may cause us to delay, limit, or terminate planned clinical trials, any of which would have a material adverse effect on our business, financial condition, results of operations, and prospects.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the results of preclinical studies may not be predictive of the results of later-stage preclinical studies or clinical trials. To date, we have not generated preclinical or clinical trial results. If we generate preclinical results, such results will not ensure that later preclinical studies or clinical trials will demonstrate similar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Because we have limited financial and managerial resources, we focus on research programs and product candidates that we identify for specific indications among many potential options.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medicines.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Any such event could have a material adverse effect on our business, financial condition, results of operations, and prospects.</w:t>
      </w:r>
    </w:p>
    <w:p>
      <w:pPr>
        <w:spacing w:after="0" w:line="57"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Even if we complete the necessary clinical trials, we cannot predict when, or if, we will obtain regulatory approval to commercialize a product candidate we may develop in the United States or any other jurisdiction, and any such approval may be for a more narrow indication than we seek.</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cannot commercialize a product candidate until the appropriate regulatory authorities have reviewed and approved the product candidate. Even if any product candidates we may develop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8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Regulatory authorities also may approve a product candidate for more limited indications than requested or they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we may develop. Any of the foregoing scenarios could materially harm the commercial prospects for any product candidates we may develop and materially adversely affect our business, financial condition, results of operations, and prospects.</w:t>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Marketing approval by the FDA in the United States, if obtained,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candidate testing and validation and additional administrative review periods. Seeking foreign regulatory approval could result in difficulties and costs for us and require additional preclinical studies or clinical trials which could be costly and time-consuming. Regulatory requirements can vary widely from country to country and could delay or prevent the introduction of our product candidates we may develop in those countries. The foreign regulatory approval process involves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 candidates will be unrealized.</w:t>
      </w:r>
    </w:p>
    <w:p>
      <w:pPr>
        <w:spacing w:after="0" w:line="7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Even if any product candidates we may develop receive marketing approval, they may fail to achieve the degree of market acceptance by physicians, patients, healthcare payors, and others in the medical community necessary for commercial success.</w:t>
      </w:r>
    </w:p>
    <w:p>
      <w:pPr>
        <w:spacing w:after="0" w:line="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commercial success of any of our product candidates we may develop will depend upon its degree of market acceptance by physicians, patients, third-party payors, and others in the medical community. Ethical, social, and legal concerns about genetic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6" w:name="page37"/>
    <w:bookmarkEnd w:id="36"/>
    <w:p>
      <w:pPr>
        <w:ind w:right="140"/>
        <w:spacing w:after="0" w:line="279" w:lineRule="auto"/>
        <w:rPr>
          <w:sz w:val="20"/>
          <w:szCs w:val="20"/>
          <w:color w:val="auto"/>
        </w:rPr>
      </w:pPr>
      <w:r>
        <w:rPr>
          <w:rFonts w:ascii="Arial" w:cs="Arial" w:eastAsia="Arial" w:hAnsi="Arial"/>
          <w:sz w:val="17"/>
          <w:szCs w:val="17"/>
          <w:color w:val="auto"/>
        </w:rPr>
        <w:t>medicines generally and base editing technologies specifically could result in additional regulations restricting or prohibiting the marketing of our product candidates we may develop.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171" w:lineRule="exact"/>
        <w:rPr>
          <w:sz w:val="20"/>
          <w:szCs w:val="20"/>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and perceived advantages compared to alternative treatments;</w:t>
      </w:r>
    </w:p>
    <w:p>
      <w:pPr>
        <w:spacing w:after="0" w:line="225" w:lineRule="exact"/>
        <w:rPr>
          <w:rFonts w:ascii="Arial" w:cs="Arial" w:eastAsia="Arial" w:hAnsi="Arial"/>
          <w:sz w:val="18"/>
          <w:szCs w:val="18"/>
          <w:color w:val="auto"/>
        </w:rPr>
      </w:pPr>
    </w:p>
    <w:p>
      <w:pPr>
        <w:ind w:left="740" w:right="520" w:hanging="368"/>
        <w:spacing w:after="0" w:line="277"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limitation to our targeted patient population and limitations or warnings contained in approved labeling by the FDA or other regulatory authorities;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offer our medicines for sale at competitive prices;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the FDA, the EMA, or other regulatory agencies;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 attitudes regarding genetic medicine generally and gene editing and base editing technologies specifically;</w:t>
      </w:r>
    </w:p>
    <w:p>
      <w:pPr>
        <w:spacing w:after="0" w:line="225" w:lineRule="exact"/>
        <w:rPr>
          <w:rFonts w:ascii="Arial" w:cs="Arial" w:eastAsia="Arial" w:hAnsi="Arial"/>
          <w:sz w:val="18"/>
          <w:szCs w:val="18"/>
          <w:color w:val="auto"/>
        </w:rPr>
      </w:pPr>
    </w:p>
    <w:p>
      <w:pPr>
        <w:ind w:left="740" w:right="80" w:hanging="368"/>
        <w:spacing w:after="0" w:line="277"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novel therapies and of physicians to prescribe these therapies, as well as their willingness to accept a therapeutic intervention that involves the editing of the patient’s gene;</w:t>
      </w:r>
    </w:p>
    <w:p>
      <w:pPr>
        <w:spacing w:after="0" w:line="170" w:lineRule="exact"/>
        <w:rPr>
          <w:rFonts w:ascii="Arial" w:cs="Arial" w:eastAsia="Arial" w:hAnsi="Arial"/>
          <w:sz w:val="18"/>
          <w:szCs w:val="18"/>
          <w:color w:val="auto"/>
        </w:rPr>
      </w:pPr>
    </w:p>
    <w:p>
      <w:pPr>
        <w:ind w:left="740" w:right="460" w:hanging="368"/>
        <w:spacing w:after="0" w:line="277"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the EMA, or other regulatory authorities, including any limitations or warnings contained in a product’s approved labeling;</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Even if any of our product candidates we may develop are approved, such products may not achieve an adequate level of acceptance, we may not generate significant product revenues, and we may not become profitable.</w:t>
      </w:r>
    </w:p>
    <w:p>
      <w:pPr>
        <w:spacing w:after="0" w:line="6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do not have a sales or marketing infrastructure and have limited experience in the sale, marketing, or distribution of pharmaceutical products. To achieve commercial success for any approved medicine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we may develop if and when they are approved.</w:t>
      </w:r>
    </w:p>
    <w:p>
      <w:pPr>
        <w:spacing w:after="0" w:line="8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 candidates we may develop on our own include:</w:t>
      </w:r>
    </w:p>
    <w:p>
      <w:pPr>
        <w:spacing w:after="0" w:line="225" w:lineRule="exact"/>
        <w:rPr>
          <w:sz w:val="20"/>
          <w:szCs w:val="20"/>
          <w:color w:val="auto"/>
        </w:rPr>
      </w:pPr>
    </w:p>
    <w:p>
      <w:pPr>
        <w:ind w:left="740" w:right="340" w:hanging="368"/>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customer service, medical affairs, and other support personnel;</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medicines;</w:t>
      </w:r>
    </w:p>
    <w:p>
      <w:pPr>
        <w:spacing w:after="0" w:line="248" w:lineRule="exact"/>
        <w:rPr>
          <w:rFonts w:ascii="Arial" w:cs="Arial" w:eastAsia="Arial" w:hAnsi="Arial"/>
          <w:sz w:val="16"/>
          <w:szCs w:val="16"/>
          <w:color w:val="auto"/>
        </w:rPr>
      </w:pPr>
    </w:p>
    <w:p>
      <w:pPr>
        <w:ind w:left="740" w:hanging="368"/>
        <w:spacing w:after="0"/>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left="740" w:right="340" w:hanging="368"/>
        <w:spacing w:after="0" w:line="277"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 candidates we may develop to segments of the patient population;</w:t>
      </w:r>
    </w:p>
    <w:p>
      <w:pPr>
        <w:spacing w:after="0" w:line="170" w:lineRule="exact"/>
        <w:rPr>
          <w:rFonts w:ascii="Arial" w:cs="Arial" w:eastAsia="Arial" w:hAnsi="Arial"/>
          <w:sz w:val="18"/>
          <w:szCs w:val="18"/>
          <w:color w:val="auto"/>
        </w:rPr>
      </w:pPr>
    </w:p>
    <w:p>
      <w:pPr>
        <w:ind w:left="740" w:right="340" w:hanging="368"/>
        <w:spacing w:after="0" w:line="277"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lack of complementary medicines to be offered by sales personnel, which may put us at a competitive disadvantage relative to companies with more extensive product lines; and</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commercial support, and distribution services, our product revenues or the profitability of these product revenues to us may be lower than if we were to market and sell any medicines we may develop ourselves. In addition, we may not be successful in entering into arrangements with third parties to commercialize our product candidates we may develop or may be unable to do so on terms that are favorable to us. We may have little control over such third parties, and any of them may fail to devote the necessary resources and attention to sell and market our medicines effectively. If we do not establish commercialization capabilities successfully, either on our own or in collaboration with third parties, we will not be successful in commercializing our product candidates we may develop.</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spacing w:after="0" w:line="7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development and commercialization of new drug products is highly competitive. Moreover, the base editing field is characterized by rapidly changing technologies, significant competition, and a strong emphasis on intellectual property. We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5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There are a number of large pharmaceutical and biotechnology companies that currently market and sell products or are pursuing the development of products for the treatment of the disease indications for which we have research programs. Some of these competitive products and therapies are based on scientific approaches that are the same as or similar to our approach, and others are based on entirely different approaches.</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 are several other companies utilizing CRISPR/Cas9 nuclease technology, including Caribou Biosciences, Editas Medicine, CRISPR Therapeutics, and Intellia Therapeutics. Several additional companies utilize other nuclease-based genome editing technologies, including Zinc Fingers, Arcuses, and TAL Nucleases, which includes Sangamo Biosciences, Precision BioSciences and bluebird bio. The Horizon Discovery Group reported that it licensed base editing technology from Rutgers. In addition, we face competition from companies utilizing gene therapy, oligonucleotides, and CAR-T therapeutic approaches.</w:t>
      </w:r>
    </w:p>
    <w:p>
      <w:pPr>
        <w:spacing w:after="0" w:line="8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Any product candidates that we successfully develop and commercialize will compete with existing therapies and new therapies that may become available in the future that are approved to treat the same diseases for which we may obtain approval for our product candidates we may develop. This may include other types of therapies, such as small molecule, antibody, and/or protein therapies.</w:t>
      </w:r>
    </w:p>
    <w:p>
      <w:pPr>
        <w:spacing w:after="0" w:line="7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Many of our current or potential competitors, either alone or with their collaboration partners,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 candidates that are safer, more effective, have fewer or less severe side effects, are more convenient, or are less expensive than any product candidates that we may develop or that would render any product candidates that we may develop obsolete or non-competitive. Our competitors also may obtain FDA or other regulatory approval for their product candidates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any product candidates we may develop against competitors.</w:t>
      </w:r>
    </w:p>
    <w:p>
      <w:pPr>
        <w:spacing w:after="0" w:line="7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 candidates that we may develop and commercialize.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8" w:name="page39"/>
    <w:bookmarkEnd w:id="38"/>
    <w:p>
      <w:pPr>
        <w:ind w:right="200"/>
        <w:spacing w:after="0" w:line="277" w:lineRule="auto"/>
        <w:rPr>
          <w:sz w:val="20"/>
          <w:szCs w:val="20"/>
          <w:color w:val="auto"/>
        </w:rPr>
      </w:pPr>
      <w:r>
        <w:rPr>
          <w:rFonts w:ascii="Arial" w:cs="Arial" w:eastAsia="Arial" w:hAnsi="Arial"/>
          <w:sz w:val="18"/>
          <w:szCs w:val="18"/>
          <w:b w:val="1"/>
          <w:bCs w:val="1"/>
          <w:i w:val="1"/>
          <w:iCs w:val="1"/>
          <w:color w:val="auto"/>
        </w:rPr>
        <w:t>Adverse public perception of genetic medicines, and gene editing and base editing in particular, may negatively impact regulatory approval of, and/or demand for, our potential products.</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potential therapeutic products involve editing the human genome. The clinical and commercial success of our potential products will depend in part on public understanding and acceptance of the use of gene editing therapy for the prevention or treatment of human diseases. Public attitudes may be influenced by claims that gene editing is unsafe, unethical, or immoral, and, consequently, our product candidates may not gain the acceptance of the public or the medical community. For example, a public backlash developed against gene therapy following the death of a patient in 1999 during a gene therapy clinical trial. The death of the clinical trial subject was due to complications related to AAV vector administration.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gene editing technology is subject to public debate and heightened regulatory scrutiny due to ethical concerns relating to the application of gene editing technology to human embryos or the human germline. For example, academic scientists in several countries, including the United States, have reported on their attempts to edit the gene of human embryos as part of basic research. In addition, in November 2018, Dr. Jiankui He, a Chinese biophysics researcher who was an associate professor in the Department of Biology of the Southern University of Science and Technology in Shenzhen, China, reportedly claimed he had created the first human genetically edited babies, twin girls. This claim, and another that Dr. He had helped create a second gene-edited pregnancy, was subsequently confirmed by Chinese authorities and was negatively received by the public, in particular those in the scientific community. News reports indicate that Dr. He was sentenced to three years in prison and fined $430,000 in December 2019 by the Chinese government for illegal medical practice in connection with such activities. In the wake of the claim, the World Health Organization established a new advisory committee to create global governance and oversight standards for human gene editing. The Alliance for Regenerative Medicine also released principles for the use of gene editing in therapeutic applications endorsed by a number of companies that use gene editing technologies.</w:t>
      </w:r>
    </w:p>
    <w:p>
      <w:pPr>
        <w:spacing w:after="0" w:line="6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Regulation of gene editing technology varies across jurisdictions. In the United States, germline editing for clinical application has been expressly prohibited since enactment of a December 2015 FDA ban on such activity. Prohibitions are also in place in the U.K., across most of Europe, in China, and many other countries around the world. In the United States, the National Institutes of Health, or NIH, has announced that the agency would not fund any use of gene editing technologies in human embryos, noting that there are multiple existing legislative and regulatory prohibitions against such work, including the Dickey-Wicker Amendment, which prohibits the use of appropriated funds for the creation of human embryos for research purposes or for research in which human embryos are destroyed. Laws in the U.K. prohibit genetically modified embryos from being implanted into women, except that mitochondrial replacement therapy has been permitted in the U.K. since 2016. Separately, embryos can be altered in the U.K. in research labs under license from the Human Fertilisation and Embryology Authority. Research on embryos is more tightly controlled in some other European countries.</w:t>
      </w:r>
    </w:p>
    <w:p>
      <w:pPr>
        <w:spacing w:after="0" w:line="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Moreover, in an annual worldwide threat assessment report delivered to the U.S. Congress in February 2016, the U.S. Director of National Intelligence stated that research into gene editing that is conducted under different regulatory standards than those of Western countries probably increases the risk of the creation of potentially harmful biological agents or products, including weapons of mass destruction. He noted that given the broad distribution, low cost, and accelerated pace of development of gene editing technology, its deliberate or unintentional misuse could have far-reaching economic and national security implications.</w:t>
      </w:r>
    </w:p>
    <w:p>
      <w:pPr>
        <w:spacing w:after="0" w:line="8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Although we do not use our technologies to edit human embryos or the human germline, such public debate about the use of gene editing technologies in human embryos and heightened regulatory scrutiny could prevent or delay our development of product candidates. More restrictive government regulations or negative public opinion would have a negative effect on our business or financial condition and may delay or impair our development and commercialization of product candidates or demand for any product candidates we may develop. Adverse events in our preclinical studies or clinical trials or those of our competitors or of academic researchers utilizing gene editing technologies, even if not ultimately attributable to product candidates we may identify and develop, and the gene publicity could result in increased governmental regulation, unfavorable public perception, potential regulatory delays in the testing or approval of potential product candidates we may identify and develop, stricter labeling requirements for those product candidates that are approved, and a decrease in demand for any such product candidates. Use of gene editing technology by a third party or government to develop biological agents or products that threaten U.S. national security could similarly result in such negative impacts to us.</w:t>
      </w:r>
    </w:p>
    <w:p>
      <w:pPr>
        <w:spacing w:after="0" w:line="5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regulations that govern marketing approvals, pricing, and reimbursement for new medicines vary widely from country to country.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ind w:right="440"/>
        <w:spacing w:after="0" w:line="259" w:lineRule="auto"/>
        <w:rPr>
          <w:sz w:val="20"/>
          <w:szCs w:val="20"/>
          <w:color w:val="auto"/>
        </w:rPr>
      </w:pPr>
      <w:r>
        <w:rPr>
          <w:rFonts w:ascii="Arial" w:cs="Arial" w:eastAsia="Arial" w:hAnsi="Arial"/>
          <w:sz w:val="18"/>
          <w:szCs w:val="18"/>
          <w:color w:val="auto"/>
        </w:rPr>
        <w:t>approval for a medicine in a particular country, but then be subject to price regulations that delay or might even prevent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we may develop, even if any product candidates we may develop obtain marketing approval.</w:t>
      </w:r>
    </w:p>
    <w:p>
      <w:pPr>
        <w:spacing w:after="0" w:line="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ability to commercialize any medicines successfully also will depend in part on the extent to which reimbursement for these medicines and related treatments will be available from government authorities or healthcare program, private health plans, and other organizations. Government authorities and third-party payors, such as private health plans,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challenging the prices charged for medical products and requiring that drug companies provide them with predetermined discounts from list prices. Novel medical products, if covered at all, may be subject to enhanced utilization management controls designed to ensure that the products are used only when medically necessary. Such utilization management controls may discourage the prescription or use of a medical product by increasing the administrative burden associated with its prescription or creating coverage uncertainties for prescribers and patients. We cannot be sure that reimbursement will be available for any medicine that we commercialize and, if reimbursement is available, that the level of reimbursement will be adequate.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may be significant delays in obtaining reimbursement for newly approved medicines, and coverage may be more limited than the purposes for which the medicine is approved by the FDA, the EMA or other regulatory authorities outside the United States. Moreover, eligibility for reimbursement does not imply that any medicine will be paid for in all cases or at a rate that covers our costs, including research, development, manufacture, sale, and distribution. Interim reimbursement levels for new medicines, if applicable, may also not be sufficient to cover our costs and may not be made permanent.</w:t>
      </w:r>
    </w:p>
    <w:p>
      <w:pPr>
        <w:spacing w:after="0" w:line="1"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Our inability to promptly obtain coverage and profitable payment rates from both government-funded and private payors for any approved medicines we may develop could have a material adverse effect on our operating results, our ability to raise capital needed to commercialize medicines, and our overall financial condition.</w:t>
      </w:r>
    </w:p>
    <w:p>
      <w:pPr>
        <w:spacing w:after="0" w:line="56" w:lineRule="exact"/>
        <w:rPr>
          <w:sz w:val="20"/>
          <w:szCs w:val="20"/>
          <w:color w:val="auto"/>
        </w:rPr>
      </w:pPr>
    </w:p>
    <w:p>
      <w:pPr>
        <w:ind w:right="720"/>
        <w:spacing w:after="0" w:line="375" w:lineRule="auto"/>
        <w:rPr>
          <w:sz w:val="20"/>
          <w:szCs w:val="20"/>
          <w:color w:val="auto"/>
        </w:rPr>
      </w:pPr>
      <w:r>
        <w:rPr>
          <w:rFonts w:ascii="Arial" w:cs="Arial" w:eastAsia="Arial" w:hAnsi="Arial"/>
          <w:sz w:val="15"/>
          <w:szCs w:val="15"/>
          <w:b w:val="1"/>
          <w:bCs w:val="1"/>
          <w:i w:val="1"/>
          <w:iCs w:val="1"/>
          <w:color w:val="auto"/>
        </w:rPr>
        <w:t>Due to the novel nature of our technology and the potential for any product candidates we may develop to offer therapeutic benefit in a single administration or limited number of administrations, we face uncertainty related to pricing and reimbursement for these product candidates.</w:t>
      </w:r>
    </w:p>
    <w:p>
      <w:pPr>
        <w:spacing w:after="0" w:line="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initial target patient populations are relatively small, as a result of which the pricing and reimbursement of any product candidates we may develop, if approved, must be adequate to support the necessary commercial infrastructure. If we are unable to obtain adequate levels of reimbursement, our ability to successfully market and sell any such product candidates will be adversely affected. The manner and level at which reimbursement is provided for services related to any product candidates we may develop (e.g., for administration of our product candidate to patients) is also important. Inadequate reimbursement for such services may lead to physician and payor resistance and adversely affect our ability to market or sell our product candidates we may develop. In addition, we may need to develop new reimbursement models in order to realize adequate value. Payors may not be able or willing to adopt such new models, and patients may be unable to afford that portion of the cost that such models may require them to bear. If we determine such new models are necessary but we are unsuccessful in developing them, or if such models are not adopted by payors, our business, financial condition, results of operations, and prospects could be adversely affected.</w:t>
      </w:r>
    </w:p>
    <w:p>
      <w:pPr>
        <w:spacing w:after="0" w:line="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expect the cost of a single administration of genetic medicines, such as those we are seeking to develop, to be substantial, when and if they achieve regulatory approval. We expect that coverage and reimbursement by government and private payors will be essential for most patients to be able to afford these treatments. Accordingly, sales of any such product candidates will depend substantially, both domestically and abroad, on the extent to which the costs of any product candidates we may develop will be paid by government authorities, private health plans, and other third-party payors. Payors may not be willing to pay high prices for a single administration. Coverage and reimbursement by a third-party payor may depend upon several factors, including the third-party payor’s determination that use of a product is:</w:t>
      </w:r>
    </w:p>
    <w:p>
      <w:pPr>
        <w:spacing w:after="0" w:line="178" w:lineRule="exact"/>
        <w:rPr>
          <w:sz w:val="20"/>
          <w:szCs w:val="20"/>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0" w:name="page41"/>
    <w:bookmarkEnd w:id="40"/>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Obtaining coverage and reimbursement for a product from third-party payors is a time-consuming and costly process that could require us to provide to the payor supporting scientific, clinical, and cost-effectiveness data. There is significant uncertainty related to third-party coverage and reimbursement of newly approved products. We may not be able to provide data sufficient to gain acceptance with respect to coverage and reimbursement. If coverage and reimbursement are not available, or are available only at limited levels, we may not be able to successfully commercialize any product candidates we may develop. Even if coverage is provided, the approved reimbursement amount may not be adequate to realize a sufficient return on our investment.</w:t>
      </w:r>
    </w:p>
    <w:p>
      <w:pPr>
        <w:spacing w:after="0" w:line="5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Moreover, the downward pressure on healthcare costs in general, particularly prescription drugs and surgical procedures and other treatments, has become intense. As a result, increasingly high barriers are being erected to the entry of new product candidates such as ours. If we are unable to obtain adequate levels of reimbursement, our ability to successfully market and sell any product candidates we may develop will be harmed.</w:t>
      </w:r>
    </w:p>
    <w:p>
      <w:pPr>
        <w:spacing w:after="0" w:line="5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b w:val="1"/>
          <w:bCs w:val="1"/>
          <w:i w:val="1"/>
          <w:iCs w:val="1"/>
          <w:color w:val="auto"/>
        </w:rPr>
        <w:t>If the market opportunities for any product candidates we may develop are smaller than we believe they are, our potential revenues may be adversely affected, and our business may suffer. Because the target patient populations for many of the product candidates we may develop are small, we must be able to successfully identify patients and achieve a significant market share to maintain profitability and growth.</w:t>
      </w:r>
    </w:p>
    <w:p>
      <w:pPr>
        <w:spacing w:after="0" w:line="4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focus our research and product development on treatments for rare genetically defined diseases. Many of our product candidates we may develop are expected to target a single mutation; as a result, the relevant patient population may therefore be small. Our projections of both the number of people who have these diseases, as well as the subset of people with these diseases who have the potential to benefit from treatment with product candidates we may develop, are based on estimates. These estimates may prove to be incorrect and new studies may change the estimated incidence or prevalence of these diseases. The number of patients in the United States, Europe, and elsewhere may turn out to be lower than expected, and patients may not be amenable to treatment with our product candidates we may develop, or may become increasingly difficult to identify or gain access to, all of which would adversely affect our business, financial condition, results of operations, and prospects. Additionally, because of the potential that any product candidates we develop could cure a target disease, we may not receive recurring revenues from patients and may deplete the patient population prevalence through curative therapy.</w:t>
      </w:r>
    </w:p>
    <w:p>
      <w:pPr>
        <w:spacing w:after="0" w:line="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medicines that we may develop.</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face an inherent risk of product liability exposure related to the testing in human clinical trials of any product candidates we may develop and will face an even greater risk if we commercially sell any medicines that we may develop. If we cannot successfully defend ourselves against claims that our product candidates or medicines caused injuries, we could incur substantial liabilities. Regardless of merit or eventual outcome, liability claims may result in:</w:t>
      </w:r>
    </w:p>
    <w:p>
      <w:pPr>
        <w:spacing w:after="0" w:line="149" w:lineRule="exact"/>
        <w:rPr>
          <w:sz w:val="20"/>
          <w:szCs w:val="20"/>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any product candidates or medicines that we may develop;</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any medicines that we may develop.</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will need to increase our insurance coverage when we begin clinical trials and if we successfully commercialize any medicine. Insurance coverage is increasingly expensive. We may not be able to maintain insurance coverage at a reasonable cost or in an amount adequate to satisfy any liability that may arise.</w:t>
      </w:r>
    </w:p>
    <w:p>
      <w:pPr>
        <w:spacing w:after="0" w:line="4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1" w:name="page42"/>
    <w:bookmarkEnd w:id="41"/>
    <w:p>
      <w:pPr>
        <w:ind w:right="200"/>
        <w:spacing w:after="0" w:line="301" w:lineRule="auto"/>
        <w:rPr>
          <w:sz w:val="20"/>
          <w:szCs w:val="20"/>
          <w:color w:val="auto"/>
        </w:rPr>
      </w:pPr>
      <w:r>
        <w:rPr>
          <w:rFonts w:ascii="Arial" w:cs="Arial" w:eastAsia="Arial" w:hAnsi="Arial"/>
          <w:sz w:val="16"/>
          <w:szCs w:val="16"/>
          <w:color w:val="auto"/>
        </w:rPr>
        <w:t>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4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5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Genetic medicines are novel, and any product candidates we develop may be complex and difficult to manufacture. We could experience delays in satisfying regulatory authorities or production problems that result in delays in our development or commercialization programs, limit the supply of our product candidates we may develop, or otherwise harm our business.</w:t>
      </w:r>
    </w:p>
    <w:p>
      <w:pPr>
        <w:spacing w:after="0" w:line="7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Any product candidates we may develop will likely require processing steps that are more complex than those required for most chemical pharmaceuticals. Moreover, unlike chemical pharmaceuticals, the physical and chemical properties of a biologic such as the product candidates we intend to develop generally cannot be fully characterized. As a result, assays of the finished product candidate may not be sufficient to ensure that the product candidate will perform in the intended manner. Problems with the manufacturing process, even minor deviations from the normal process, could result in product defects or manufacturing failures that result in lot failures, product recalls, product liability claims, insufficient inventory, or potentially delay progression of our potential IND filings. If we successfully develop product candidates, we may encounter problems achieving adequate quantities and quality of clinical-grade materials that meet FDA, EMA or other comparable applicable foreign standards or specifications with consistent and acceptable production yields and costs. For example, the current approach of manufacturing AAV vectors may fall short of supplying required number of doses needed for advanced stages of pre-clinical studies or clinical trials, and the FDA may ask us to demonstrate that we have the appropriate manufacturing processes in place to support the higher-dose group in our future pre-clinical studies or clinical trials. In addition, our product candidates we may develop will require complicated delivery modalities, such as electroporation, LNPs, or viral vectors, each of which will introduce additional complexities in the manufacturing process.</w:t>
      </w:r>
    </w:p>
    <w:p>
      <w:pPr>
        <w:spacing w:after="0" w:line="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the FDA, the EMA, and other regulatory authorities may require us to submit samples of any lot of any approved product together with the protocols showing the results of applicable tests at any time. Under some circumstances, the FDA, the EMA, or other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w:t>
      </w:r>
    </w:p>
    <w:p>
      <w:pPr>
        <w:spacing w:after="0" w:line="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Furthermore, we intend to use novel split intein technology for any AAV gene therapy that allows us to deliver the base editor and guide RNA construct by co-infection with two viruses, where each virus contains one half of the editor. The scientific evidence to support the feasibility of developing product candidates based on this technology is both preliminary and limited.</w:t>
      </w:r>
    </w:p>
    <w:p>
      <w:pPr>
        <w:spacing w:after="0" w:line="7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also may encounter problems hiring and retaining the experienced scientific, quality control, and manufacturing personnel needed to manage our manufacturing process, which could result in delays in our production or difficulties in maintaining compliance with applicable regulatory requirements.</w:t>
      </w:r>
    </w:p>
    <w:p>
      <w:pPr>
        <w:spacing w:after="0" w:line="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Given the nature of biologics manufacturing, including for the lentivirus vectors and AAV vectors, there is a risk of contamination during manufacturing. Any contamination could materially harm our ability to produce product candidates on schedule and could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right="180"/>
        <w:spacing w:after="0" w:line="257" w:lineRule="auto"/>
        <w:rPr>
          <w:sz w:val="20"/>
          <w:szCs w:val="20"/>
          <w:color w:val="auto"/>
        </w:rPr>
      </w:pPr>
      <w:r>
        <w:rPr>
          <w:rFonts w:ascii="Arial" w:cs="Arial" w:eastAsia="Arial" w:hAnsi="Arial"/>
          <w:sz w:val="18"/>
          <w:szCs w:val="18"/>
          <w:color w:val="auto"/>
        </w:rPr>
        <w:t>harm our results of operations and cause reputational damage. Some of the raw materials that we anticipate will be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may develop could adversely impact or disrupt the commercial manufacturing or the production of clinical material, which could materially harm our development timelines and our business, financial condition, results of operations, and prospects.</w:t>
      </w:r>
    </w:p>
    <w:p>
      <w:pPr>
        <w:spacing w:after="0" w:line="8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 or facilities also could restrict our ability to ensure sufficient clinical material for any clinical trials we may be conducting or are planning to conduct and meet market demand for any product candidates we develop and commercialize.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review</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Because base editing is novel and the regulatory landscape that will govern any product candidates, we may develop is uncertain and may change, we cannot predict the time and cost of obtaining regulatory approval, if we receive it at all, for any product candidates we may develop.</w:t>
      </w:r>
    </w:p>
    <w:p>
      <w:pPr>
        <w:spacing w:after="0" w:line="1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regulatory requirements that will govern any novel base editing product candidates we develop are not entirely clear and may change. Within the broader genetic medicine field, we are aware of a limited number of gene therapy products that have received marketing authorization from the FDA and the EMA.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and sometimes uncoordinated, overlap in those responsible for regulation of existing gene therapy products and cell therapy products. For example, in the United States, the FDA has established the Office of Tissues and Advanced Therapies within its Center for Biologics Evaluation and Research, or CBER, to consolidate the review of gene therapy and related products, and the Cellular, Tissue and Gene Therapies Advisory Committee to advise CBER on its review. Gene therapy clinical trials are also subject to review and oversight by an institutional biosafety committee, or IBC, a local institutional committee that reviews and oversees basic and clinical research conducted at the institution participating in the clinical trial.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6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same applies in the EU. The EMA’s Committee for Advanced Therapies, or CAT, is responsible for assessing the quality, safety, and efficacy of advanced-therapy medicinal products. The role of the CAT is to prepare a draft opinion on an application for marketing authorization for a gene therapy medicinal candidate that is submitted to the Committee for Medicinal Products for Human Use, or CHMP, before CHMP adopts its final opinion. In the EU, the development and evaluation of a gene therapy medicinal product must be considered in the context of the relevant EU guidelines. The EMA may issue new guidelines concerning the development and marketing authorization for gene therapy medicinal products and require that we comply with these new guidelines. As a result, the procedures and standards applied to gene therapy products and cell therapy products may be applied to any product candidates we may develop, but that remains uncertain at this point.</w:t>
      </w:r>
    </w:p>
    <w:p>
      <w:pPr>
        <w:spacing w:after="0" w:line="6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Adverse developments in post-marketing experience or in clinical trials conducted by others of gene therapy products, cell therapy products, or products developed through the application of a base editing or other gene editing technology may cause the FDA, the EMA, and other regulatory bodies to revise the requirements for development or approval of any product candidates we may develop or limit the use of products utilizing base editing technologies, either of which could materially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the product candidates we may develop can be more expensive and take longer than for other, better known, or more extensively studied pharmaceutical or other product candidates. Regulatory agencies administering existing or future regulations or legislation may not allow production and marketing of products utilizing base editing technology in a timely manner or under technically or commercially feasible conditions. In addition, regulatory action or private litigation could result in expenses, delays, or other impediments to our research programs or the commercialization of resulting products.</w:t>
      </w:r>
    </w:p>
    <w:p>
      <w:pPr>
        <w:spacing w:after="0" w:line="6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regulatory review committees and advisory groups described above and the new guidelines they promulgate may lengthen the regulatory review process, require us to perform additional studies or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3" w:name="page44"/>
    <w:bookmarkEnd w:id="43"/>
    <w:p>
      <w:pPr>
        <w:jc w:val="both"/>
        <w:ind w:right="160"/>
        <w:spacing w:after="0" w:line="286" w:lineRule="auto"/>
        <w:rPr>
          <w:sz w:val="20"/>
          <w:szCs w:val="20"/>
          <w:color w:val="auto"/>
        </w:rPr>
      </w:pPr>
      <w:r>
        <w:rPr>
          <w:rFonts w:ascii="Arial" w:cs="Arial" w:eastAsia="Arial" w:hAnsi="Arial"/>
          <w:sz w:val="17"/>
          <w:szCs w:val="17"/>
          <w:b w:val="1"/>
          <w:bCs w:val="1"/>
          <w:i w:val="1"/>
          <w:iCs w:val="1"/>
          <w:color w:val="auto"/>
        </w:rPr>
        <w:t>Because we are developing product candidates in the field of genetic medicines, a field that includes gene therapy and gene editing, in which there is little clinical experience, there is increased risk that the FDA, the EMA, or other regulatory authorities may not consider the endpoints of our clinical trials to provide clinically meaningful results and that these results may be difficult to analyze.</w:t>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the regulatory review process, we will need to identify success criteria and endpoints such that the FDA, the EMA, or other regulatory authorities will be able to determine the clinical efficacy and safety profile of any product candidates we may develop. As we are initially seeking to identify and develop product candidates to treat diseases in which there is little clinical experience using new technologies, there is heightened risk that the FDA, the EMA, or other regulatory authorities may not consider the clinical trial endpoints that we propose to provide clinically meaningful results (reflecting a tangible benefit to patients). In addition, the resulting clinical data and results may be difficult to analyze. Even if the FDA does find our success criteria to be sufficiently validated and clinically meaningful, we may not achieve the pre-specified endpoints to a degree of statistical significance. This may be a particularly significant risk for many of the genetically defined diseases for which we plan to develop product candidates because many of these diseases, including T-cell acute lymphoblastic leukemia, glycogen storage disorder and Stargardt disease, have small patient populations, and designing and executing a rigorous clinical trial with appropriate statistical power is more difficult than with diseases that have larger patient populations. Further,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Other regulatory authorities in the EU and other countries may make similar comments with respect to these endpoints and data. Any product candidates we may develop will be based on a novel technology that makes it difficult to predict the time and cost of development and of subsequently obtaining regulatory approval. No gene editing therapeutic product has been approved in the United States or in Europe.</w:t>
      </w:r>
    </w:p>
    <w:p>
      <w:pPr>
        <w:spacing w:after="0" w:line="6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If clinical trials of any product candidates we may identify and develop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7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Before obtaining marketing approval from regulatory authorities for the sale of any product candidates we identify and develop, we must complete preclinical development and then conduct extensive clinical trials to demonstrate the safety and efficacy in humans.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w:t>
      </w:r>
    </w:p>
    <w:p>
      <w:pPr>
        <w:spacing w:after="0" w:line="8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Moreover, preclinical and clinical data are often susceptible to varying interpretations and analyses. Many companies that have believed their product candidates performed satisfactorily in preclinical studies and clinical trials have nonetheless failed to obtain marketing approval of their product candidates.</w:t>
      </w:r>
    </w:p>
    <w:p>
      <w:pPr>
        <w:spacing w:after="0" w:line="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and our collaborators, if any, may experience numerous unforeseen events during, or as a result of, clinical trials that could delay or prevent our ability to receive marketing approval or commercialize any product candidates we may identify and develop, including:</w:t>
      </w:r>
    </w:p>
    <w:p>
      <w:pPr>
        <w:spacing w:after="0" w:line="170" w:lineRule="exact"/>
        <w:rPr>
          <w:sz w:val="20"/>
          <w:szCs w:val="20"/>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reaching a consensus with regulators on trial design;</w:t>
      </w:r>
    </w:p>
    <w:p>
      <w:pPr>
        <w:spacing w:after="0" w:line="225" w:lineRule="exact"/>
        <w:rPr>
          <w:rFonts w:ascii="Arial" w:cs="Arial" w:eastAsia="Arial" w:hAnsi="Arial"/>
          <w:sz w:val="18"/>
          <w:szCs w:val="18"/>
          <w:color w:val="auto"/>
        </w:rPr>
      </w:pPr>
    </w:p>
    <w:p>
      <w:pPr>
        <w:ind w:left="740" w:right="480" w:hanging="368"/>
        <w:spacing w:after="0" w:line="277"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regulators, institutional review boards, or IRBs, or independent ethics committees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clinical trial contracts or clinical trial protocols with prospective contract research organizations, or CROs, and clinical trial sites;</w:t>
      </w:r>
    </w:p>
    <w:p>
      <w:pPr>
        <w:spacing w:after="0" w:line="170" w:lineRule="exact"/>
        <w:rPr>
          <w:rFonts w:ascii="Arial" w:cs="Arial" w:eastAsia="Arial" w:hAnsi="Arial"/>
          <w:sz w:val="18"/>
          <w:szCs w:val="18"/>
          <w:color w:val="auto"/>
        </w:rPr>
      </w:pPr>
    </w:p>
    <w:p>
      <w:pPr>
        <w:ind w:left="740" w:right="320" w:hanging="368"/>
        <w:spacing w:after="0" w:line="277"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trials of any product candidates we may develop may produce negative or inconclusive results, and we may decide, or regulators may require us, to conduct additional clinical trials or abandon product development or research programs;</w:t>
      </w:r>
    </w:p>
    <w:p>
      <w:pPr>
        <w:spacing w:after="0" w:line="170" w:lineRule="exact"/>
        <w:rPr>
          <w:rFonts w:ascii="Arial" w:cs="Arial" w:eastAsia="Arial" w:hAnsi="Arial"/>
          <w:sz w:val="18"/>
          <w:szCs w:val="18"/>
          <w:color w:val="auto"/>
        </w:rPr>
      </w:pPr>
    </w:p>
    <w:p>
      <w:pPr>
        <w:ind w:left="740" w:right="440" w:hanging="368"/>
        <w:spacing w:after="0" w:line="277"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in designing well-controlled clinical trials due to ethical considerations which may render it inappropriate to conduct a trial with a control arm that can be effectively compared to a treatment arm;</w:t>
      </w:r>
    </w:p>
    <w:p>
      <w:pPr>
        <w:spacing w:after="0" w:line="170" w:lineRule="exact"/>
        <w:rPr>
          <w:rFonts w:ascii="Arial" w:cs="Arial" w:eastAsia="Arial" w:hAnsi="Arial"/>
          <w:sz w:val="18"/>
          <w:szCs w:val="18"/>
          <w:color w:val="auto"/>
        </w:rPr>
      </w:pPr>
    </w:p>
    <w:p>
      <w:pPr>
        <w:ind w:left="740" w:right="300" w:hanging="368"/>
        <w:spacing w:after="0" w:line="277"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in designing clinical trials and selecting endpoints for diseases that have not been well-studied and for which the natural history and course of the disease is poorly understood;</w:t>
      </w:r>
    </w:p>
    <w:p>
      <w:pPr>
        <w:spacing w:after="0" w:line="170" w:lineRule="exact"/>
        <w:rPr>
          <w:rFonts w:ascii="Arial" w:cs="Arial" w:eastAsia="Arial" w:hAnsi="Arial"/>
          <w:sz w:val="18"/>
          <w:szCs w:val="18"/>
          <w:color w:val="auto"/>
        </w:rPr>
      </w:pPr>
    </w:p>
    <w:p>
      <w:pPr>
        <w:ind w:left="740" w:right="20" w:hanging="368"/>
        <w:spacing w:after="0" w:line="259"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any product candidates we may develop may be larger than we anticipate; enrollment of suitable participants in these clinical trials, which may be particularly challenging for some of the rare genetically defined diseases we are targeting in our most advanced programs, may be delayed or slower than we anticipate; or patients may drop out of these clinical trials at a higher rate than we anticipate;</w:t>
      </w:r>
    </w:p>
    <w:p>
      <w:pPr>
        <w:spacing w:after="0" w:line="186" w:lineRule="exact"/>
        <w:rPr>
          <w:rFonts w:ascii="Arial" w:cs="Arial" w:eastAsia="Arial" w:hAnsi="Arial"/>
          <w:sz w:val="18"/>
          <w:szCs w:val="18"/>
          <w:color w:val="auto"/>
        </w:rPr>
      </w:pPr>
    </w:p>
    <w:p>
      <w:pPr>
        <w:ind w:left="740" w:right="220" w:hanging="368"/>
        <w:spacing w:after="0" w:line="277"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left="740" w:right="320" w:hanging="368"/>
        <w:spacing w:after="0" w:line="259"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regulators, IRBs, or independent ethics committees may require that we or our investigators suspend or terminate clinical research or clinical trials of any product candidates we may develop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spacing w:after="0" w:line="186"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clinical trials of any product candidates we may develop may be greater than we anticipate;</w:t>
      </w:r>
    </w:p>
    <w:p>
      <w:pPr>
        <w:spacing w:after="0" w:line="225" w:lineRule="exact"/>
        <w:rPr>
          <w:rFonts w:ascii="Arial" w:cs="Arial" w:eastAsia="Arial" w:hAnsi="Arial"/>
          <w:sz w:val="18"/>
          <w:szCs w:val="18"/>
          <w:color w:val="auto"/>
        </w:rPr>
      </w:pPr>
    </w:p>
    <w:p>
      <w:pPr>
        <w:ind w:left="740" w:right="120" w:hanging="368"/>
        <w:spacing w:after="0" w:line="259"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supply or quality of any product candidates we may develop or other materials necessary to conduct clinical trials of any product candidates we may develop may be insufficient or inadequate, including as a result of delays in the testing, validation, manufacturing, and delivery of any product candidates we may develop to the clinical sites by us or by third parties with whom we have contracted to perform certain of those functions;</w:t>
      </w:r>
    </w:p>
    <w:p>
      <w:pPr>
        <w:spacing w:after="0" w:line="186"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trial sites dropping out of a trial;</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occurrence of serious adverse events associated with any product candidates we may develop that are viewed to outweigh their potential benefits;</w:t>
      </w:r>
    </w:p>
    <w:p>
      <w:pPr>
        <w:spacing w:after="0" w:line="248" w:lineRule="exact"/>
        <w:rPr>
          <w:rFonts w:ascii="Arial" w:cs="Arial" w:eastAsia="Arial" w:hAnsi="Arial"/>
          <w:sz w:val="16"/>
          <w:szCs w:val="16"/>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occurrence of serious adverse events in trials of the same class of agents conducted by other sponsors;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disruption to the operations of the FDA;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If we or our collaborators are required to conduct additional clinical trials or other testing of any product candidates we may develop beyond those that we currently contemplate, if we or our collaborators are unable to successfully complete clinical trials or other testing of any product candidates we may develop, or if the results of these trials or tests are not positive or are only modestly positive or if there are safety concerns, we or our collaborators may:</w:t>
      </w:r>
    </w:p>
    <w:p>
      <w:pPr>
        <w:spacing w:after="0" w:line="149" w:lineRule="exact"/>
        <w:rPr>
          <w:sz w:val="20"/>
          <w:szCs w:val="20"/>
          <w:color w:val="auto"/>
        </w:rPr>
      </w:pPr>
    </w:p>
    <w:p>
      <w:pPr>
        <w:ind w:left="740" w:hanging="368"/>
        <w:spacing w:after="0"/>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be delayed in obtaining marketing approval for any such product candidates we may develop or not obtain marketing approval at all;</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225"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impose restrictions on its distribution in the form of a REMS or through modification to an existing REMS;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sued; or</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Product development costs will also increase if we or our collaborators experience delays in clinical trials or other testing or in obtaining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any product candidates we may develop, could allow our competitors to bring products to market before we do, and could impair our ability to successfully commercialize any product candidates we may develop, any of which may harm our business, financial condition, results of operations, and prospects.</w:t>
      </w:r>
    </w:p>
    <w:p>
      <w:pPr>
        <w:spacing w:after="0" w:line="5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or our collaborators may not be able to initiate or continue clinical trials for any product candidates we identify or develop if we are unable to locate and enroll a sufficient number of eligible patients to participate in these trials as required by the FDA, the EMA or other analogous regulatory authorities outside the United States, or as needed to provide appropriate statistical power for a given trial. Enrollment may be particularly challenging for some of the rare genetically defined diseases we are targeting in our most advanced programs. In addition, if patients are unwilling to participate in our base editing trials because of negative publicity from adverse events related to the biotechnology, gene therapy, or gene editing fields, competitive clinical trials for similar patient populations,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5" w:name="page46"/>
    <w:bookmarkEnd w:id="45"/>
    <w:p>
      <w:pPr>
        <w:spacing w:after="0" w:line="259" w:lineRule="auto"/>
        <w:rPr>
          <w:sz w:val="20"/>
          <w:szCs w:val="20"/>
          <w:color w:val="auto"/>
        </w:rPr>
      </w:pPr>
      <w:r>
        <w:rPr>
          <w:rFonts w:ascii="Arial" w:cs="Arial" w:eastAsia="Arial" w:hAnsi="Arial"/>
          <w:sz w:val="18"/>
          <w:szCs w:val="18"/>
          <w:color w:val="auto"/>
        </w:rPr>
        <w:t>clinical trials in competing products, or for other reasons, the timeline for recruiting patients, conducting studies, and obtaining regulatory approval of any product candidates we may develop may be delayed. Moreover, some of our competitors may have ongoing clinical trials for product candidates that would treat the same indications as any product candidates we may develop, and patients who would otherwise be eligible for our clinical trials may instead enroll in clinical trials of our competitors’ product candidates.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Patient enrollment is also affected by other factors, including:</w:t>
      </w:r>
    </w:p>
    <w:p>
      <w:pPr>
        <w:spacing w:after="0" w:line="225" w:lineRule="exact"/>
        <w:rPr>
          <w:sz w:val="20"/>
          <w:szCs w:val="20"/>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for the disease under investigation;</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ability to obtain and maintain patient informed consent;</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eligibility and exclusion criteria for the trial in question;</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trial;</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perceived risks and benefits of base editing as a therapeutic approach;</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especially for those conditions which have small patient pools.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ability to successfully initiate, enroll, and complete a clinical trial in any foreign country is subject to numerous risks unique to conducting business in foreign countries, including:</w:t>
      </w:r>
    </w:p>
    <w:p>
      <w:pPr>
        <w:spacing w:after="0" w:line="170" w:lineRule="exact"/>
        <w:rPr>
          <w:sz w:val="20"/>
          <w:szCs w:val="20"/>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CROs and physicians;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different standard-of-care for patients with a particular disease;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difficulty in locating qualified local consultants, physicians, and partners; and</w:t>
      </w:r>
    </w:p>
    <w:p>
      <w:pPr>
        <w:spacing w:after="0" w:line="225" w:lineRule="exact"/>
        <w:rPr>
          <w:rFonts w:ascii="Arial" w:cs="Arial" w:eastAsia="Arial" w:hAnsi="Arial"/>
          <w:sz w:val="18"/>
          <w:szCs w:val="18"/>
          <w:color w:val="auto"/>
        </w:rPr>
      </w:pPr>
    </w:p>
    <w:p>
      <w:pPr>
        <w:ind w:left="740" w:right="620" w:hanging="368"/>
        <w:spacing w:after="0" w:line="277"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burden of complying with a variety of foreign laws, medical standards, and regulatory requirements, including the regulation of pharmaceutical and biotechnology products and treatment and of gene editing technologies.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Enrollment delays in our clinical trials may result in increased development costs for any product candidates we may develop, which would cause the value of our company to decline and limit our ability to obtain additional financing. If we or our collaborators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79"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If we are unable to successfully identify patients who are likely to benefit from therapy with any product candidates we develop, or experience significant delays in doing so, we may not realize the full commercial potential of any medicines we may develop.</w:t>
      </w:r>
    </w:p>
    <w:p>
      <w:pPr>
        <w:spacing w:after="0" w:line="3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success may depend, in part, on our ability to identify patients who are likely to benefit from therapy with any medicines we may develop, which requires those potential patients to have their DNA analyzed for the presence or absence of a particular sequence. If we, or any third parties that we engage to assist us, are unable to successfully identify such patients, or experience delays in doing so, then:</w:t>
      </w:r>
    </w:p>
    <w:p>
      <w:pPr>
        <w:spacing w:after="0" w:line="184" w:lineRule="exact"/>
        <w:rPr>
          <w:sz w:val="20"/>
          <w:szCs w:val="20"/>
          <w:color w:val="auto"/>
        </w:rPr>
      </w:pPr>
    </w:p>
    <w:p>
      <w:pPr>
        <w:ind w:left="740" w:right="320" w:hanging="368"/>
        <w:spacing w:after="0" w:line="277"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develop any product candidates may be adversely affected if we are unable to appropriately select patients for enrollment in our clinical trials; and</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6" w:name="page47"/>
    <w:bookmarkEnd w:id="46"/>
    <w:p>
      <w:pPr>
        <w:ind w:left="740" w:right="120" w:hanging="368"/>
        <w:spacing w:after="0" w:line="277"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product candidates we develop that receive marketing approval if, among other reasons, we are unable to appropriately select patients who are likely to benefit from therapy with our medicines.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Any product candidates we develop may require use of a companion diagnostic to identify patients who are likely to benefit from therapy. If safe and effective use of any of our product candidates we may develop depends on a companion diagnostic, we may not receive marketing approval, or marketing approval may be delayed, if we are unable to or are delayed in developing, identifying, or obtaining regulatory approval or clearance for the companion diagnostic product for use with our product candidate. Identifying a manufacturer of the companion diagnostic and entering into an agreement with the manufacturer could also delay the development of our product candidates.</w:t>
      </w:r>
    </w:p>
    <w:p>
      <w:pPr>
        <w:spacing w:after="0" w:line="80"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As a result of these factors, we may be unable to successfully develop and realize the commercial potential of any product candidates we may identify and develop, and our business, financial condition, results of operations, and prospects would be materially adversely affected.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We expect to rely on third parties to manufacture components of our product candidates we may develop, conduct our clinical trials and some aspects of our research and preclinical testing, and those third parties may not perform satisfactorily, including failing to meet deadlines for the completion of such trials, research, or testing.</w:t>
      </w:r>
    </w:p>
    <w:p>
      <w:pPr>
        <w:spacing w:after="0" w:line="7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expect to rely on third parties, such as CROs, clinical data management organizations, medical institutions, and clinical investigators, to manufacture components of our product candidates we may develop and to conduct our clinical trials. We currently rely and expect to continue to rely on third parties to conduct some aspects of our research and preclinical testing. For example, we rely on a third party to conduct electroporation; we rely on a third party to supply LNPs; and we rely on third parties to manufacture viral vectors. Any of these third parties may terminate their engagements with us at any time under certain criteria. If we need to enter into alternative arrangements, it may delay our product development activities.</w:t>
      </w:r>
    </w:p>
    <w:p>
      <w:pPr>
        <w:spacing w:after="0" w:line="5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EMA and other regulatory authorities require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In the United States,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6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Although we intend to design the clinical trials for our product candidates, CROs will conduct some or all of the clinical trials. As a result, many important aspects of our development programs, including their conduct and timing, will be outside of our direct control. Our reliance on third parties to conduct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76" w:lineRule="exact"/>
        <w:rPr>
          <w:sz w:val="20"/>
          <w:szCs w:val="20"/>
          <w:color w:val="auto"/>
        </w:rPr>
      </w:pPr>
    </w:p>
    <w:p>
      <w:pPr>
        <w:ind w:left="740" w:hanging="368"/>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preclinical studies and clinical trials and may subject us to unexpected cost increases that are beyond our control. If the CROs and other third parties do not perform preclinical studies and future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7" w:name="page48"/>
    <w:bookmarkEnd w:id="47"/>
    <w:p>
      <w:pPr>
        <w:ind w:right="320"/>
        <w:spacing w:after="0" w:line="263"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76"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i w:val="1"/>
          <w:iCs w:val="1"/>
          <w:color w:val="auto"/>
        </w:rPr>
        <w:t>We contract with third parties for the manufacture of materials for our research programs and preclinical studies and expect to continue to do so for clinical trials and for commercialization of any product candidates that we may develop. This reliance on third parties increases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do not have any manufacturing facilities at the present time. We currently rely on third-party manufacturers for the manufacture of our materials for preclinical studies and may continue to do so for clinical testing and for commercial supply of any product candidates that we may develop and for which we or our collaborators obtain marketing approval. We do not have a long-term supply agreement with any of the third-party manufacturers, and we purchase our required supply on a purchase order basis.</w:t>
      </w:r>
    </w:p>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70" w:lineRule="exact"/>
        <w:rPr>
          <w:sz w:val="20"/>
          <w:szCs w:val="20"/>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safety, and pharmacovigilance and related reporting; and</w:t>
      </w:r>
    </w:p>
    <w:p>
      <w:pPr>
        <w:spacing w:after="0" w:line="225"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possible inability of third-party suppliers to supply and/or transport materials, components and products to us in a timely manner as a result of disruptions to the global supply chain in connection with the COVID-19 pandemic.</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62"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for bulk drug substances. If any one of our current contract manufacturers cannot perform as agreed, we may be required to replace that manufacturer. Although we believe that there are several potential alternative manufacturers who could manufacture any product candidates we may develop, we may incur added costs and delays in identifying and qualifying any such replacement.</w:t>
      </w:r>
    </w:p>
    <w:p>
      <w:pPr>
        <w:spacing w:after="0" w:line="4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any product candidates we may develop may adversely affect our future profit margins and our ability to commercialize any medicines that receive marketing approval on a timely and competitive basis.</w:t>
      </w:r>
    </w:p>
    <w:p>
      <w:pPr>
        <w:spacing w:after="0" w:line="3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We may enter into collaborations with third parties for the research, development, and commercialization of certain of the product candidates we may develop. If any such collaborations are not successful, we may not be able to capitalize on the market potential of those product candidates.</w:t>
      </w:r>
    </w:p>
    <w:p>
      <w:pPr>
        <w:spacing w:after="0" w:line="1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may seek third-party collaborators for the research, development, and commercialization of certain of the product candidates we may develop. If we enter into any such arrangements with any third parties, we will likely have limited control over the amount and timing of resources that our collaborators dedicate to the development or commercialization of any product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Collaborations involving our research programs or any product candidates we may develop pose numerous risks to us, including the following:</w:t>
      </w:r>
    </w:p>
    <w:p>
      <w:pPr>
        <w:spacing w:after="0" w:line="237" w:lineRule="exact"/>
        <w:rPr>
          <w:sz w:val="20"/>
          <w:szCs w:val="20"/>
          <w:color w:val="auto"/>
        </w:rPr>
      </w:pPr>
    </w:p>
    <w:p>
      <w:pPr>
        <w:ind w:left="740" w:hanging="368"/>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25" w:lineRule="exact"/>
        <w:rPr>
          <w:rFonts w:ascii="Arial" w:cs="Arial" w:eastAsia="Arial" w:hAnsi="Arial"/>
          <w:sz w:val="18"/>
          <w:szCs w:val="18"/>
          <w:color w:val="auto"/>
        </w:rPr>
      </w:pPr>
    </w:p>
    <w:p>
      <w:pPr>
        <w:ind w:left="740" w:right="320" w:hanging="368"/>
        <w:spacing w:after="0" w:line="277"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we may develop or may elect not to continue or renew development or commercialization programs based on clinical trial results, changes in the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8" w:name="page49"/>
    <w:bookmarkEnd w:id="48"/>
    <w:p>
      <w:pPr>
        <w:ind w:left="740"/>
        <w:spacing w:after="0"/>
        <w:rPr>
          <w:sz w:val="20"/>
          <w:szCs w:val="20"/>
          <w:color w:val="auto"/>
        </w:rPr>
      </w:pPr>
      <w:r>
        <w:rPr>
          <w:rFonts w:ascii="Arial" w:cs="Arial" w:eastAsia="Arial" w:hAnsi="Arial"/>
          <w:sz w:val="16"/>
          <w:szCs w:val="16"/>
          <w:color w:val="auto"/>
        </w:rPr>
        <w:t>collaborator’s strategic focus or available funding or external factors such as an acquisition that diverts resources or creates competing priorities.</w:t>
      </w:r>
    </w:p>
    <w:p>
      <w:pPr>
        <w:spacing w:after="0" w:line="248" w:lineRule="exact"/>
        <w:rPr>
          <w:sz w:val="20"/>
          <w:szCs w:val="20"/>
          <w:color w:val="auto"/>
        </w:rPr>
      </w:pPr>
    </w:p>
    <w:p>
      <w:pPr>
        <w:ind w:left="740" w:right="700" w:hanging="368"/>
        <w:spacing w:after="0" w:line="308"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46" w:lineRule="exact"/>
        <w:rPr>
          <w:rFonts w:ascii="Arial" w:cs="Arial" w:eastAsia="Arial" w:hAnsi="Arial"/>
          <w:sz w:val="17"/>
          <w:szCs w:val="17"/>
          <w:color w:val="auto"/>
        </w:rPr>
      </w:pPr>
    </w:p>
    <w:p>
      <w:pPr>
        <w:ind w:left="740" w:right="120" w:hanging="368"/>
        <w:spacing w:after="0" w:line="263"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we may develop if the collaborators believe that competitive products are more likely to be successfully developed or can be commercialized under terms that are more economically attractive than ours.</w:t>
      </w:r>
    </w:p>
    <w:p>
      <w:pPr>
        <w:spacing w:after="0" w:line="183" w:lineRule="exact"/>
        <w:rPr>
          <w:rFonts w:ascii="Arial" w:cs="Arial" w:eastAsia="Arial" w:hAnsi="Arial"/>
          <w:sz w:val="18"/>
          <w:szCs w:val="18"/>
          <w:color w:val="auto"/>
        </w:rPr>
      </w:pPr>
    </w:p>
    <w:p>
      <w:pPr>
        <w:ind w:left="740" w:right="660" w:hanging="368"/>
        <w:spacing w:after="0" w:line="277"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medicines may not commit sufficient resources to the marketing and distribution of such medicine or medicines.</w:t>
      </w:r>
    </w:p>
    <w:p>
      <w:pPr>
        <w:spacing w:after="0" w:line="170" w:lineRule="exact"/>
        <w:rPr>
          <w:rFonts w:ascii="Arial" w:cs="Arial" w:eastAsia="Arial" w:hAnsi="Arial"/>
          <w:sz w:val="18"/>
          <w:szCs w:val="18"/>
          <w:color w:val="auto"/>
        </w:rPr>
      </w:pPr>
    </w:p>
    <w:p>
      <w:pPr>
        <w:ind w:left="740" w:hanging="368"/>
        <w:spacing w:after="0" w:line="342" w:lineRule="auto"/>
        <w:tabs>
          <w:tab w:leader="none" w:pos="7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123" w:lineRule="exact"/>
        <w:rPr>
          <w:rFonts w:ascii="Arial" w:cs="Arial" w:eastAsia="Arial" w:hAnsi="Arial"/>
          <w:sz w:val="16"/>
          <w:szCs w:val="16"/>
          <w:color w:val="auto"/>
        </w:rPr>
      </w:pPr>
    </w:p>
    <w:p>
      <w:pPr>
        <w:ind w:left="740" w:right="60" w:hanging="368"/>
        <w:spacing w:after="0" w:line="342" w:lineRule="auto"/>
        <w:tabs>
          <w:tab w:leader="none" w:pos="7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123" w:lineRule="exact"/>
        <w:rPr>
          <w:rFonts w:ascii="Arial" w:cs="Arial" w:eastAsia="Arial" w:hAnsi="Arial"/>
          <w:sz w:val="16"/>
          <w:szCs w:val="16"/>
          <w:color w:val="auto"/>
        </w:rPr>
      </w:pPr>
    </w:p>
    <w:p>
      <w:pPr>
        <w:ind w:left="740" w:hanging="368"/>
        <w:spacing w:after="0"/>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may lose certain valuable rights under circumstances identified in our collaborations, including if we undergo a change of control.</w:t>
      </w:r>
    </w:p>
    <w:p>
      <w:pPr>
        <w:spacing w:after="0" w:line="236" w:lineRule="exact"/>
        <w:rPr>
          <w:rFonts w:ascii="Arial" w:cs="Arial" w:eastAsia="Arial" w:hAnsi="Arial"/>
          <w:sz w:val="17"/>
          <w:szCs w:val="17"/>
          <w:color w:val="auto"/>
        </w:rPr>
      </w:pPr>
    </w:p>
    <w:p>
      <w:pPr>
        <w:ind w:left="740" w:right="1220" w:hanging="368"/>
        <w:spacing w:after="0" w:line="277"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we may develop.</w:t>
      </w:r>
    </w:p>
    <w:p>
      <w:pPr>
        <w:spacing w:after="0" w:line="170" w:lineRule="exact"/>
        <w:rPr>
          <w:rFonts w:ascii="Arial" w:cs="Arial" w:eastAsia="Arial" w:hAnsi="Arial"/>
          <w:sz w:val="18"/>
          <w:szCs w:val="18"/>
          <w:color w:val="auto"/>
        </w:rPr>
      </w:pPr>
    </w:p>
    <w:p>
      <w:pPr>
        <w:ind w:left="740" w:right="320" w:hanging="368"/>
        <w:spacing w:after="0" w:line="286"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our collaborations do not result in the successful development and commercialization of product candidates, or if one of our collaborators terminates its agreement with us, we may not receive any future research funding or milestone or royalty payments under the collaboration. If we do not receive the funding we expect under these agreements,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Quarterly Report on Form 10-Q apply to the activities of our collaborators.</w:t>
      </w:r>
    </w:p>
    <w:p>
      <w:pPr>
        <w:spacing w:after="0" w:line="6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any product candidates, we may develop we or our collaborators may develop, we may not be able to realize the benefit of such transactions if we are unable to successfully integrate them with our existing operations and company culture.</w:t>
      </w:r>
    </w:p>
    <w:p>
      <w:pPr>
        <w:spacing w:after="0" w:line="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conflicts arise between our corporate or academic collaborators or strategic partners and us, the other party may act in a manner adverse to us and could limit our ability to implement our strategies. Some of our academic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 candidates we may develop that are the subject of these collaborations with us. Competing products, either developed by the collaborators or strategic partners or to which the collaborators or strategic partners have rights, may result in the withdrawal of partner support for our product candidates we may develop.</w:t>
      </w:r>
    </w:p>
    <w:p>
      <w:pPr>
        <w:spacing w:after="0" w:line="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9" w:name="page50"/>
    <w:bookmarkEnd w:id="49"/>
    <w:p>
      <w:pPr>
        <w:spacing w:after="0"/>
        <w:rPr>
          <w:sz w:val="20"/>
          <w:szCs w:val="20"/>
          <w:color w:val="auto"/>
        </w:rPr>
      </w:pPr>
      <w:r>
        <w:rPr>
          <w:rFonts w:ascii="Arial" w:cs="Arial" w:eastAsia="Arial" w:hAnsi="Arial"/>
          <w:sz w:val="15"/>
          <w:szCs w:val="15"/>
          <w:b w:val="1"/>
          <w:bCs w:val="1"/>
          <w:i w:val="1"/>
          <w:iCs w:val="1"/>
          <w:color w:val="auto"/>
        </w:rPr>
        <w:t>If we are not able to establish collaborations on commercially reasonable terms, we may have to alter our development and commercialization plans.</w:t>
      </w:r>
    </w:p>
    <w:p>
      <w:pPr>
        <w:spacing w:after="0" w:line="15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Our product development and research programs and the potential commercialization of any product candidates we may develop will require substantial additional cash to fund expenses. For some of the product candidates we may develop, we may decide to collaborate with other pharmaceutical and biotechnology companies for the development and potential commercialization of those product candidates.</w:t>
      </w:r>
    </w:p>
    <w:p>
      <w:pPr>
        <w:spacing w:after="0" w:line="5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70"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5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develop product candidates or bring them to market and generate product revenue.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health epidemics or outbreaks, including COVID-19, could adversely impact our business.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Due to the evolving and uncertain global impacts of the COVID-19 pandemic, we cannot precisely determine or quantify the impact this pandemic will have on our business operations for the remainder of our fiscal year ending December 31, 2020 or beyond. The extent to which COVID-19 may impact our business, results of operations and future growth prospects will depend on a variety of factors and future developments, which are highly uncertain and cannot be predicted with confidence, including the ultimate geographic spread of the disease, the duration, scope and severity of the pandemic, the duration and extent of travel restrictions and social distancing in the U.S. and other countries, business closures or business disruptions and the effectiveness of actions taken in the U.S. and other countries to contain and treat COVID-19.</w:t>
      </w:r>
    </w:p>
    <w:p>
      <w:pPr>
        <w:spacing w:after="0" w:line="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rapid spread of the virus has led to the implementation of various responses, including government-imposed quarantines, including shelter-in-place mandates, sweeping restrictions on travel, and other public health safety measures, as well as reported adverse impacts on healthcare resources, facilities and providers, in Massachusetts, where our primary offices and laboratory spaces are located, across the United States, and in other countries. The extent to which COVID-19 continues to impact our operations and those of our third-party partners will depend on future developments, which are highly uncertain and cannot be predicted with confidence, including the duration of the outbreak, additional or modified government actions, new information which may emerge concerning the severity of COVID-19 and the actions taken to contain COVID-19 or treat its impact, among others.</w:t>
      </w:r>
    </w:p>
    <w:p>
      <w:pPr>
        <w:spacing w:after="0" w:line="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protect the health of our employees and their families, and our communities, in accordance with direction from state and local government authorities, we have restricted access to our facilities to personnel and third parties who must perform critical activities that must be completed on-site, limited the number of such personnel that can be present at our facilities at any one time, and requested that some of our personnel work remotely. In the event that governmental authorities were to increase current restrictions, our employees conducting research and development, or manufacturing activities may not be able to access our laboratory or manufacturing space, and our core activities may be significantly limited or curtailed, possibly for an extended period of time.</w:t>
      </w:r>
    </w:p>
    <w:p>
      <w:pPr>
        <w:spacing w:after="0" w:line="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COVID-19 pandemic has also impacted, and may continue to impact, our third-party suppliers, including through the effects of facility closures, reductions in operating hours, staggered shifts and other social distancing efforts, labor shortages, decreased productivity and unavailability of materials or components. While we maintain an inventory of materials necessary to conduct our pre-clinical studies, a prolonged outbreak could lead to shortages in these materials.</w:t>
      </w:r>
    </w:p>
    <w:p>
      <w:pPr>
        <w:spacing w:after="0" w:line="7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Additionally, timely completion of preclinical activities is dependent upon the availability of, for example, preclinical sites, researchers and investigators, regulatory agency personnel, and materials, which may be adversely affected by global health matters, such as pandemics. We plan to conduct preclinical activities for our programs in geographies which are currently being affected by COVID-19.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ind w:right="220"/>
        <w:spacing w:after="0" w:line="277" w:lineRule="auto"/>
        <w:rPr>
          <w:sz w:val="20"/>
          <w:szCs w:val="20"/>
          <w:color w:val="auto"/>
        </w:rPr>
      </w:pPr>
      <w:r>
        <w:rPr>
          <w:rFonts w:ascii="Arial" w:cs="Arial" w:eastAsia="Arial" w:hAnsi="Arial"/>
          <w:sz w:val="18"/>
          <w:szCs w:val="18"/>
          <w:color w:val="auto"/>
        </w:rPr>
        <w:t>Some factors from the COVID-19 pandemic that could delay or otherwise adversely affect the completion of our preclinical activities and, depending on the duration of the outbreak, the initiation of any future clinical trials, as well as our business generally, include:</w:t>
      </w:r>
    </w:p>
    <w:p>
      <w:pPr>
        <w:spacing w:after="0" w:line="170" w:lineRule="exact"/>
        <w:rPr>
          <w:sz w:val="20"/>
          <w:szCs w:val="20"/>
          <w:color w:val="auto"/>
        </w:rPr>
      </w:pPr>
    </w:p>
    <w:p>
      <w:pPr>
        <w:ind w:left="740" w:right="140" w:hanging="368"/>
        <w:spacing w:after="0" w:line="301" w:lineRule="auto"/>
        <w:tabs>
          <w:tab w:leader="none" w:pos="7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business disruptions caused by potential workplace, laboratory and office closures and an increased reliance on employees working from home, disruptions to or delays in ongoing laboratory experiments and operations, staffing shortages, travel limitations, cyber security and data accessibility, or communication or mass transit disruptions, any of which could adversely impact our business operations or delay necessary interactions with local regulators, ethics committees, manufacturing sites, research sites and other important agencies and contractors;</w:t>
      </w:r>
    </w:p>
    <w:p>
      <w:pPr>
        <w:spacing w:after="0" w:line="157" w:lineRule="exact"/>
        <w:rPr>
          <w:rFonts w:ascii="Arial" w:cs="Arial" w:eastAsia="Arial" w:hAnsi="Arial"/>
          <w:sz w:val="16"/>
          <w:szCs w:val="16"/>
          <w:color w:val="auto"/>
        </w:rPr>
      </w:pPr>
    </w:p>
    <w:p>
      <w:pPr>
        <w:ind w:left="740" w:right="40" w:hanging="368"/>
        <w:spacing w:after="0" w:line="277" w:lineRule="auto"/>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limitations on our business operations by local, state, or the federal government that could impact our ability to conduct our preclinical activities, including completing our IND-enabling studies;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limitations on travel that could hinder our timelines;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key materials; and</w:t>
      </w:r>
    </w:p>
    <w:p>
      <w:pPr>
        <w:spacing w:after="0" w:line="225" w:lineRule="exact"/>
        <w:rPr>
          <w:rFonts w:ascii="Arial" w:cs="Arial" w:eastAsia="Arial" w:hAnsi="Arial"/>
          <w:sz w:val="18"/>
          <w:szCs w:val="18"/>
          <w:color w:val="auto"/>
        </w:rPr>
      </w:pPr>
    </w:p>
    <w:p>
      <w:pPr>
        <w:ind w:left="740" w:right="660" w:hanging="368"/>
        <w:spacing w:after="0" w:line="277" w:lineRule="auto"/>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interruption of, or delays in receiving, key materials from our contract manufacturing organizations due to staffing shortages, production slowdowns or stoppages and disruptions in delivery systems.</w:t>
      </w:r>
    </w:p>
    <w:p>
      <w:pPr>
        <w:spacing w:after="0" w:line="170"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color w:val="auto"/>
        </w:rPr>
        <w:t>These and other factors arising from COVID-19 could worsen in countries that are already afflicted with COVID-19 or could continue to spread to additional countries, each of which could further adversely impact our ability to conduct preclinical or any future clinical trials, and, in general, our business, and could have a material adverse impact on our operations and financial condition and results.</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Additionally, the extent and duration of the impact of COVID-19 pandemic on our stock price and other biopharmaceutical companies is uncertain and may make us look less attractive to investors and, as a result, there may be a less active trading market for our common stock, our stock price may be more volatile, and our ability to raise capital could be impaired.</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COVID-19 outbreak continues to rapidly evolve. The extent to which the outbreak may impact our business, preclinical studies and any future clinical trials will highly depend on future developments, which are very uncertain and cannot be predicted with confidence, such as the ultimate geographic spread of the disease, the duration of the outbreak, travel restrictions and other actions to contain the outbreak or address its impact, such as social distancing and quarantines or lockdowns in the United States and other countries, business closures or business disruptions and the effectiveness of actions taken in the United States and other countries to contain and address the disease.</w:t>
      </w:r>
    </w:p>
    <w:p>
      <w:pPr>
        <w:spacing w:after="0" w:line="8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COVID-19 pandemic may also have the effect of heightening many of the other risks described in this section titled “Item 1A. Risk Factors”, such as risks related to our need to raise additional funding, fluctuation of our quarterly financial results, and our ability to obtain and maintain regulatory approvals.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b w:val="1"/>
          <w:bCs w:val="1"/>
          <w:i w:val="1"/>
          <w:iCs w:val="1"/>
          <w:color w:val="auto"/>
        </w:rPr>
        <w:t>If we are unable to obtain and maintain patent and other intellectual property protection for any product candidates we develop and for our base editing platform technology, or if the scope of the patent and other intellectual property protection obtained is not sufficiently broad, our competitors could develop and commercialize products and technology similar or identical to ours, and our ability to successfully commercialize any product candidates we may develop, and our base editing platform technology may be adversely affected.</w:t>
      </w:r>
    </w:p>
    <w:p>
      <w:pPr>
        <w:spacing w:after="0" w:line="4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commercial success will depend in large part on our ability to obtain and maintain patent, trademark, trade secret and other intellectual property protection of our base editing platform technology, product candidates and other technology, methods used to manufacture them and methods of treatment, as well as successfully defending our patent and other intellectual property rights against third-party challenges. It is difficult and costly to protect our base editing platform technology and protect candidates, and we may not be able to ensure their protection. Our ability to stop unauthorized third parties from making, using, selling, offering to sell, importing or otherwise commercializing our product candidates we may develop is dependent upon the extent to which we have rights under valid and enforceable patents or trade secrets that cover these activities.</w:t>
      </w:r>
    </w:p>
    <w:p>
      <w:pPr>
        <w:spacing w:after="0" w:line="70"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We seek to protect our proprietary position by in-licensing intellectual property relating to our platform technology and filing patent applications in the United States and abroad related to our base editing platform technology and product candidates that are important to our business. If we or our licensors are unable to obtain or maintain patent protection with respect to our base editing platform technology and product candidates we may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6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1" w:name="page52"/>
    <w:bookmarkEnd w:id="51"/>
    <w:p>
      <w:pPr>
        <w:ind w:right="20"/>
        <w:spacing w:after="0" w:line="293" w:lineRule="auto"/>
        <w:rPr>
          <w:sz w:val="20"/>
          <w:szCs w:val="20"/>
          <w:color w:val="auto"/>
        </w:rPr>
      </w:pPr>
      <w:r>
        <w:rPr>
          <w:rFonts w:ascii="Arial" w:cs="Arial" w:eastAsia="Arial" w:hAnsi="Arial"/>
          <w:sz w:val="16"/>
          <w:szCs w:val="16"/>
          <w:color w:val="auto"/>
        </w:rPr>
        <w:t>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any licensed patents or pending patent applications, or that we or our licensors were the first to file for patent protection of such inventions.</w:t>
      </w:r>
    </w:p>
    <w:p>
      <w:pPr>
        <w:spacing w:after="0" w:line="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been the subject of much litigation in recent years. The field of genome editing, especially in the area of base editing technology, has been the subject of extensive patenting activity and litigation. As a result, the issuance, scope, validity, enforceability, and commercial value of our patent rights are highly uncertain and we may become involved in complex and costly litigation. Our pending and future patent applications may not result in patents being issued which protect our base editing platform technology and product candidates we may develop or which effectively prevent others from commercializing competitive technologies and product candidates.</w:t>
      </w:r>
    </w:p>
    <w:p>
      <w:pPr>
        <w:spacing w:after="0" w:line="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No consistent policy regarding the scope of claims allowable in the field of genome editing, including base editing technology, has emerged in the United States. The scope of patent protection outside of the United States is also uncertain. Changes in either the patent laws or their interpretation in the United States and other countries may diminish our ability to protect our inventions, obtain, maintain, enforce and defend our intellectual property rights and, more generally, could affect the value of our intellectual property or narrow the scope of our owned and licensed patent rights. With respect to both in-licensed and owned intellectual property, we cannot predict whether the patent applications we and our licensors are currently pursuing will issue as patents in any particular jurisdiction or whether the claims of any issued patents will be valid and enforceable and provide sufficient protection from competitors.</w:t>
      </w:r>
    </w:p>
    <w:p>
      <w:pPr>
        <w:spacing w:after="0" w:line="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narrowed, circumvented, or invalidated by third parties. Consequently, we do not know whether any of our platform advances and product candidates we may develop will be protectable or remain protected by valid and enforceable patents. Our competitors or other third parties may be able to circumvent our patents by developing similar or alternative technologies or products in a non-infringing manner.</w:t>
      </w:r>
    </w:p>
    <w:p>
      <w:pPr>
        <w:spacing w:after="0" w:line="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Moreover, some of our owned and in-licensed patents and patent applications are, and may in the future be, co-owned by us with third parties. For example, a patent application directed to our potential HBG1 and HBG2 product candidates is co-owned by us, the President and Fellows of Harvard College, or Harvard, and Broad Institute. At present, we do not have a license to the ownership interest of Harvard or Broad Institute. If we are unable to obtain an exclusive license to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base editing platform technology and product candidates are subject, in part, to the terms and conditions of licenses granted to us by others.</w:t>
      </w:r>
    </w:p>
    <w:p>
      <w:pPr>
        <w:spacing w:after="0" w:line="6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7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have licensed and are dependent on certain patent rights and proprietary technology from third parties that are important or necessary to the development of our base editing technology and product candidates. For example, we are a party to license agreements with the Broad Institute, Editas, Harvard, and Bio Palette, and others, pursuant to which we in-license key patents and patent applications for our base editing platform technology and product candidates (the Broad License Agreement, the Editas License Agreement, the Harvard License Agreement and the Bio Palette License Agreement, respectively). These license agreements impose various diligence, milestone payment, royalty, insurance, and other obligations on us. If we fail to comply with these obligations, our licensors may have the right to terminate our license, in which event we would not be able to develop or market our base editing platform or any other technology or product candidates covered by the intellectual property licensed under these agreements. For example, under the Harvard License Agreement, we are required to initiate a discovery program in accordance with the development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ind w:right="100"/>
        <w:spacing w:after="0" w:line="277" w:lineRule="auto"/>
        <w:rPr>
          <w:sz w:val="20"/>
          <w:szCs w:val="20"/>
          <w:color w:val="auto"/>
        </w:rPr>
      </w:pPr>
      <w:r>
        <w:rPr>
          <w:rFonts w:ascii="Arial" w:cs="Arial" w:eastAsia="Arial" w:hAnsi="Arial"/>
          <w:sz w:val="18"/>
          <w:szCs w:val="18"/>
          <w:color w:val="auto"/>
        </w:rPr>
        <w:t>plan and development milestones for the development of a licensed product covered by certain sub-categories of licensed patents. If we fail to initiate such a discovery program, our rights with respect to the sub-category of licensed patents will terminate.</w:t>
      </w:r>
    </w:p>
    <w:p>
      <w:pPr>
        <w:spacing w:after="0" w:line="6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These and other licenses may not provide exclusive rights to use such intellectual property and technology in all relevant fields of use and in all territories in which we may wish to develop or commercialize our base editing platform technology and product candidates in the future. Some licenses granted to us are expressly subject to certain preexisting rights held by the licensor or certain third parties. As a result, we may not be able to prevent competitors from developing and commercializing competitive products in certain territories or fields. For example, certain licensed patents developed by employees of the Howard Hughes Medical Institute, or HHMI, and subsequently assigned to Harvard and licensed to us under the Harvard License Agreement remain subject to a non-exclusive license between Harvard and HHMI. The Editas License Agreement provides that our field of use excludes the treatment and prevention of ocular disease and diagnosis, treatment, and prevention of human cancers through engineered T-cells, which are licensed to other licensees, including Allergan Pharmaceuticals International Limited and Juno Therapeutics, Inc. If we determine that rights to such excluded fields are necessary to commercialize our product candidates or maintain our competitive advantage, we may need to obtain a license from such third party in order to continue developing, manufacturing or marketing our product candidates. We may not be able to obtain such a license on an exclusive basis, on commercially reasonable terms, or at all, which could prevent us from commercializing our product candidates or allow our competitors or others the chance to access technology that is important to our business.</w:t>
      </w:r>
    </w:p>
    <w:p>
      <w:pPr>
        <w:spacing w:after="0" w:line="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Broad License Agreement, rights granted to us include certain patent applications directed to Cas12b or Cas13 that are limited to the United States. The co-owners of these patent applications include Broad Institute, Harvard, MIT, the State University of New Jersey, or Rutgers, Skolkovo Institute of Science and Technology, or Skoltech, and the NIH. At present, we do not have a license to the ownership interest of Rutgers, Skoltech, or the NIH. If we are unable to obtain an exclusive license to Rutgers, Skoltech, and the NIH’s interest in such patent applications, Rutgers, Skoltech, and the NIH may be able to license its rights to other third parties, including our competitors, and such third parties could market competing products and technology. In addition, we may need the cooperation of Rutgers, Skoltech, or the NIH in order to enforce patents issuing from these patent applications against third parties, and such cooperation may not be provided to us. Any of the foregoing could have a material adverse effect on our competitive position, business, financial conditions, results of operations, and prospects.</w:t>
      </w:r>
    </w:p>
    <w:p>
      <w:pPr>
        <w:spacing w:after="0" w:line="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addition, pursuant to our license agreement with Broad Institute and our license agreement with Harvard, under certain specific circumstances (in each case), Broad Institute or Harvard (as applicable) may grant a license to the patents that are the subject of such license agreement to a third party in the same field as such patents are licensed to us. Such third party may then have full rights that are the subject of the Broad License Agreement or the Harvard License Agreement (as applicable), which could impact our competitive position and enable a third party to commercialize products similar to our potential future product candidates and technology. Any grant of rights to a third party in this scenario would narrow the scope of our exclusive rights to the patents and patent applications we have in-licensed from Broad Institute and/or Harvard, as applicable.</w:t>
      </w:r>
    </w:p>
    <w:p>
      <w:pPr>
        <w:spacing w:after="0" w:line="7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do not have complete control in the preparation, filing, prosecution, maintenance, enforcement, and defense of patents and patent applications covering the technology that we license from third parties. For example, pursuant to each of our intellectual property licenses with Broad Institute, Harvard, Editas and Bio Palette, our licensors retain control of preparation, filing, prosecution, and maintenance, and, in certain circumstances, enforcement and defense of their patents and patent applications. It is possible that our licensors’ enforcement of patents against infringers or defense of such patents against challenges of validity or claims of enforceability may be less vigorous than if we had conducted them ourselves, or may not be conducted in accordance with our best interests.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our right to develop and commercialize any of our product candidates we may develop that are the subject of such licensed rights could be adversely affected and we may not be able to prevent competitors from making, using, and selling competing products.</w:t>
      </w:r>
    </w:p>
    <w:p>
      <w:pPr>
        <w:spacing w:after="0" w:line="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licensors may have relied on third-party consultants or collaborators or on funds from third parties such that our licensors are not the sole and exclusive owners of the patents we in-licensed. If other third parties have ownership rights to our in-licensed patents, the license granted to us in jurisdictions where the consent of a co-owner is necessary to grant such a license may not be valid and such co-owners may be able to license such patents to our competitors, and our competitors could market competing products and technology. In addition, our rights to our in-licensed patents and patent applications are dependent, in part, on inter-institutional or other operating agreements between the joint owners of such in-licensed patents and patent applications. If one or more of such joint owners breaches such inter-institutional or operating agreements, our rights to such in-licensed patents and patent applications may be adversely affected. Any of these events could have a material adverse effect on our competitive position, business, financial conditions, results of operations, and prospects.</w:t>
      </w:r>
    </w:p>
    <w:p>
      <w:pPr>
        <w:spacing w:after="0" w:line="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Furthermore, inventions contained within some of our in-licensed patents and patent applications were made using U.S. government funding. We rely on our licensors to ensure compliance with applicable obligations arising from such funding, such as timely reporting, an obligation associated with our in-licensed patents and patent applications. The failure of our licensors to meet their obligations may lead to a loss of rights or the unenforceability of relevant patents. For example, the U.S. government could have certain rights in such in-licensed patents, including a non-exclusive license authorizing the U.S. government to use the invention or to have others use the invention on its behalf. If the U.S. government decides to exercise these rights, it is not required to engage us as its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ind w:right="20"/>
        <w:spacing w:after="0" w:line="272" w:lineRule="auto"/>
        <w:rPr>
          <w:sz w:val="20"/>
          <w:szCs w:val="20"/>
          <w:color w:val="auto"/>
        </w:rPr>
      </w:pPr>
      <w:r>
        <w:rPr>
          <w:rFonts w:ascii="Arial" w:cs="Arial" w:eastAsia="Arial" w:hAnsi="Arial"/>
          <w:sz w:val="17"/>
          <w:szCs w:val="17"/>
          <w:color w:val="auto"/>
        </w:rPr>
        <w:t>contractor in connection with doing so. The U.S. government’s rights may also permit it to disclose the funded inventions and technology to third parties and to exercise march-in rights to use or allow third parties to use the technology we have licensed that was developed using U.S. government funding. The U.S. government may also exercise its march-in rights if it determines that action is necessary because we or our licensors failed to achieve practical application of the U.S. government-funded technology, because action is necessary to alleviate health or safety needs, to meet requirements of federal regulations, or to give preference to U.S. industry. In addition, our rights in such in-licensed U.S. government-funded inventions may be subject to certain requirements to manufacture product candidates embodying such inventions in the United States. Any of the foregoing could harm our business, financial condition, results of operations, and prospects significantly.</w:t>
      </w:r>
    </w:p>
    <w:p>
      <w:pPr>
        <w:spacing w:after="0" w:line="6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the event any of our third-party licensors determine that, in spite of our efforts, we have materially breached a license agreement or have failed to meet certain obligations thereunder, it may elect to terminate the applicable license agreement or, in some cases, one or more license(s) under the applicable license agreement and such termination would result in us no longer having the ability to develop and commercialize product candidates and technology covered by that license agreement or license. In the event of such termination of a third-party in-license, or if the underlying patents under a third-party in-license fail to provide the intended exclusivity, competitors would have the freedom to seek regulatory approval of, and to market, products identical to ours. Any of these events could have a material adverse effect on our competitive position, business, financial conditions, results of operations, and prospects.</w:t>
      </w:r>
    </w:p>
    <w:p>
      <w:pPr>
        <w:spacing w:after="0" w:line="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owned and in-licensed patents and patent applications may not provide sufficient protection of our base editing platform technologies, our product candidates and our future product candidates or result in any competitive advantage.</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have in-licensed a number of issued U.S. patents and patent applications that cover base editing and gene targeting technologies. We have applied for provisional patent applications or Patent Cooperation Treaty, or PCT, applications intended to specifically cover our base editing platform technology and uses with respect to treatment of particular diseases and conditions, but do not currently own any issued U.S. patents. Each U.S. provisional patent application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intentions disclosed in the associated provisional patent applications. We cannot be certain that any of these patent applications will issue as patents, and if they do, that such patents will cover or adequately protect our base editing platform technologies or our product candidates, or that such patents will not be challenged, narrowed, circumvented, invalidated or held unenforceable. Any failure to obtain or maintain patent protection with respect to our base editing platform technology and product candidates could have a material adverse effect on our business, financial condition, results of operations and growth prospects.</w:t>
      </w:r>
    </w:p>
    <w:p>
      <w:pPr>
        <w:spacing w:after="0" w:line="7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owned patent applications and in-licensed patents and patent applications contain claims directed to compositions of matter on our base editing product candidates, as well as methods directed to the use of such product candidates for gene therapy treatment. Method-of-use patents do not prevent a competitor or other third party from developing or marketing an identical product for an indication that is outside the scope of the patented method. Moreover, with respect to method-of-use patents, even if competitors or other third parties do not actively promote their product for our targeted indications or uses for which we may obtain patents, providers may recommend that patients use these products off-label, or patients may do so themselves.</w:t>
      </w:r>
    </w:p>
    <w:p>
      <w:pPr>
        <w:spacing w:after="0" w:line="5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United States Patent and Trademark Office, or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An adverse determination in any such submission, proceeding or litigation could reduce the scope of, or invalidate or render unenforceable, our owned or in-licensed patent rights, allow third parties to commercialize our technology or product candidates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If the breadth or strength of protection provided by the patent applications we own or the patents and patent applications we in-license with respect to our base editing platform technology and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w:t>
      </w:r>
    </w:p>
    <w:p>
      <w:pPr>
        <w:spacing w:after="0" w:line="27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Given that patent applications in the United States and other countries are confidential for a period of time after filing, at any moment in time, we cannot be certain that we or our licensors were in the past or will be in the future the first to file any patent application related to our base editing technology or product candidates. In addition, some patent applications in the United States may be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right="40"/>
        <w:spacing w:after="0" w:line="271" w:lineRule="auto"/>
        <w:rPr>
          <w:sz w:val="20"/>
          <w:szCs w:val="20"/>
          <w:color w:val="auto"/>
        </w:rPr>
      </w:pPr>
      <w:r>
        <w:rPr>
          <w:rFonts w:ascii="Arial" w:cs="Arial" w:eastAsia="Arial" w:hAnsi="Arial"/>
          <w:sz w:val="17"/>
          <w:szCs w:val="17"/>
          <w:color w:val="auto"/>
        </w:rPr>
        <w:t>maintained in secrecy until the patents are issued. As a result, there may be prior art of which we or our licensors are not aware that may affect the validity or enforceability of a patent claim, and we or our licensors may be subject to priority disputes. For our in-licensed patent portfolios, we rely on our licensors to determine inventorship, and obtain and file inventor assignments of priority applications before their conversion as PCT applications. A failure to do so in a timely fashion may give rise to a challenge to entitlement of priority for foreign applications nationalized from such PCT applications. For example, the European Patent Office, or the EPO, Opposition Division, or the EPO Opposition Division, has revoked our optioned Broad Institute patent European Patent No. EP2771468 following a third-party challenge to its priority rights. The patent was revoked due to loss of priority. We or our licensors are subject to and may in the future become a party to proceedings or priority disputes in Europe or other foreign jurisdictions. The loss of priority for, or the loss of, these European patents could have a material adverse effect on the conduct of our business.</w:t>
      </w:r>
    </w:p>
    <w:p>
      <w:pPr>
        <w:spacing w:after="0" w:line="7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may be required to disclaim part or all of the term of certain patents or patent applications. There may be prior art of which we are not aware that may affect the validity or enforceability of a patent claim. There also may be prior art of which we or our licensors are aware, but which we or our licensors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ours. Those patent applications may have priority over our owned patent applications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our patent applications or our in-licensed patents or patent applications that cover our product candidates.</w:t>
      </w:r>
    </w:p>
    <w:p>
      <w:pPr>
        <w:spacing w:after="0" w:line="7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Likewise, our currently owned patent applications, if issued as patents, and in-licensed patents and patent applications, if issued as patents, directed to our proprietary base editing technologies and our product candidates are expected to expire from 2034 through 2040, without taking into account any possible patent term adjustments or extensions. Our owned or in-licensed patents may expire before, or soon after, our first product candidate achieves marketing approval in the United States or foreign jurisdictions. Additionally, no assurance can be given that the USPTO or relevant foreign patent offices will grant any of the pending patent applications we own or in-license currently or in the future. Upon the expiration of our current in-licensed patents, we may lose the right to exclude others from practicing these inventions. The expiration of these patents could also have a similar material adverse effect on our business, financial condition, results of operations and prospects.</w:t>
      </w:r>
    </w:p>
    <w:p>
      <w:pPr>
        <w:spacing w:after="0" w:line="69" w:lineRule="exact"/>
        <w:rPr>
          <w:sz w:val="20"/>
          <w:szCs w:val="20"/>
          <w:color w:val="auto"/>
        </w:rPr>
      </w:pPr>
    </w:p>
    <w:p>
      <w:pPr>
        <w:ind w:right="160"/>
        <w:spacing w:after="0" w:line="327" w:lineRule="auto"/>
        <w:rPr>
          <w:sz w:val="20"/>
          <w:szCs w:val="20"/>
          <w:color w:val="auto"/>
        </w:rPr>
      </w:pPr>
      <w:r>
        <w:rPr>
          <w:rFonts w:ascii="Arial" w:cs="Arial" w:eastAsia="Arial" w:hAnsi="Arial"/>
          <w:sz w:val="15"/>
          <w:szCs w:val="15"/>
          <w:b w:val="1"/>
          <w:bCs w:val="1"/>
          <w:i w:val="1"/>
          <w:iCs w:val="1"/>
          <w:color w:val="auto"/>
        </w:rPr>
        <w:t>Our owned patent applications and in-licensed patents and patent applications and other intellectual property may be subject to priority disputes or to inventorship disputes and similar proceedings.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p>
    <w:p>
      <w:pPr>
        <w:spacing w:after="0" w:line="3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Although we have an option to exclusively license certain patents and patent applications directed to Cas9 and Cas12a from Editas, who in turn has licensed such patents from various academic institutions including the Broad Institute, we do not currently have a license to such patents and patent applications. Certain of the U.S. patents and one U.S. patent application to which we hold an option are co-owned by the Broad Institute and MIT, and in some cases co-owned by the Broad Institute, MIT, and Harvard, which we refer to together as the Boston Licensing Parties, and were involved in U.S. interference No. 106,048 with one U.S. patent application co-owned by the University of California, the University of Vienna, and Emmanuelle Charpentier, which we refer to together as the University of California. On September 10, 2018, the Court of Appeals for the Federal Circuit, or the CAFC, affirmed the Patent Trial and Appeal Board of the USPTO’s, or PTAB’s, holding that there was no interference-in-fact. An interference is a proceeding within the USPTO to determine priority of invention of the subject matter of patent claims filed by different parties.</w:t>
      </w:r>
    </w:p>
    <w:p>
      <w:pPr>
        <w:spacing w:after="0" w:line="7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June 24, 2019, the PTAB declared an interference (U.S. Interference No. 106,115) between 10 U.S. patent applications ((U.S. Serial Nos. 15/947,680; 15/947,700; 15/947,718; 15/981,807; 15/981,808; 15/981,809; 16/136,159; 16/136,165; 16/136,168; and 16/136,175) that are co-owned by the University of California, and 13 U.S. patents and one U.S. patent application ((U.S. Patent Nos. 8,697,359; 8,771,945; 8,795,965; 8,865,406; 8,871,445; 8,889,356; 8,895,308; 8,906,616; 8,932,814; 8,945,839; 8,993,233; 8,999,641; and 9,840,713, and U.S. Serial No. 14/704,551) that are co-owned by the Boston Licensing Parties, which we have an option to under the Editas License Agreement. In the declared interference, the University of California has been designated as the junior party and the Boston Licensing Parties have been designated as the senior party.</w:t>
      </w:r>
    </w:p>
    <w:p>
      <w:pPr>
        <w:spacing w:after="0" w:line="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 declaration of interference, an adversarial proceeding in the USPTO before the PTAB has been initiated, which is declared to ultimately determine priority, specifically and which party was first to invent the claimed subject matter. An interference is typically divided into two phases. The first phase is referred to as the motions or preliminary motions phase while the second is referred to as the priority phase. In the first phase, each party may raise issues including but not limited to those relating to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5" w:name="page56"/>
    <w:bookmarkEnd w:id="55"/>
    <w:p>
      <w:pPr>
        <w:ind w:right="40"/>
        <w:spacing w:after="0" w:line="286" w:lineRule="auto"/>
        <w:rPr>
          <w:sz w:val="20"/>
          <w:szCs w:val="20"/>
          <w:color w:val="auto"/>
        </w:rPr>
      </w:pPr>
      <w:r>
        <w:rPr>
          <w:rFonts w:ascii="Arial" w:cs="Arial" w:eastAsia="Arial" w:hAnsi="Arial"/>
          <w:sz w:val="16"/>
          <w:szCs w:val="16"/>
          <w:color w:val="auto"/>
        </w:rPr>
        <w:t>patentability of a party’s claims based on prior art, written description, and enablement. A party also may seek an earlier priority benefit or may challenge whether the declaration of interference was proper in the first place. Priority, or a determination of who first invented the commonly claimed invention, is determined in the second phase of an interference. Although we cannot predict with any certainty how long each phase will actually take, each phase may take approximately a year or longer before a decision is made by the PTAB. It is possible for motions filed in the preliminary motions phase to be dispositive of the interference proceeding, such that the second priority phase is not reached. The 10 University of California patent applications and the 13 U.S. patents and one U.S. patent application co-owned by the Boston Licensing Parties involved in U.S. Interference No. 106,115 generally relate to CRISPR/Cas9 systems or eukaryotic cells comprising CRISPR/Cas9 systems having fused or covalently linked RNA and the use thereof in eukaryotic cells. There can be no assurance that the U.S. interference will be resolved in favor of the Boston Licensing Parties. If the U.S. interference resolves in favor of University of California, or if the Boston Licensing Parties’ patents and patent application are narrowed, invalidated, or held unenforceable, we will lose the ability to license the optioned patents and patent application and our ability to commercialize our product candidates may be adversely affected if we cannot obtain a license to relevant third party patents that cover our product candidates.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w:t>
      </w:r>
    </w:p>
    <w:p>
      <w:pPr>
        <w:spacing w:after="0" w:line="5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or our licensors may also be subject to claims that former employees, collaborators, or other third parties have an interest in our owned patent applications or in-licensed patents or patent applications or other intellectual property as an inventor or co-inventor. If we are unable to obtain an exclusive license to any such third-party co-owners’ interest in such patent applications, such co-owners may be able to license their rights to other third parties, including our competitors. In addition, we may need the cooperation of any such co-owners to enforce any patents that issue from such patent applications against third parties, and such cooperation may not be provided to us.</w:t>
      </w:r>
    </w:p>
    <w:p>
      <w:pPr>
        <w:spacing w:after="0" w:line="8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or our licensors are unsuccessful in any interference proceedings or other priority, validity (including any patent oppositions), or inventorship disputes to which we or they are subject, we may lose valuable intellectual property rights through the loss of one or more of our owned, licensed, or optioned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patent claims could limit our ability to stop others from using or commercializing similar or identical technology and product candidates. Even if we or our licensors are successful in an interference proceeding or other similar priority or inventorship disputes, it could result in substantial costs and be a distraction to management and other employees. Any of the foregoing could result in a material adverse effect on our business, financial condition, results of operations, or prospects.</w:t>
      </w:r>
    </w:p>
    <w:p>
      <w:pPr>
        <w:spacing w:after="0" w:line="7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and proprietary rights throughout the world.</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foreign countries do not protect intellectual property rights to the same extent as federal and state laws of the United States. In addition, our intellectual property license agreements may not always include worldwide rights.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and our patents or other intellectual property rights may not be effective or sufficient to prevent them from competing.</w:t>
      </w:r>
    </w:p>
    <w:p>
      <w:pPr>
        <w:spacing w:after="0" w:line="7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against third parties in violation of our intellectual property and proprietary rights generally. Proceedings to enforce our patents and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Moreover, the initiation of proceedings by third parties to challenge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ind w:right="40"/>
        <w:spacing w:after="0" w:line="263" w:lineRule="auto"/>
        <w:rPr>
          <w:sz w:val="20"/>
          <w:szCs w:val="20"/>
          <w:color w:val="auto"/>
        </w:rPr>
      </w:pPr>
      <w:r>
        <w:rPr>
          <w:rFonts w:ascii="Arial" w:cs="Arial" w:eastAsia="Arial" w:hAnsi="Arial"/>
          <w:sz w:val="18"/>
          <w:szCs w:val="18"/>
          <w:color w:val="auto"/>
        </w:rPr>
        <w:t>the scope or validity of our patent rights in foreign jurisdictions could result in substantial cost and divert our efforts and attention from other aspects of our business. Accordingly, our efforts to enforce our intellectual property and proprietary rights around the world may be inadequate to obtain a significant commercial advantage from the intellectual property that we develop or license.</w:t>
      </w:r>
    </w:p>
    <w:p>
      <w:pPr>
        <w:spacing w:after="0" w:line="7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80" w:lineRule="exact"/>
        <w:rPr>
          <w:sz w:val="20"/>
          <w:szCs w:val="20"/>
          <w:color w:val="auto"/>
        </w:rPr>
      </w:pPr>
    </w:p>
    <w:p>
      <w:pPr>
        <w:ind w:right="80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entered into license agreements with third parties and may need to obtain additional licenses from our existing licensors and others to advance our research or allow commercialization of product candidates we may develop. It is possible that we may be unable to obtain any additional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including base editing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5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each of our license agreements, we are generally responsible for bringing any actions against any third party for infringing on the patents we have licensed. Certain of our license agreements, also require us to meet development thresholds to maintain the license, including establishing a set timeline for developing and commercializing products.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in-licenses are terminated, or if the underlying patents fail to provide the intended exclusivity, competitors or other third parties would have the freedom to seek regulatory approval of, and to market, products identical to ours and we may be required to cease our development and commercialization of or base editing platform technology or product candidates. Any of the foregoing could have a material adverse effect on our competitive position, business, financial conditions, results of operations, and growth prospects. Disputes may arise regarding intellectual property subject to a licensing agreement, including:</w:t>
      </w:r>
    </w:p>
    <w:p>
      <w:pPr>
        <w:spacing w:after="0" w:line="181" w:lineRule="exact"/>
        <w:rPr>
          <w:sz w:val="20"/>
          <w:szCs w:val="20"/>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248" w:lineRule="exact"/>
        <w:rPr>
          <w:rFonts w:ascii="Arial" w:cs="Arial" w:eastAsia="Arial" w:hAnsi="Arial"/>
          <w:sz w:val="16"/>
          <w:szCs w:val="16"/>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sublicensing of patent and other rights to third parties under our collaborative development relationships;</w:t>
      </w:r>
    </w:p>
    <w:p>
      <w:pPr>
        <w:spacing w:after="0" w:line="225" w:lineRule="exact"/>
        <w:rPr>
          <w:rFonts w:ascii="Arial" w:cs="Arial" w:eastAsia="Arial" w:hAnsi="Arial"/>
          <w:sz w:val="18"/>
          <w:szCs w:val="18"/>
          <w:color w:val="auto"/>
        </w:rPr>
      </w:pPr>
    </w:p>
    <w:p>
      <w:pPr>
        <w:ind w:left="740" w:right="540" w:hanging="368"/>
        <w:spacing w:after="0" w:line="277"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with respect to the use of the licensed technology in relation to our development and commercialization of our product candidates and what activities satisfy those diligence obligations;</w:t>
      </w:r>
    </w:p>
    <w:p>
      <w:pPr>
        <w:spacing w:after="0" w:line="170"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broaden what we believe to be the scope of the licensor’s rights to our intellectual property and technology, or increase what we believe to be our financial or other obligations under the relevant agreement, any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As a result, any termination of or disputes over our intellectual property licenses could result in the loss of our ability to develop and commercialize our base editing platform or other product candidates or we could lose other significant rights, any of which could have a material adverse effect on our business, financial conditions, results of operations, and prospects. It is also possible that a third party could be granted limited licenses to some of the same technology, in certain circumstances.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i w:val="1"/>
          <w:iCs w:val="1"/>
          <w:color w:val="auto"/>
        </w:rPr>
        <w:t>We may not be successful in acquiring or in-licensing necessary rights to key technologies or any product candidates we may develop.</w:t>
      </w:r>
    </w:p>
    <w:p>
      <w:pPr>
        <w:spacing w:after="0" w:line="1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currently have rights to intellectual property, through licenses from third parties, to identify and develop product candidates, and we expect to seek to expand our product candidate pipeline in part by in-licensing the rights to key technologies. The future growth of our business will depend in part on our ability to in-license or otherwise acquire the rights to additional product candidates and technologies. Although we have succeeded in licensing technologies from third party licensees including Harvard, Broad Institute, Editas, and Bio Palette in the past, we cannot assure you that we will be able to in-license or acquire the rights to any product candidates or technologies from third parties on acceptable terms or at all.</w:t>
      </w:r>
    </w:p>
    <w:p>
      <w:pPr>
        <w:spacing w:after="0" w:line="6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For example, our agreements with certain of our third-party licensors provide that our filed of use excludes particular fields, for example, treatment and prevention of ocular disease, and diagnosis, treatment, and prevention of human cancers through engineered T-cells, which are licensed exclusively or non-exclusively to other third-party licensees. If we determine that rights to such fields are necessary to commercialize our drug candidates or maintain our competitive advantage, we may need to obtain a license from such third party in order to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chance to access technology that is important to our business.</w:t>
      </w:r>
    </w:p>
    <w:p>
      <w:pPr>
        <w:spacing w:after="0" w:line="5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Furthermore, there has been extensive patenting activity in the field of genome editing, and pharmaceutical companies, biotechnology companies, and academic institutions are competing with us or are expected to compete with us in the in the field of genome editing technology and filing patent applications potentially relevant to our business and we are aware of certain third-party patent applications that, if issued, may allow the third party to circumvent our patent rights. For example, we are aware of several third-party patents, and patent applications, that if issued, may be construed to cover our base editing technology and product candidates. In order to market our product candidates, we may find it necessary or prudent to obtain licenses from such third-party intellectual property holders. However, we may be unable to secure such licenses or otherwise acquire or in-license any compositions, methods of use, processes, or other intellectual property rights from third parties that we identify as necessary for product candidates we may develop and base editing technology. We may also require licenses from third parties for certain non-base editing technologies including certain delivery methods that we are evaluating for use with product candidates we may develop. In addition, some of our owned patent applications and in-licensed patents and patent applications are co-owned with third parties. With respect to any patents co-owned with third parties, we may require licenses to such co-owners’ interest to such patents.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7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Additionally, we may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8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the licensing or acquisition of third-party intellectual property rights is a highly competitive area, and a number of more established companies are also pursuing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84"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b w:val="1"/>
          <w:bCs w:val="1"/>
          <w:i w:val="1"/>
          <w:iCs w:val="1"/>
          <w:color w:val="auto"/>
        </w:rPr>
        <w:t>The intellectual property landscape around genome editing technology, including base editing, is highly dynamic, and third parties may initiate legal proceedings alleging that we are infringing, misappropriating, or otherwise violating their intellectual property rights, the outcome of which would be uncertain and may prevent, delay or otherwise interfere with our product discovery and development efforts.</w:t>
      </w:r>
    </w:p>
    <w:p>
      <w:pPr>
        <w:spacing w:after="0" w:line="57"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The field of genome editing, especially in the area of base editing technology, is still in its infancy, and no such product candidates have reached the market. Due to the intense research and development that is taking place by several companies, including us and our competitors, in this field, the intellectual property landscape is evolving and in flux, and it may remain uncertain for the coming years. There may be significant intellectual property related litigation and proceedings relating to our owned and in-licensed, and other third party, intellectual property and proprietary rights in the future.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spacing w:after="0" w:line="288" w:lineRule="auto"/>
        <w:rPr>
          <w:sz w:val="20"/>
          <w:szCs w:val="20"/>
          <w:color w:val="auto"/>
        </w:rPr>
      </w:pPr>
      <w:r>
        <w:rPr>
          <w:rFonts w:ascii="Arial" w:cs="Arial" w:eastAsia="Arial" w:hAnsi="Arial"/>
          <w:sz w:val="16"/>
          <w:szCs w:val="16"/>
          <w:color w:val="auto"/>
        </w:rPr>
        <w:t xml:space="preserve">Our commercial success depends upon our ability and the ability of our collaborators and licensors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as well as administrative proceedings for challenging patents, including interference, derivation,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 grant review, and reexamination proceedings before the USPTO or oppositions and other comparable proceedings in foreign jurisdictions. We may be subject to and may in the future become party to, or threatened with, adversarial proceedings or litigation regarding intellectual property rights with respect to our base editing platform technology and any product candidates we may develop, including interference proceedings,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before the USPTO and similar proceedings in foreign jurisdictions such as oppositions before the EPO. Numerous U.S. and foreign issued patents and pending patent applications that are owned by third parties exist in the fields in which we are developing our product candidates and they may assert infringement claims against us based on existing patents or patents that may be granted in the future, regardless of their merit.</w:t>
      </w:r>
    </w:p>
    <w:p>
      <w:pPr>
        <w:spacing w:after="0" w:line="6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the biotechnology and pharmaceutical industries expand and more patents are issued, the risk increases that our base editing platform technology and product candidates may give rise to claims of infringement of the patent rights of others. Moreover, it is not always clear to industry participants, including us, which patents cover various types of therapies, products or their methods of use or manufacture. We are aware of certain third-party patent applications that, if issued, may be construed to cover our base editing technology and product candidates. There may also be third-party patents of which we are currently unaware with claims to technologies,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8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Numerous third-party U.S. and foreign issued patents and pending patent applications exist in the fields in which we are developing product candidates. Our product candidates make use of CRISPR-based technology, which is a field that is highly active for patent filings. In November 2018, it was reported that 211 patent families and 1835 patent family members worldwide referenced CRISPR or Cas in the title, abstracts or claims. The extensive patent filings related to CRISPR and Cas make it difficult for us to assess the full extent of relevant patents and pending applications that may cover our base editing platform technology and product candidates and their use or manufacture. There may be third-party patents or patent applications with claims to materials, formulations, methods of manufacture or methods for treatment related to the use or manufacture of our base editing platform technology and product candidates. For example, we are aware of a patent portfolio that is co-owned by the University of California, University of Vienna and Emmanuelle Charpentier, or the University of California Portfolio, which contains multiple patents and pending applications directed to gene editing. The University of California portfolio includes, for example, U.S. Patent Nos. 10,266,850; 10,227,611; 10,000,772; 10,113,167; 10,301,651; 10,308,961; 10,337,029; 10,351,878; 10,407,697; 10,358,659; 10,358,658; 10,385,360; 10,400,253; 10,421,980; 10,415,061; 10,443,076; 10,487,341; 10,513,712; 10,519,467; 10,526,619, which are expected to expire around March 2033, excluding any additional term for patent term adjustment, or PTA, or patent term extension, or PTE, and any disclaimed term for terminal disclaimers. The University of California portfolio also includes U.S. pre-grant patent publications 20190264233, 20190264235, 20190264236, 20190271008, and 20190256871, which are indicated as in condition for allowance by the USPTO, as well as numerous additional pending patent applications. If these patent applications issue as patents, they are expected to expire around March 2033, excluding any PTA, PTE, and any disclaimed term for terminal disclaimers. As discussed above, certain applications in the University of California Portfolio are currently subject to U.S. Interference No. 106,115 with certain U.S. patents and one U.S. patent application that are co-owned by the Boston Licensing Parties to which we have an option under the Editas License Agreement. Although we have an option to exclusively license certain patents and patent applications directed to Cas9 and Cas12a from Editas, who in turn has licensed such patents from various academic institutions including Broad Institute, we do not currently have a license to such patents and patent applications. Certain members of the University of California Portfolio are being opposed in Europe by multiple parties. For example, the EPO Opposition Division has initiated opposition proceedings against European Patent Nos. EP3,241,902 B1 and EP2,800,811 B1, which are estimated to expire in March 2033 (excluding any patent term adjustments or extensions). In addition, notices of opposition have also been filed by several third parties against European Patent No. EP3,401,400 B1, which is estimated to expire in March 2033 (excluding any patent term adjustments or extensions). The opposition procedure before the EPO allows one or more third parties to challenge the validity of a granted European patent within nine months after grant date of the European patent. Opposition proceedings may involve issues including, but not limited to, priority, patentability of the claims involved, and procedural formalities related to the filing of the patent application. As a result of the opposition proceedings, the Opposition Division can revoke a patent, maintain the patent as granted, or maintain the patent in an amended form. It is uncertain when or in what manner the Opposition Division will act on the opposition proceedings of European patent EP3,241,902 B1 and how oppositions filed against EP3,401,400 B1 will be resolved. Most of the claims of European patent EP 2,800,811 B1 were maintained without amendment by the Opposition Division, but this decision is being appealed. If these patents are maintained by the Opposition Division with claims similar to those that are currently opposed, our ability to commercialize our product candidates may be adversely affected if we do not obtain a license to these patents.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9" w:name="page60"/>
    <w:bookmarkEnd w:id="59"/>
    <w:p>
      <w:pPr>
        <w:jc w:val="both"/>
        <w:ind w:right="80"/>
        <w:spacing w:after="0" w:line="263" w:lineRule="auto"/>
        <w:rPr>
          <w:sz w:val="20"/>
          <w:szCs w:val="20"/>
          <w:color w:val="auto"/>
        </w:rPr>
      </w:pPr>
      <w:r>
        <w:rPr>
          <w:rFonts w:ascii="Arial" w:cs="Arial" w:eastAsia="Arial" w:hAnsi="Arial"/>
          <w:sz w:val="18"/>
          <w:szCs w:val="18"/>
          <w:color w:val="auto"/>
        </w:rPr>
        <w:t>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Numerous other patents and patent applications have been filed by other third parties directed to gene editing, guide nucleic acids, PAM sequence variants, split inteins, Cas12b or gene editing in the context of immune therapy or chimeric antigen receptors.</w:t>
      </w:r>
    </w:p>
    <w:p>
      <w:pPr>
        <w:spacing w:after="0" w:line="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Because of the large number of patents issued and patent applications filed in our field, third parties may allege they have patent rights encompassing our product candidates, technologies or methods. Third parties may assert that we are employing their proprietary technology without authorization and may file patent infringement claims or lawsuit against us, and if we are found to infringe such third-party patents, we may be required to pay damages, cease commercialization of the infringing technology, or obtain a license from such third parties, which may not be available on commercially reasonable terms or at all.</w:t>
      </w:r>
    </w:p>
    <w:p>
      <w:pPr>
        <w:spacing w:after="0" w:line="8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ability to commercialize our product candidates in the United States and abroad may be adversely affected if we cannot obtain a license on commercially reasonable terms to relevant third-party patents that cover our product candidates or base editing platform technology.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intellectual property rights, and we are unsuccessful in demonstrating that such patents are invalid or unenforceable, we could be required to obtain a license from such third party to continue developing, manufacturing, and marketing any product candidates we may develop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 We also could be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have a similar material adverse effect on our business, financial condition, results of operations, and prospects.</w:t>
      </w:r>
    </w:p>
    <w:p>
      <w:pPr>
        <w:spacing w:after="0" w:line="8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Defense of third-party claims of infringement of misappropriation, or violation of intellectual property rights involves substantial litigation expense and would be a substantial diversion of management and employee time and resources from our business. Some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There could also be public announcements of the results of hearings, motions, or other interim proceedings or developments, and if securities analysts or investors perceive these results to be negative, it could have a substantial adverse effect on the price of our common stock. Any of the foregoing events could have a material adverse effect on our business, financial condition, results of operations and prospects.</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future patents or the patents of our licensors, which could be expensive, time consuming, and unsuccessful and could result in a finding that such patents are unenforceable or invalid.</w:t>
      </w:r>
    </w:p>
    <w:p>
      <w:pPr>
        <w:spacing w:after="0" w:line="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Competitors may infringe our future patents or the patents of our licensing partners, or we may be required to defend against claims of infringement. In addition, our future patents or the patents of our licensing partners also are, and may in the future become, involved in inventorship, priority, validity or enforceability disputes. Countering or defending against such claims can be expensive and time consuming. In an infringement proceeding, a court may decide that a patent owned or in-licensed by us is invalid or unenforceable,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or interpreted narrowly.</w:t>
      </w:r>
    </w:p>
    <w:p>
      <w:pPr>
        <w:spacing w:after="0" w:line="5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re-examination, post-grant review,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partes </w:t>
      </w:r>
      <w:r>
        <w:rPr>
          <w:rFonts w:ascii="Arial" w:cs="Arial" w:eastAsia="Arial" w:hAnsi="Arial"/>
          <w:sz w:val="18"/>
          <w:szCs w:val="18"/>
          <w:color w:val="auto"/>
        </w:rPr>
        <w:t>review, interference proceedings, derivation proceedings, and equivalent proceedings in foreign jurisdictions (e.g., opposition proceedings). These</w:t>
      </w:r>
      <w:r>
        <w:rPr>
          <w:rFonts w:ascii="Arial" w:cs="Arial" w:eastAsia="Arial" w:hAnsi="Arial"/>
          <w:sz w:val="18"/>
          <w:szCs w:val="18"/>
          <w:i w:val="1"/>
          <w:iCs w:val="1"/>
          <w:color w:val="auto"/>
        </w:rPr>
        <w:t xml:space="preserve"> </w:t>
      </w:r>
      <w:r>
        <w:rPr>
          <w:rFonts w:ascii="Arial" w:cs="Arial" w:eastAsia="Arial" w:hAnsi="Arial"/>
          <w:sz w:val="18"/>
          <w:szCs w:val="18"/>
          <w:color w:val="auto"/>
        </w:rPr>
        <w:t>types of proceedings could result in revocation or amendment to our patents such that they no longer cover our product candidates. The outcome for any particular patent following</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0" w:name="page61"/>
    <w:bookmarkEnd w:id="60"/>
    <w:p>
      <w:pPr>
        <w:ind w:right="140"/>
        <w:spacing w:after="0" w:line="296" w:lineRule="auto"/>
        <w:rPr>
          <w:sz w:val="20"/>
          <w:szCs w:val="20"/>
          <w:color w:val="auto"/>
        </w:rPr>
      </w:pPr>
      <w:r>
        <w:rPr>
          <w:rFonts w:ascii="Arial" w:cs="Arial" w:eastAsia="Arial" w:hAnsi="Arial"/>
          <w:sz w:val="16"/>
          <w:szCs w:val="16"/>
          <w:color w:val="auto"/>
        </w:rPr>
        <w:t>legal assertions of invalidity and unenforceability is unpredictable. With respect to the validity question, for example, we cannot be certain that there is no invalidating prior art, of which we, our licensors,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technology and/or product candidates. Defense of these types of claims, regardless of their merit, would involve substantial litigation expense and would be a substantial diversion of employee resources from our business.</w:t>
      </w:r>
    </w:p>
    <w:p>
      <w:pPr>
        <w:spacing w:after="0" w:line="5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Conversely, we may choose to challenge the patentability of claims in a third party’s U.S. patent by requesting that the USPTO review the patent claims in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(e.g., opposition proceedings). We are currently challenging, and in the future may choose to challenge, third party patents in patent opposition proceedings in the EPO or another foreign patent office. Even if successful,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base editing platform technology or other or proprietary technologies.</w:t>
      </w:r>
    </w:p>
    <w:p>
      <w:pPr>
        <w:spacing w:after="0" w:line="5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For example, as discussed above, elements of the University of California patent portfolio are being opposed in Europe by multiple parties and we are participating in the opposition proceedings. The EPO Opposition Division, or the Opposition Division, has initiated opposition proceedings against European patents estimated to expire in March 2033 (excluding any patent term adjustments or extensions) and co-owned by the University of California. The opposition procedure before the EPO allows one or more third parties to challenge the validity of a granted European patent within nine months after grant date of the European patent. Opposition proceedings may involve issues including, but not limited to, priority, patentability of the claims involved, and procedural formalities related to the filing of the patent application. As a result of the opposition proceedings, the Opposition Division can revoke a patent, maintain the patent as granted, or maintain the patent in an amended form. It is uncertain when or in what manner the Opposition Division will act on the opposition proceedings of these European patents. If these patents are maintained by the Opposition Division with claims similar to those that are currently opposed, our ability to commercialize our product candidates may be adversely affected if we do not obtain a license to these patents.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w:t>
      </w:r>
    </w:p>
    <w:p>
      <w:pPr>
        <w:spacing w:after="0" w:line="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77"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 applications are due to be paid to the USPTO and foreign patent agencies outside of the United States over the lifetime of our owned or licensed patents and applications. In certain circumstances, we rely on our licensing partners to pay these fees due to U.S. and non-U.S. patent agencies. The USPTO and foreign patent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While an inadvertent lapse can be cured by payment of a late fee or by other means in accordance with the applicable rules, there are situations, however, in which non-compliance can result a partial or complete loss of patent rights in the relevant jurisdiction. Were a noncompliance event to occur, our competitors might be able to enter the market with similar or identical products or technology, which could have a material adverse effect on our business, financial condition, results of operations, and prospects.</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Changes in patent law in the United States and in non-U.S. jurisdictions could diminish the value of patents in general, thereby impairing our ability to protect our base editing platform technology and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ind w:right="180"/>
        <w:spacing w:after="0" w:line="263" w:lineRule="auto"/>
        <w:rPr>
          <w:sz w:val="20"/>
          <w:szCs w:val="20"/>
          <w:color w:val="auto"/>
        </w:rPr>
      </w:pPr>
      <w:r>
        <w:rPr>
          <w:rFonts w:ascii="Arial" w:cs="Arial" w:eastAsia="Arial" w:hAnsi="Arial"/>
          <w:sz w:val="18"/>
          <w:szCs w:val="18"/>
          <w:color w:val="auto"/>
        </w:rPr>
        <w:t>As is the case with other biotech and 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76"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 xml:space="preserve">Changes in either the patent laws or interpretation of the patent laws could increase the uncertainties and costs surrounding the prosecution of patent applications and the enforcement or defense of our issued patents. For example, in March 2013, under the Leahy-Smith America Invents Act, or the America Invents Act, the United States transitioned from a “first to invent” to a “first-to-file” patent system. Under a “first-to-file” system, assuming that other requirements for patentability are met, the first inventor to file a patent application generally will be entitled to a patent on an invention regardless of whether another inventor had made the invention earlier.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file any patent application related to our technology or product candidates or invent any of the inventions claimed in our or our licensor’s patents or patent applications. The America Invents Act also includes a number of other significant changes to U.S. patent law, including provisions that affect the way patent applications will be prosecuted, allowing third party submission of prior art and establish a new post-grant review system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effects of these changes are currently unclear as the USPTO continues to promulgate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the specific patents discussed in this filing have not been determined and would need to be reviewed. However, the America Invents Act and its implementation could increase the uncertainties and costs surrounding the prosecution of our patent applications and the enforcement or defense of our issued patents.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addition,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For example, in the case, </w:t>
      </w:r>
      <w:r>
        <w:rPr>
          <w:rFonts w:ascii="Arial" w:cs="Arial" w:eastAsia="Arial" w:hAnsi="Arial"/>
          <w:sz w:val="16"/>
          <w:szCs w:val="16"/>
          <w:i w:val="1"/>
          <w:iCs w:val="1"/>
          <w:color w:val="auto"/>
        </w:rPr>
        <w:t>Assoc. for Molecular Pathology v. Myriad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Genetics, Inc., </w:t>
      </w:r>
      <w:r>
        <w:rPr>
          <w:rFonts w:ascii="Arial" w:cs="Arial" w:eastAsia="Arial" w:hAnsi="Arial"/>
          <w:sz w:val="16"/>
          <w:szCs w:val="16"/>
          <w:color w:val="auto"/>
        </w:rPr>
        <w:t>the U.S. Supreme Court held that certain claims to DNA molecules are not patentable. We cannot predict how this and future decisions by</w:t>
      </w:r>
      <w:r>
        <w:rPr>
          <w:rFonts w:ascii="Arial" w:cs="Arial" w:eastAsia="Arial" w:hAnsi="Arial"/>
          <w:sz w:val="16"/>
          <w:szCs w:val="16"/>
          <w:i w:val="1"/>
          <w:iCs w:val="1"/>
          <w:color w:val="auto"/>
        </w:rPr>
        <w:t xml:space="preserve"> </w:t>
      </w:r>
      <w:r>
        <w:rPr>
          <w:rFonts w:ascii="Arial" w:cs="Arial" w:eastAsia="Arial" w:hAnsi="Arial"/>
          <w:sz w:val="16"/>
          <w:szCs w:val="16"/>
          <w:color w:val="auto"/>
        </w:rPr>
        <w:t>the courts, the U.S. Congress or the USPTO may impact the value of our patents. Any similar adverse changes in the patent laws of other jurisdictions could also have a material adverse effect on our business, financial condition, results of operations and prospects.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Patents have a limited lifespan. The terms of individual patents depend upon the legal term for patents in the countries in which they are granted. In most countries, including the United States, if all maintenance fees are timely paid, the natural expiration of a patent is generally 20 years from its earliest non-provisional filing date in the applicable country.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Various extensions including PTE and PTA,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PTE and data exclusivity for any product candidates we may develop, our business may be materially harmed.</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Depending upon the timing, duration and specifics of any FDA marketing approval of any product candidates we may develop, one or more of our U.S. patents may be eligible for limited PTE under the Drug Price Competition and Patent Term Restoration Act of 1984, or the Hatch-Waxman Amendments. The Hatch-Waxman Amendments PTE term of up to five years as compensation for patent term lost during the FDA regulatory review process. A PTE cannot extend the remaining term of a patent beyond a total of 14 years from the date of product approval, only one patent per product may be extended and only those claims covering the approved drug, a method for using it, or a method for manufacturing it may be extended. However, even if we were to seek a PTE, it may not be granted because of, for example, the failure to exercise due diligence during the testing phase or regulatory review process, the failure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2" w:name="page63"/>
    <w:bookmarkEnd w:id="62"/>
    <w:p>
      <w:pPr>
        <w:ind w:right="40"/>
        <w:spacing w:after="0" w:line="259" w:lineRule="auto"/>
        <w:rPr>
          <w:sz w:val="20"/>
          <w:szCs w:val="20"/>
          <w:color w:val="auto"/>
        </w:rPr>
      </w:pPr>
      <w:r>
        <w:rPr>
          <w:rFonts w:ascii="Arial" w:cs="Arial" w:eastAsia="Arial" w:hAnsi="Arial"/>
          <w:sz w:val="18"/>
          <w:szCs w:val="18"/>
          <w:color w:val="auto"/>
        </w:rPr>
        <w:t>to apply within applicable deadlines, the failure to apply prior to expiration of relevant patents, or any other failure to satisfy applicable requirements. Moreover, the applicable time period or the scope of patent protection afforded could be less than we request. If we are unable to obtain PTE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addition to seeking patents for our technology and product candidates, we also rely on know-how and trade secret protection, as well as confidentiality agreements, non-disclosure agreements and invention assignment agreements with our employees, consultants and third-parties, to protect our confidential and proprietary information, especially where we do not believe patent protection is appropriate or obtainable.</w:t>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It is our policy to require our employees, corporate collaborators, outside scientific collaborators, CROs, contract manufacturers, consultants, advisors, and other third parties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Additionally,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w:t>
      </w:r>
    </w:p>
    <w:p>
      <w:pPr>
        <w:spacing w:after="0" w:line="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In addition, trade secrets may be independently developed by others in a manner that could prevent us from receiving legal recourse. If any of our confidential or proprietary information, such as our trade secrets, were to be disclosed or misappropriated, or if any of that information was independently developed by a competitor, our competitive position could be harmed.</w:t>
      </w:r>
    </w:p>
    <w:p>
      <w:pPr>
        <w:spacing w:after="0" w:line="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some courts inside and outside the United States are sometimes less willing or unwilling to protect trade secrets. If we choose to go to court to stop a third party from using any of our trade secrets, we may incur substantial costs. Even if we are successful, these types of lawsuits may consume our time and other resources. Any of the foregoing could have a material adverse effect on our business, financial condition, results of operations and prospects.</w:t>
      </w:r>
    </w:p>
    <w:p>
      <w:pPr>
        <w:spacing w:after="0" w:line="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Third parties may assert that our employees, consultants, or advisors have wrongfully used or disclosed confidential information or misappropriated trade secrets.</w:t>
      </w:r>
    </w:p>
    <w:p>
      <w:pPr>
        <w:spacing w:after="0" w:line="6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As is common in the biotechnology and pharmaceutical industries, we employ individuals that are currently or were previously employed at universities, research institutions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inadvertently or otherwise used or disclosed intellectual property, including trade secrets or other proprietary information, of any such individual’s current or former employer. Also, we have in the past and may in the future be subject to claims that these individuals are violating non-compete agreements with their former employers. We may then have to pursue litigation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ind w:right="200"/>
        <w:spacing w:after="0" w:line="263" w:lineRule="auto"/>
        <w:rPr>
          <w:sz w:val="20"/>
          <w:szCs w:val="20"/>
          <w:color w:val="auto"/>
        </w:rPr>
      </w:pPr>
      <w:r>
        <w:rPr>
          <w:rFonts w:ascii="Arial" w:cs="Arial" w:eastAsia="Arial" w:hAnsi="Arial"/>
          <w:sz w:val="18"/>
          <w:szCs w:val="18"/>
          <w:color w:val="auto"/>
        </w:rPr>
        <w:t>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0" w:lineRule="exact"/>
        <w:rPr>
          <w:sz w:val="20"/>
          <w:szCs w:val="20"/>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product candidates we may develop will eventually become commercially available in generic or biosimilar product forms;</w:t>
      </w:r>
    </w:p>
    <w:p>
      <w:pPr>
        <w:spacing w:after="0" w:line="225" w:lineRule="exact"/>
        <w:rPr>
          <w:rFonts w:ascii="Arial" w:cs="Arial" w:eastAsia="Arial" w:hAnsi="Arial"/>
          <w:sz w:val="18"/>
          <w:szCs w:val="18"/>
          <w:color w:val="auto"/>
        </w:rPr>
      </w:pPr>
    </w:p>
    <w:p>
      <w:pPr>
        <w:ind w:left="740" w:right="520" w:hanging="368"/>
        <w:spacing w:after="0" w:line="277"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any product candidates we may develop or utilize similar base editing technology but that are not covered by the claims of the patents that we license or may own in the future;</w:t>
      </w:r>
    </w:p>
    <w:p>
      <w:pPr>
        <w:spacing w:after="0" w:line="170" w:lineRule="exact"/>
        <w:rPr>
          <w:rFonts w:ascii="Arial" w:cs="Arial" w:eastAsia="Arial" w:hAnsi="Arial"/>
          <w:sz w:val="18"/>
          <w:szCs w:val="18"/>
          <w:color w:val="auto"/>
        </w:rPr>
      </w:pPr>
    </w:p>
    <w:p>
      <w:pPr>
        <w:ind w:left="740" w:right="80" w:hanging="368"/>
        <w:spacing w:after="0" w:line="277"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 that we license or may own in the future;</w:t>
      </w:r>
    </w:p>
    <w:p>
      <w:pPr>
        <w:spacing w:after="0" w:line="170" w:lineRule="exact"/>
        <w:rPr>
          <w:rFonts w:ascii="Arial" w:cs="Arial" w:eastAsia="Arial" w:hAnsi="Arial"/>
          <w:sz w:val="18"/>
          <w:szCs w:val="18"/>
          <w:color w:val="auto"/>
        </w:rPr>
      </w:pPr>
    </w:p>
    <w:p>
      <w:pPr>
        <w:ind w:left="740" w:right="300" w:hanging="368"/>
        <w:spacing w:after="0" w:line="277"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170" w:lineRule="exact"/>
        <w:rPr>
          <w:rFonts w:ascii="Arial" w:cs="Arial" w:eastAsia="Arial" w:hAnsi="Arial"/>
          <w:sz w:val="18"/>
          <w:szCs w:val="18"/>
          <w:color w:val="auto"/>
        </w:rPr>
      </w:pPr>
    </w:p>
    <w:p>
      <w:pPr>
        <w:ind w:left="740" w:right="220" w:hanging="368"/>
        <w:spacing w:after="0" w:line="308" w:lineRule="auto"/>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or our license partners or current or future collaborators, may fail to meet our obligations to the U.S. government regarding any in-licensed patents and patent applications funded by U.S. government grants, leading to the loss or unenforceability of patent rights;</w:t>
      </w:r>
    </w:p>
    <w:p>
      <w:pPr>
        <w:spacing w:after="0" w:line="146" w:lineRule="exact"/>
        <w:rPr>
          <w:rFonts w:ascii="Arial" w:cs="Arial" w:eastAsia="Arial" w:hAnsi="Arial"/>
          <w:sz w:val="17"/>
          <w:szCs w:val="17"/>
          <w:color w:val="auto"/>
        </w:rPr>
      </w:pPr>
    </w:p>
    <w:p>
      <w:pPr>
        <w:ind w:left="740" w:right="520" w:hanging="368"/>
        <w:spacing w:after="0" w:line="277"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it is possible that our pending, owned or licensed patent applications or those that we may own in the future will not lead to issued patents;</w:t>
      </w:r>
    </w:p>
    <w:p>
      <w:pPr>
        <w:spacing w:after="0" w:line="236" w:lineRule="exact"/>
        <w:rPr>
          <w:rFonts w:ascii="Arial" w:cs="Arial" w:eastAsia="Arial" w:hAnsi="Arial"/>
          <w:sz w:val="17"/>
          <w:szCs w:val="17"/>
          <w:color w:val="auto"/>
        </w:rPr>
      </w:pPr>
    </w:p>
    <w:p>
      <w:pPr>
        <w:ind w:left="740" w:right="300" w:hanging="368"/>
        <w:spacing w:after="0" w:line="277"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owned or in-licensed patents, or parts of our owned or in-licensed patents;</w:t>
      </w:r>
    </w:p>
    <w:p>
      <w:pPr>
        <w:spacing w:after="0" w:line="170" w:lineRule="exact"/>
        <w:rPr>
          <w:rFonts w:ascii="Arial" w:cs="Arial" w:eastAsia="Arial" w:hAnsi="Arial"/>
          <w:sz w:val="18"/>
          <w:szCs w:val="18"/>
          <w:color w:val="auto"/>
        </w:rPr>
      </w:pPr>
    </w:p>
    <w:p>
      <w:pPr>
        <w:ind w:left="740" w:right="300" w:hanging="368"/>
        <w:spacing w:after="0" w:line="277"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170" w:lineRule="exact"/>
        <w:rPr>
          <w:rFonts w:ascii="Arial" w:cs="Arial" w:eastAsia="Arial" w:hAnsi="Arial"/>
          <w:sz w:val="18"/>
          <w:szCs w:val="18"/>
          <w:color w:val="auto"/>
        </w:rPr>
      </w:pPr>
    </w:p>
    <w:p>
      <w:pPr>
        <w:ind w:left="740" w:right="220" w:hanging="368"/>
        <w:spacing w:after="0" w:line="263"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83" w:lineRule="exact"/>
        <w:rPr>
          <w:rFonts w:ascii="Arial" w:cs="Arial" w:eastAsia="Arial" w:hAnsi="Arial"/>
          <w:sz w:val="18"/>
          <w:szCs w:val="18"/>
          <w:color w:val="auto"/>
        </w:rPr>
      </w:pPr>
    </w:p>
    <w:p>
      <w:pPr>
        <w:ind w:left="740" w:right="300" w:hanging="368"/>
        <w:spacing w:after="0" w:line="277"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unenforceable, or narrowed in scope, including as a result of legal challenges by our competitors;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236" w:lineRule="exact"/>
        <w:rPr>
          <w:rFonts w:ascii="Arial" w:cs="Arial" w:eastAsia="Arial" w:hAnsi="Arial"/>
          <w:sz w:val="17"/>
          <w:szCs w:val="17"/>
          <w:color w:val="auto"/>
        </w:rPr>
      </w:pPr>
    </w:p>
    <w:p>
      <w:pPr>
        <w:ind w:left="740" w:right="160" w:hanging="368"/>
        <w:spacing w:after="0" w:line="277"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proprietary rights or the proprietary rights of license partners or current or future collaborators to the same extent as the laws of the United States;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4" w:name="page65"/>
    <w:bookmarkEnd w:id="64"/>
    <w:p>
      <w:pPr>
        <w:ind w:left="740" w:right="200" w:hanging="368"/>
        <w:spacing w:after="0" w:line="342" w:lineRule="auto"/>
        <w:tabs>
          <w:tab w:leader="none" w:pos="7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123" w:lineRule="exact"/>
        <w:rPr>
          <w:rFonts w:ascii="Arial" w:cs="Arial" w:eastAsia="Arial" w:hAnsi="Arial"/>
          <w:sz w:val="16"/>
          <w:szCs w:val="16"/>
          <w:color w:val="auto"/>
        </w:rPr>
      </w:pPr>
    </w:p>
    <w:p>
      <w:pPr>
        <w:ind w:left="740" w:right="80" w:hanging="368"/>
        <w:spacing w:after="0" w:line="277"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0" w:lineRule="exact"/>
        <w:rPr>
          <w:rFonts w:ascii="Arial" w:cs="Arial" w:eastAsia="Arial" w:hAnsi="Arial"/>
          <w:sz w:val="18"/>
          <w:szCs w:val="18"/>
          <w:color w:val="auto"/>
        </w:rPr>
      </w:pPr>
    </w:p>
    <w:p>
      <w:pPr>
        <w:ind w:left="740" w:right="280" w:hanging="368"/>
        <w:spacing w:after="0" w:line="277"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product candidates we develop may be covered by third parties’ patents or other exclusive rights;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patents of others may harm our business; or</w:t>
      </w:r>
    </w:p>
    <w:p>
      <w:pPr>
        <w:spacing w:after="0" w:line="225" w:lineRule="exact"/>
        <w:rPr>
          <w:rFonts w:ascii="Arial" w:cs="Arial" w:eastAsia="Arial" w:hAnsi="Arial"/>
          <w:sz w:val="18"/>
          <w:szCs w:val="18"/>
          <w:color w:val="auto"/>
        </w:rPr>
      </w:pPr>
    </w:p>
    <w:p>
      <w:pPr>
        <w:ind w:left="740" w:right="560" w:hanging="368"/>
        <w:spacing w:after="0" w:line="277"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sz w:val="20"/>
          <w:szCs w:val="20"/>
          <w:color w:val="auto"/>
        </w:rPr>
      </w:pPr>
    </w:p>
    <w:p>
      <w:pPr>
        <w:ind w:right="520"/>
        <w:spacing w:after="0" w:line="375" w:lineRule="auto"/>
        <w:rPr>
          <w:sz w:val="20"/>
          <w:szCs w:val="20"/>
          <w:color w:val="auto"/>
        </w:rPr>
      </w:pPr>
      <w:r>
        <w:rPr>
          <w:rFonts w:ascii="Arial" w:cs="Arial" w:eastAsia="Arial" w:hAnsi="Arial"/>
          <w:sz w:val="18"/>
          <w:szCs w:val="18"/>
          <w:color w:val="auto"/>
        </w:rPr>
        <w:t xml:space="preserve">Should any of these events occur, they could have a material adverse effect on our business, financial condition, results of operations, and prospects. </w:t>
      </w:r>
      <w:r>
        <w:rPr>
          <w:rFonts w:ascii="Arial" w:cs="Arial" w:eastAsia="Arial" w:hAnsi="Arial"/>
          <w:sz w:val="18"/>
          <w:szCs w:val="18"/>
          <w:b w:val="1"/>
          <w:bCs w:val="1"/>
          <w:color w:val="auto"/>
        </w:rPr>
        <w:t>Risks related to regulatory and other legal compliance matters</w:t>
      </w:r>
    </w:p>
    <w:p>
      <w:pPr>
        <w:spacing w:after="0" w:line="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any product candidates we may develop.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spacing w:after="0" w:line="6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Any product candidates we may develop and the activities associated with their development and commercialization, including their design, testing, manufacture, recordkeeping, labeling, storage, approval, advertising, promotion, sale, import, export, and distribution, are subject to comprehensive regulation by the FDA, the EMA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We have only limited experience in filing and supporting the applications necessary to gain marketing approvals and expect to rely on third parties to assist us in this process. Securing regulatory approval requires the submission of extensive preclinical and clinical data and supporting information to the various regulatory authorities for each therapeutic indication to establish the biological product candidate’s safety, purity, and potency. Securing regulatory approval also requires the submission of extensive information about the product manufacturing process,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7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medicine not commercially viable.</w:t>
      </w:r>
    </w:p>
    <w:p>
      <w:pPr>
        <w:spacing w:after="0" w:line="5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any product candidates we may develop from being marketed in such jurisdictions, which, in turn, would materially impair our ability to generate revenue.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order to market and sell any product candidates we may develop in the EU and other foreign jurisdictions, we or our third-party collaborators must obtain separate marketing approvals (a single one for the EU)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5" w:name="page66"/>
    <w:bookmarkEnd w:id="65"/>
    <w:p>
      <w:pPr>
        <w:ind w:right="60"/>
        <w:spacing w:after="0" w:line="296" w:lineRule="auto"/>
        <w:rPr>
          <w:sz w:val="20"/>
          <w:szCs w:val="20"/>
          <w:color w:val="auto"/>
        </w:rPr>
      </w:pPr>
      <w:r>
        <w:rPr>
          <w:rFonts w:ascii="Arial" w:cs="Arial" w:eastAsia="Arial" w:hAnsi="Arial"/>
          <w:sz w:val="16"/>
          <w:szCs w:val="16"/>
          <w:color w:val="auto"/>
        </w:rPr>
        <w:t>is required that the product candidate be approved for reimbursement before the product candidate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jurisdiction, which would materially impair our ability to generate revenue.</w:t>
      </w:r>
    </w:p>
    <w:p>
      <w:pPr>
        <w:spacing w:after="0" w:line="53" w:lineRule="exact"/>
        <w:rPr>
          <w:sz w:val="20"/>
          <w:szCs w:val="20"/>
          <w:color w:val="auto"/>
        </w:rPr>
      </w:pPr>
    </w:p>
    <w:p>
      <w:pPr>
        <w:ind w:right="1020"/>
        <w:spacing w:after="0" w:line="308" w:lineRule="auto"/>
        <w:rPr>
          <w:sz w:val="20"/>
          <w:szCs w:val="20"/>
          <w:color w:val="auto"/>
        </w:rPr>
      </w:pPr>
      <w:r>
        <w:rPr>
          <w:rFonts w:ascii="Arial" w:cs="Arial" w:eastAsia="Arial" w:hAnsi="Arial"/>
          <w:sz w:val="17"/>
          <w:szCs w:val="17"/>
          <w:color w:val="auto"/>
        </w:rPr>
        <w:t>The withdrawal of the U.K. from the EU occurred on January 31, 2020, which is commonly known as “Brexit.” A “transition period” through December 31, 2020 has been established to allow the United Kingdom and EU to negotiate the terms of the United Kingdom’s.</w:t>
      </w:r>
    </w:p>
    <w:p>
      <w:pPr>
        <w:spacing w:after="0" w:line="3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Since the regulatory framework for pharmaceutical products in the U.K. relating to quality, safety and efficacy of pharmaceutical products, clinical trials, marketing authorization, commercial sales and distribution of pharmaceutical products is derived from EU directives and regulations, Brexit will materially impact the future regulatory regime which applies to products and the approval of product candidates in the U.K.. In the first instance, a separate U.K. authorization from any centralized authorization for the EU would need to be applied before the end of any agreed transition period. In the immediately foreseeable future, the process is likely to remain very similar to that applicable in the EU, albeit that the processes for applications will be separate. Longer term, the U.K. is likely to develop its own legislation that diverges from that in the EU.</w:t>
      </w:r>
    </w:p>
    <w:p>
      <w:pPr>
        <w:spacing w:after="0" w:line="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Even if we, or any collaborators we may have, obtain marketing approvals for any product candidates we develop, the terms of approvals and ongoing regulation of our product candidates could require the substantial expenditure of resources and may limit how we, or they, manufacture and market our product candidates, which could materially impair our ability to generate revenue.</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Any product candidate for which we obtain marketing approval, along with the manufacturing processes, post-approval clinical data, labeling, advertising, and promotional activities for such medicine, will be subject to continual requirements of and review by the FDA, EMA and other regulatory authorities. These requirements include submissions of safety and other post-marketing information and reports, facility registration and drug listing requirements, cGMP requirements relating to quality control, quality assurance and corresponding maintenance of records and documents, and requirements regarding the distribution of samples to physicians and recordkeeping. Even if marketing approval of a product candidate is granted, the approval may be subject to limitations on the indicated uses for which the medicine may be marketed or to the conditions of approval, or contain requirements for costly post-marketing testing and surveillance to monitor the safety or efficacy of the medicine.</w:t>
      </w:r>
    </w:p>
    <w:p>
      <w:pPr>
        <w:spacing w:after="0" w:line="6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Accordingly, assuming we, or any collaborators we may have, receive marketing approval for one or more product candidates we develop,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have the marketing approvals for our products withdrawn by regulatory authorities and our, or such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5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restrictions or withdrawal from the market, and we may be subject to substantial penalties if we fail to comply with regulatory requirements or if we experience unanticipated problems with our medicines, when and if any of them are approved.</w:t>
      </w:r>
    </w:p>
    <w:p>
      <w:pPr>
        <w:spacing w:after="0" w:line="7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FDA, the EMA, and other regulatory agencies closely regulate the post-approval marketing and promotion of medicines to ensure that they are marketed only for the approved indications and in accordance with the provisions of the approved labeling. The FDA, the EMA and other regulatory agencies impose stringent restrictions on manufacturers’ communications regarding off-label use, and if we market our medicines for off-label use, we may be subject to enforcement action for off-label marketing by the FDA and other federal and state enforcement agencies, including the Department of Justice. Violation of the Federal Food, Product, and Cosmetic Act and other statutes, including the False Claims Act, and equivalent legislation in other countries relating to the promotion and advertising of prescription products may also lead to investigations or allegations of violations of federal and state and other countries’ health care fraud and abuse laws and state consumer protection laws. Even if it is later determined we were not in violation of these laws, we may be faced with negative publicity, incur significant expenses defending our actions and have to divert significant management resources from other matters.</w:t>
      </w:r>
    </w:p>
    <w:p>
      <w:pPr>
        <w:spacing w:after="0" w:line="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addition, later discovery of previously unknown problems with our medicines, manufacturers, or manufacturing processes, or failure to comply with regulatory requirements, may yield various negative consequences, including:</w:t>
      </w:r>
    </w:p>
    <w:p>
      <w:pPr>
        <w:spacing w:after="0" w:line="170" w:lineRule="exact"/>
        <w:rPr>
          <w:sz w:val="20"/>
          <w:szCs w:val="20"/>
          <w:color w:val="auto"/>
        </w:rPr>
      </w:pPr>
    </w:p>
    <w:p>
      <w:pPr>
        <w:ind w:left="740" w:hanging="36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on such medicines, manufacturers, or manufacturing processes;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on the labeling or marketing of a medicine;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on the distribution or use of a medicine;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requirements to conduct post-marketing clinical trials;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6" w:name="page67"/>
    <w:bookmarkEnd w:id="66"/>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receipt of warning or untitled letters;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withdrawal of the medicines from the market;</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recall of medicines;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restrictions on future procurements with governmental authorities;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refusal to permit the import or export of our medicines;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product seizure;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may develop and adversely affect our business, financial condition, results of operations, and prospects.</w:t>
      </w:r>
    </w:p>
    <w:p>
      <w:pPr>
        <w:spacing w:after="0" w:line="76"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anti-bribery and other healthcare laws and regulations, which could expose us to criminal sanctions, civil penalties, contractual damages, reputational harm, and diminished profits and future earnings.</w:t>
      </w:r>
    </w:p>
    <w:p>
      <w:pPr>
        <w:spacing w:after="0" w:line="7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Healthcare providers, physicians, and third-party payors play a primary role in the recommendation and prescription of any product candidates that we may develop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medicines for which we obtain marketing approval. Restrictions under applicable federal and state healthcare laws and regulations, including certain laws and regulations applicable only if we have marketed products, include the following:</w:t>
      </w:r>
    </w:p>
    <w:p>
      <w:pPr>
        <w:spacing w:after="0" w:line="176" w:lineRule="exact"/>
        <w:rPr>
          <w:sz w:val="20"/>
          <w:szCs w:val="20"/>
          <w:color w:val="auto"/>
        </w:rPr>
      </w:pPr>
    </w:p>
    <w:p>
      <w:pPr>
        <w:ind w:left="740" w:hanging="368"/>
        <w:spacing w:after="0" w:line="263"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spacing w:after="0" w:line="183" w:lineRule="exact"/>
        <w:rPr>
          <w:rFonts w:ascii="Arial" w:cs="Arial" w:eastAsia="Arial" w:hAnsi="Arial"/>
          <w:sz w:val="18"/>
          <w:szCs w:val="18"/>
          <w:color w:val="auto"/>
        </w:rPr>
      </w:pPr>
    </w:p>
    <w:p>
      <w:pPr>
        <w:ind w:left="740" w:right="20" w:hanging="368"/>
        <w:spacing w:after="0" w:line="263"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federal healthcare program anti-kickback law, which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w:t>
      </w:r>
    </w:p>
    <w:p>
      <w:pPr>
        <w:spacing w:after="0" w:line="183" w:lineRule="exact"/>
        <w:rPr>
          <w:rFonts w:ascii="Arial" w:cs="Arial" w:eastAsia="Arial" w:hAnsi="Arial"/>
          <w:sz w:val="18"/>
          <w:szCs w:val="18"/>
          <w:color w:val="auto"/>
        </w:rPr>
      </w:pPr>
    </w:p>
    <w:p>
      <w:pPr>
        <w:jc w:val="both"/>
        <w:ind w:left="740" w:right="500" w:hanging="368"/>
        <w:spacing w:after="0" w:line="263"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in addition to privacy protections applicable to healthcare providers and other entities, prohibits executing a scheme to defraud any healthcare benefit program or making false statements relating to healthcare matters;</w:t>
      </w:r>
    </w:p>
    <w:p>
      <w:pPr>
        <w:spacing w:after="0" w:line="183" w:lineRule="exact"/>
        <w:rPr>
          <w:rFonts w:ascii="Arial" w:cs="Arial" w:eastAsia="Arial" w:hAnsi="Arial"/>
          <w:sz w:val="18"/>
          <w:szCs w:val="18"/>
          <w:color w:val="auto"/>
        </w:rPr>
      </w:pPr>
    </w:p>
    <w:p>
      <w:pPr>
        <w:ind w:left="740" w:right="220" w:hanging="368"/>
        <w:spacing w:after="0" w:line="277"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federal Food, Drug, and Cosmetic Act, or the FDCA, which among other things, strictly regulates drug marketing, prohibits manufacturers from marketing such products for off-label use and regulates the distribution of samples;</w:t>
      </w:r>
    </w:p>
    <w:p>
      <w:pPr>
        <w:spacing w:after="0" w:line="170" w:lineRule="exact"/>
        <w:rPr>
          <w:rFonts w:ascii="Arial" w:cs="Arial" w:eastAsia="Arial" w:hAnsi="Arial"/>
          <w:sz w:val="18"/>
          <w:szCs w:val="18"/>
          <w:color w:val="auto"/>
        </w:rPr>
      </w:pPr>
    </w:p>
    <w:p>
      <w:pPr>
        <w:ind w:left="740" w:right="60" w:hanging="368"/>
        <w:spacing w:after="0" w:line="342" w:lineRule="auto"/>
        <w:tabs>
          <w:tab w:leader="none" w:pos="7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23" w:lineRule="exact"/>
        <w:rPr>
          <w:rFonts w:ascii="Arial" w:cs="Arial" w:eastAsia="Arial" w:hAnsi="Arial"/>
          <w:sz w:val="16"/>
          <w:szCs w:val="16"/>
          <w:color w:val="auto"/>
        </w:rPr>
      </w:pPr>
    </w:p>
    <w:p>
      <w:pPr>
        <w:ind w:left="740" w:right="80" w:hanging="368"/>
        <w:spacing w:after="0" w:line="259"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so-called “federal sunshine” law under the Healthcare Reform Act, which requires pharmaceutical and medical device companies to monitor and report certain financial interactions with certain healthcare providers to the Center for Medicare &amp; Medicaid Services within the U.S. Department of Health and Human Services for re-disclosure to the public, as well as ownership and investment interests held by physicians and their immediate family members; and</w:t>
      </w:r>
    </w:p>
    <w:p>
      <w:pPr>
        <w:spacing w:after="0" w:line="186" w:lineRule="exact"/>
        <w:rPr>
          <w:rFonts w:ascii="Arial" w:cs="Arial" w:eastAsia="Arial" w:hAnsi="Arial"/>
          <w:sz w:val="18"/>
          <w:szCs w:val="18"/>
          <w:color w:val="auto"/>
        </w:rPr>
      </w:pPr>
    </w:p>
    <w:p>
      <w:pPr>
        <w:ind w:left="740" w:right="140" w:hanging="368"/>
        <w:spacing w:after="0" w:line="277"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anti-bribery and false claims laws, which may apply to healthcare items or services that are reimbursed by non-governmental third-party payors, including private insurers.</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Some state laws also require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7" w:name="page68"/>
    <w:bookmarkEnd w:id="67"/>
    <w:p>
      <w:pPr>
        <w:ind w:right="100"/>
        <w:spacing w:after="0" w:line="254"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business, financial condition, results of operations, and prospects.</w:t>
      </w:r>
    </w:p>
    <w:p>
      <w:pPr>
        <w:spacing w:after="0" w:line="87"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EU Member States, such as the U.K. Bribery Act 2010. Infringement of these laws could result in substantial fines and imprisonment.</w:t>
      </w:r>
    </w:p>
    <w:p>
      <w:pPr>
        <w:spacing w:after="0" w:line="4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efforts of the Trump Administration to pursue regulatory reform may limit the FDA’s ability to engage in oversight and implementation activities in the normal course, and that could negatively impact our business.</w:t>
      </w:r>
    </w:p>
    <w:p>
      <w:pPr>
        <w:spacing w:after="0" w:line="6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On January 30, 2017, President Trump issued an executive order, applicable to all executive agencies, including the FDA, that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on February 2, 2017, the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Healthcare and other reform legislation may increase the difficulty and cost for us and any collaborators we may have to obtain marketing approval of and commercialize any product candidates we may develop and affect the prices we, or they, may obtain.</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United States and some foreign jurisdictions, there have been and continue to be ongoing efforts to implement legislative and regulatory changes regarding the healthcare system. Such changes could prevent or delay marketing approval of any product candidates that we may develop, restrict or regulate post-approval activities, and affect our ability to profitably sell any product candidates for which we obtain marketing approval. Although we cannot predict what healthcare or other reform efforts will be successful, such efforts may result in more rigorous coverage criteria, in additional downward pressure on the price that we, or our future collaborators, may receive for any approved products or in other consequences that may adversely affect our ability to achieve or maintain profitability.</w:t>
      </w:r>
    </w:p>
    <w:p>
      <w:pPr>
        <w:spacing w:after="0" w:line="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Within the United States, the federal government and individual states have aggressively pursued healthcare reform, as evidenced by the passing of the Healthcare Reform Act and the ongoing efforts to modify or repeal that legislation. The Healthcare Reform Act substantially changed the way healthcare is financed by both governmental and private insurers and contains a number of provisions that affect coverage and reimbursement of drug products and/or that could potentially reduce the demand for pharmaceutical products such as increasing drug rebates under state Medicaid programs for brand name prescription drugs and extending those rebates to Medicaid managed care and assessing a fee on manufacturers and importers of brand name prescription drugs reimbursed under certain government programs, including Medicare and Medicaid. Other aspects of healthcare reform, such as expanded government enforcement authority and heightened standards that could increase compliance-related costs, could also affect our business. Modifications have been implemented under the Trump Administration and additional modifications or repeal may occur. There are, and may continue to be, judicial challenges. We cannot predict the ultimate content, timing or effect of any changes to the Healthcare Reform Act or other federal and state reform efforts. There is no assurance that federal or state health care reform will not adversely affect our future business and financial results, and we cannot predict how future federal or state legislative, judicial or administrative changes relating to healthcare reform will affect our business.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ind w:right="160"/>
        <w:spacing w:after="0" w:line="272" w:lineRule="auto"/>
        <w:rPr>
          <w:sz w:val="20"/>
          <w:szCs w:val="20"/>
          <w:color w:val="auto"/>
        </w:rPr>
      </w:pPr>
      <w:r>
        <w:rPr>
          <w:rFonts w:ascii="Arial" w:cs="Arial" w:eastAsia="Arial" w:hAnsi="Arial"/>
          <w:sz w:val="17"/>
          <w:szCs w:val="17"/>
          <w:color w:val="auto"/>
        </w:rPr>
        <w:t>Federal and state governments have shown significant interest in implementing cost-containment programs to limit the growth of government-paid healthcare costs, including price controls, waivers from Medicaid drug rebate law requirements, restrictions on reimbursement and requirements for substitution of generic products for branded prescription drugs. The private sector has also sought to control healthcare costs by limiting coverage or reimbursement or requiring discounts and rebates on products. We are unable to predict what additional legislation, regulations or policies, if any, relating to the healthcare industry or third-party coverage and reimbursement may be enacted in the future or what effect such legislation, regulations or policies would have on our business. Any cost containment measures could significantly decrease the available coverage and the price we might establish for our potential products, which would have an adverse effect on our net revenues and operating results.</w:t>
      </w:r>
    </w:p>
    <w:p>
      <w:pPr>
        <w:spacing w:after="0" w:line="6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for biological products will be changed, or what the impact of such changes on the marketing approvals of our product candidates, if any, may be. In addition, increased scrutiny by the U.S. Congress of the FDA’s approval and decision-making processes may significantly delay or prevent marketing approval, as well as subject us to more stringent product labeling and post-marketing testing and other requirements.</w:t>
      </w:r>
    </w:p>
    <w:p>
      <w:pPr>
        <w:spacing w:after="0" w:line="68"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Fast track, breakthrough, or regenerative medicine advanced therapy designation by the FDA may not actually lead to a faster development or regulatory review or approval process and does not assure FDA approval of any product candidates we may develop.</w:t>
      </w:r>
    </w:p>
    <w:p>
      <w:pPr>
        <w:spacing w:after="0" w:line="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FDA’s fast track, breakthrough, and regenerative medicine advanced therapy, or RMAT, programs are intended to expedite the development of certain qualifying products intended for the treatment of serious diseases and conditions. If a product candidate is intended for the treatment of a serious or life-threatening condition and preclinical or clinical data demonstrate the product’s potential to address an unmet medical need for this condition, the sponsor may apply for FDA fast track designation. A product candidate may be designated as a breakthrough therapy if it is intended to treat a serious or life-threatening condition and preliminary clinical evidence indicates that the product candidate may demonstrate substantial improvement over existing therapies on one or more clinically significant endpoints. A product candidate may receive RMAT designation if it is a regenerative medicine therapy that is intended to treat, modify, reverse or cure a serious or life-threatening condition, and preliminary clinical evidence indicates that the product candidate has the potential to address an unmet medical need for such condition. While we may seek fast track, breakthrough, and/or RMAT designation, there is no guarantee that we will be successful in obtaining any such designation. Even if we do obtain such designation, we may not experience a faster development process, review or approval compared to conventional FDA procedures. A fast track, breakthrough, or RMAT designation does not ensure that the product candidate will receive marketing approval or that approval will be granted within any particular timeframe. In addition, the FDA may withdraw fast track, breakthrough, or RMAT designation if it believes that the designation is no longer supported by data from our clinical development program. Fast track, breakthrough, and/or RMAT designation alone do not guarantee qualification for the FDA’s priority review procedures.</w:t>
      </w:r>
    </w:p>
    <w:p>
      <w:pPr>
        <w:spacing w:after="0" w:line="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Priority review designation by the FDA may not lead to a faster regulatory review or approval process and, in any event, does not assure FDA approval of any product candidates we may develop.</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the FDA determines that a product candidate is intended to treat a serious disease or condition and, if approved, would provide a significant improvement in the safety or effectiveness of the treatment, prevention, or diagnosis of such disease or condition, the FDA may designate the product candidate for priority review. A priority review designation means that the goal for the FDA to review a marketing application is six months from filing of the application, rather than the standard review period of ten months. We may request priority review for certain of our product candidates. The FDA has broad discretion with respect to whether or not to grant priority review status to a product candidate, so even if we believe a particular product candidate is eligible for such designation or status, the FDA may disagree and decide not to grant it. Moreover, a priority review designation does not necessarily mean a faster regulatory review process or necessarily confer any advantage with respect to approval compared to conventional FDA procedures. Receiving priority review from the FDA does not guarantee approval within the six-month review cycle or thereafter.</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be able to obtain orphan drug exclusivity for one or more of our product candidates, and even if we do, that exclusivity may not prevent the FDA or the EMA from approving other competing products.</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Under the Orphan Drug Act, the FDA may designate a product candidate as an orphan drug if it is a drug or biologic intended to treat a rare disease or condition. A similar regulatory scheme governs approval of orphan product candidates by the EMA in the EU. 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another product candidate for the same orphan therapeutic indication for that time period. The applicable period is seven years in the United States and ten years in the EU. The exclusivity period in the EU can be reduced to six years if a product no longer meets the criteria for orphan drug designation, in particular if the product is sufficiently profitable so that market exclusivity is no longer justified.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ind w:right="40"/>
        <w:spacing w:after="0" w:line="287" w:lineRule="auto"/>
        <w:rPr>
          <w:sz w:val="20"/>
          <w:szCs w:val="20"/>
          <w:color w:val="auto"/>
        </w:rPr>
      </w:pPr>
      <w:r>
        <w:rPr>
          <w:rFonts w:ascii="Arial" w:cs="Arial" w:eastAsia="Arial" w:hAnsi="Arial"/>
          <w:sz w:val="16"/>
          <w:szCs w:val="16"/>
          <w:color w:val="auto"/>
        </w:rPr>
        <w:t>The FDA’s standards for granting orphan drug exclusivity in the gene therapy context are unclear and evolving. In order for the FDA to grant orphan drug exclusivity to one of our product candidates, the agency must find that the product candidate is indicated for the treatment of a condition or disease that affects fewer than 200,000 individuals in the United States or that affects more than 200,000 individuals in the United States and for which there is no reasonable expectation that the cost of developing and making the product candidate available for the disease or condition will be recovered from sales of the product in the United States. The FDA may conclude that the condition or disease for which we seek orphan drug exclusivity does not meet this standard. Even if we obtain orphan drug exclusivity for a product candidate, that exclusivity may not effectively protect the product candidate from competition because different product candidates can be approved for the same condition. In addition, even after an orphan drug is approved, the FDA can subsequently approve the same product candidate for the same condition if the FDA concludes that the later product candidate is clinically superior in that it is shown to be safer, more effective or makes a major contribution to patient care compared with the product that has orphan exclusivity.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6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On August 3, 2017, the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w:t>
      </w:r>
    </w:p>
    <w:p>
      <w:pPr>
        <w:spacing w:after="0" w:line="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January 28. 2020, the FDA issued a draft guidance document describing its current thinking on when a gene therapy product is the “same” as another product for purposes of orphan exclusivity. Under the Draft Guidance, if either the transgene or vector differs between two gene therapy products in a manner that does not reflect “minor” differences, the two products would be considered different drugs for orphan drug exclusivity purposes. FDA will determine whether two vectors from the same viral class are the same on a case-by-case basis and may consider additional key features in assessing sameness. There remains significant ambiguity and uncertainty under FDA’s draft guidance, and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consultants, and commercial partners, and, if we commence clinical trials, our principal investigators. Misconduct by these parties could include intentional failures to comply with FDA regulations or the regulations applicable in the EU and other jurisdictions, provide accurate information to the FDA, the EMA,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the EMA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7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1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spacing w:after="0" w:line="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70" w:name="page71"/>
    <w:bookmarkEnd w:id="70"/>
    <w:p>
      <w:pPr>
        <w:ind w:right="160"/>
        <w:spacing w:after="0" w:line="286" w:lineRule="auto"/>
        <w:rPr>
          <w:sz w:val="20"/>
          <w:szCs w:val="20"/>
          <w:color w:val="auto"/>
        </w:rPr>
      </w:pPr>
      <w:r>
        <w:rPr>
          <w:rFonts w:ascii="Arial" w:cs="Arial" w:eastAsia="Arial" w:hAnsi="Arial"/>
          <w:sz w:val="17"/>
          <w:szCs w:val="17"/>
          <w:color w:val="auto"/>
        </w:rPr>
        <w:t>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Similarly, the U.K. Bribery Act 2010 has extra-territorial effect for companies and individuals having a connection with the U.K. The U.K. Bribery Act prohibits inducements both to public officials and private individuals and organizations. Compliance with the FCPA and the U.K. Bribery Act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Our expansion outside of the United States has required, and will continue to require, us to dedicate additional resources to comply with these laws, and these laws may preclude us from developing, manufacturing, or selling certain drugs and drug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7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are subject to stringent privacy laws, information security laws, regulations, policies and contractual obligations related to data privacy and security and changes in such laws, regulations, policies and contractual obligations could adversely affect our business.</w:t>
      </w:r>
    </w:p>
    <w:p>
      <w:pPr>
        <w:spacing w:after="0" w:line="3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U.S. and EU.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w:t>
      </w:r>
    </w:p>
    <w:p>
      <w:pPr>
        <w:spacing w:after="0" w:line="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The U.S. Department of Health and Human Services, of HHS, has the discretion to impose penalties without attempting to resolve violations through informal means.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5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EU, we are subject to the General Data Protection Regulation, or GDPR, which went into effect in May 2018 and which imposes new obligations on companies that operate in our industry with respect to the processing of personal data and the cross-border transfer of such data. The GDPR imposes onerous accountability obligations requiring data controllers and processors to maintain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ind w:right="260"/>
        <w:spacing w:after="0" w:line="279" w:lineRule="auto"/>
        <w:rPr>
          <w:sz w:val="20"/>
          <w:szCs w:val="20"/>
          <w:color w:val="auto"/>
        </w:rPr>
      </w:pPr>
      <w:r>
        <w:rPr>
          <w:rFonts w:ascii="Arial" w:cs="Arial" w:eastAsia="Arial" w:hAnsi="Arial"/>
          <w:sz w:val="17"/>
          <w:szCs w:val="17"/>
          <w:color w:val="auto"/>
        </w:rPr>
        <w:t>record of their data processing and policies.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spacing w:after="0" w:line="6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While we continue to address the implications of the recent changes to EU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EU and elsewhere and carries with it the potential for significant penalties if we are found to be non-compliant. Similarly, failure to comply with federal and state laws in the United States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information technology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our Chief Executive Officer, Chief Scientific Officer and other key executives and to attract, retain, and motivate qualified personnel.</w:t>
      </w:r>
    </w:p>
    <w:p>
      <w:pPr>
        <w:spacing w:after="0" w:line="6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are highly dependent on John Evans, our Chief Executive Officer, and Dr. Giuseppe Ciaramella, our President and Chief Scientific Officer, as well as the other principal members of our management and scientific teams. Mr. Evans, Dr. Ciaramella and such other principal members are employed “at will,” meaning we or they may terminate the employment at any time. We do not maintain “key person” insurance for any of our executives or other employees. The loss of the services of any of these persons could impede the achievement of our research, development, and commercialization objectives.</w:t>
      </w:r>
    </w:p>
    <w:p>
      <w:pPr>
        <w:spacing w:after="0" w:line="4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including our scientific co-founders, may be employed by employers other than us and may have commitments under consulting or advisory contracts with other entities that may limit their availability to us. The inability to recruit, or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spacing w:after="0" w:line="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regulatory, and future sales and marketing capabilities, and as a result, we may encounter difficulties in managing our growth, which could disrupt our operations.</w:t>
      </w:r>
    </w:p>
    <w:p>
      <w:pPr>
        <w:spacing w:after="0" w:line="6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connection with the growth and advancement of our pipeline and becoming a public company, we expect to increase the number of our employees and the scope of our operations, particularly in the areas of drug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expected expansion of our operations or recruit and train additional qualified personnel. Moreover, the expected physical expansion of our operations may lead to significant costs and may divert our management and business development resources. Any inability to manage growth could delay the execution of our business plans or disrupt our operations.</w:t>
      </w:r>
    </w:p>
    <w:p>
      <w:pPr>
        <w:spacing w:after="0" w:line="5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a growing biotechnology company, we are actively pursuing new platforms and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Further, in connection with our collaboration and license agreement with Prime Medicine, we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ind w:right="80"/>
        <w:spacing w:after="0" w:line="257" w:lineRule="auto"/>
        <w:rPr>
          <w:sz w:val="20"/>
          <w:szCs w:val="20"/>
          <w:color w:val="auto"/>
        </w:rPr>
      </w:pPr>
      <w:r>
        <w:rPr>
          <w:rFonts w:ascii="Arial" w:cs="Arial" w:eastAsia="Arial" w:hAnsi="Arial"/>
          <w:sz w:val="18"/>
          <w:szCs w:val="18"/>
          <w:color w:val="auto"/>
        </w:rPr>
        <w:t>are obligated to provide management services to Prime Medicine for up to one year, which could distract our management team from their responsibilities to our own company.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our product candidates, if approved, will depend in part on our ability to effectively manage the future development and expansion of our company.</w:t>
      </w:r>
    </w:p>
    <w:p>
      <w:pPr>
        <w:spacing w:after="0" w:line="80"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b w:val="1"/>
          <w:bCs w:val="1"/>
          <w:i w:val="1"/>
          <w:iCs w:val="1"/>
          <w:color w:val="auto"/>
        </w:rPr>
        <w:t>Our internal computer systems, or those of our third-party vendors, collaborators or other contractors or consultants, may fail or suffer security breaches, which could result in a material disruption of our product development programs, compromise sensitive information related to our business or prevent us from accessing critical information, potentially exposing us to liability or otherwise adversely affecting our business.</w:t>
      </w:r>
    </w:p>
    <w:p>
      <w:pPr>
        <w:spacing w:after="0" w:line="4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internal computer systems and those of our current and any future third-party vendors, collaborators and other contractors or consultants are vulnerable to damage or interruption from computer viruses, computer hackers, malicious code, employee theft or misuse, denial-of-service attacks, sophisticated nation-state and nation-state-supported actors, unauthorized access, natural disasters, terrorism, war and telecommunication and electrical failures. While we seek to protect our information technology systems from system failure, accident and security breach, if such an event were to occur and cause interruptions in our operations, it could result in a disruption of our development programs and our business operations, whether due to a loss of our trade secrets or other proprietary information or other disruptions. For example, the loss of clinical trial data from future clinical trials could result in delays in our regulatory approval efforts and significantly increase our costs to recover or reproduce the data. If we were to experience a significant cybersecurity breach of our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spacing w:after="0" w:line="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To the extent that any disruption or security breach were to result in a loss of, or damage to, our or our third-party vendors’, collaborators’ or other contractors’ or consultants’ data or applications, or inappropriate disclosure of confidential or proprietary information, we could incur liability including litigation exposure, penalties and fines, we could become the subject of regulatory action or investigation, our competitive position could be harmed and the further development and commercialization of our product candidates could be delayed. Any of the above could have a material adverse effect on our business, financial condition, results of operations or prospects.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fluctuate substantially, which could result in substantially losses for purchasers of our common stock and subject us to securities class action litigation.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225" w:lineRule="exact"/>
        <w:rPr>
          <w:sz w:val="20"/>
          <w:szCs w:val="20"/>
          <w:color w:val="auto"/>
        </w:rPr>
      </w:pPr>
    </w:p>
    <w:p>
      <w:pPr>
        <w:ind w:left="740" w:hanging="368"/>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 candidates or technologies;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and results of preclinical studies for any product candidates that we may develop;</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or discontinuation of any of our product development and research programs;</w:t>
      </w:r>
    </w:p>
    <w:p>
      <w:pPr>
        <w:spacing w:after="0" w:line="225" w:lineRule="exact"/>
        <w:rPr>
          <w:rFonts w:ascii="Arial" w:cs="Arial" w:eastAsia="Arial" w:hAnsi="Arial"/>
          <w:sz w:val="18"/>
          <w:szCs w:val="18"/>
          <w:color w:val="auto"/>
        </w:rPr>
      </w:pPr>
    </w:p>
    <w:p>
      <w:pPr>
        <w:ind w:left="740" w:right="520" w:hanging="368"/>
        <w:spacing w:after="0" w:line="277"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or changing views regarding the use of genetic medicines, including those that involve gene editing;</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development and research programs;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level of expenses related to any of our research programs, clinical development programs, or product candidates that we may develop;</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3" w:name="page74"/>
    <w:bookmarkEnd w:id="73"/>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expiration of market stand-off or lock-up agreement;</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Securities litigation could result in substantial costs and divert management’s attention and resources from our business.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any of the analysts who cover us issue an adverse or misleading opinion regarding us, our business model or our stock performance, or if our operating results fail to meet the expectations of the investor community, one or more of the analysts who cover our company may change their recommendations regarding our company, and our stock price could decline.</w:t>
      </w:r>
    </w:p>
    <w:p>
      <w:pPr>
        <w:spacing w:after="0" w:line="5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directors, executive officers and affiliates have significant voting power and may take actions that are not in the best interests of our other stockholders.</w:t>
      </w:r>
    </w:p>
    <w:p>
      <w:pPr>
        <w:spacing w:after="0" w:line="6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of March 31, 2020, our directors and executive officers and their affiliates beneficially owned shares representing approximately 31.8% of our outstanding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proper and effective internal control over financial reporting, our operating results and our ability to operate our business could be harmed.</w:t>
      </w:r>
    </w:p>
    <w:p>
      <w:pPr>
        <w:spacing w:after="0" w:line="6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To comply with the requirements of being a public company, we have undertaken certain actions, such as documenting, reviewing and improving our internal controls and procedures for compliance with Section 404 of the Sarbanes-Oxley Act of 2002, or SOX, which will require annual management assessment of the effectiveness of our internal control over financial reporting. While we outsourced our finance and accounting personnel until the end of 2018, we have added additional finance and accounting personnel with certain skill sets that we need as a public company.</w:t>
      </w:r>
    </w:p>
    <w:p>
      <w:pPr>
        <w:spacing w:after="0" w:line="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common share price and make it more difficult for us to effectively market and sell our service to new and existing customers.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4" w:name="page75"/>
    <w:bookmarkEnd w:id="74"/>
    <w:p>
      <w:pPr>
        <w:ind w:right="2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our Annual Report on Form 10-K for the year ended December 31, 2019,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6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consolidated financial statements may not be directly comparable to those of other public companies.</w:t>
      </w:r>
    </w:p>
    <w:p>
      <w:pPr>
        <w:spacing w:after="0" w:line="6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are also a “smaller reporting company” as defined in Regulation S-K. We will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have incurred and expect to continue to incur increased costs as a result of operating as a public company, and our management is required to devote substantial time to new compliance initiatives and corporate governance practices.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a public company, and particularly after we are no longer an “emerging growth company,” we have incurred and expect to continue to incur significant legal, accounting, and other expenses.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We have added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maintain director and officer liability insurance, which could make it more difficult for us to attract and retain qualified members of our board of directors.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6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Pursuant to SOX Section 404, we will be required to furnish a report by our management on our internal control over financial reporting beginning with our Annual Report on Form 10-K for the year ended December 31, 2020.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5" w:name="page76"/>
    <w:bookmarkEnd w:id="75"/>
    <w:p>
      <w:pPr>
        <w:ind w:right="120"/>
        <w:spacing w:after="0" w:line="311" w:lineRule="auto"/>
        <w:rPr>
          <w:sz w:val="20"/>
          <w:szCs w:val="20"/>
          <w:color w:val="auto"/>
        </w:rPr>
      </w:pPr>
      <w:r>
        <w:rPr>
          <w:rFonts w:ascii="Arial" w:cs="Arial" w:eastAsia="Arial" w:hAnsi="Arial"/>
          <w:sz w:val="16"/>
          <w:szCs w:val="16"/>
          <w:color w:val="auto"/>
        </w:rPr>
        <w:t>and improvement process for internal control over financial reporting. Despite our efforts, there is a risk that we will not be able to conclude, within the prescribed timeframe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do not expect to pay any dividends for the foreseeable future. Investors may never obtain a return on their investment unless they sell our common stock for a price higher than which they paid for it.</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A severe or prolonged economic downturn, or additional global financial crises, could result in a variety of risks to our business, including weakened demand for our product candidates, if approved, or our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68"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our amended and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amended and restated certificate of incorporation and by-laws, include provisions that:</w:t>
      </w:r>
    </w:p>
    <w:p>
      <w:pPr>
        <w:spacing w:after="0" w:line="187" w:lineRule="exact"/>
        <w:rPr>
          <w:sz w:val="20"/>
          <w:szCs w:val="20"/>
          <w:color w:val="auto"/>
        </w:rPr>
      </w:pPr>
    </w:p>
    <w:p>
      <w:pPr>
        <w:ind w:left="740" w:right="140" w:hanging="368"/>
        <w:spacing w:after="0" w:line="277"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225" w:lineRule="exact"/>
        <w:rPr>
          <w:rFonts w:ascii="Arial" w:cs="Arial" w:eastAsia="Arial" w:hAnsi="Arial"/>
          <w:sz w:val="18"/>
          <w:szCs w:val="18"/>
          <w:color w:val="auto"/>
        </w:rPr>
      </w:pPr>
    </w:p>
    <w:p>
      <w:pPr>
        <w:ind w:left="740" w:right="80" w:hanging="368"/>
        <w:spacing w:after="0" w:line="277"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expressly authorized our board of directors to make, alter, amend or repeal our amended and restated by-laws; and</w:t>
      </w:r>
    </w:p>
    <w:p>
      <w:pPr>
        <w:spacing w:after="0" w:line="225" w:lineRule="exact"/>
        <w:rPr>
          <w:rFonts w:ascii="Arial" w:cs="Arial" w:eastAsia="Arial" w:hAnsi="Arial"/>
          <w:sz w:val="18"/>
          <w:szCs w:val="18"/>
          <w:color w:val="auto"/>
        </w:rPr>
      </w:pPr>
    </w:p>
    <w:p>
      <w:pPr>
        <w:ind w:left="740" w:right="620" w:hanging="368"/>
        <w:spacing w:after="0" w:line="277"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amended and restated certificate of incorporation and amended and restated by-laws.</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 These provisions could also limit the price that investors might be willing to pay for shares of our common stock, thereby depressing the market price of our common stock.</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because we are incorporated in the State of Delaware, we are governed by the provisions of Section 203 of the General Corporation Law of the State of Delaware,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6" w:name="page77"/>
    <w:bookmarkEnd w:id="76"/>
    <w:p>
      <w:pPr>
        <w:ind w:right="48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and amended and restated by-laws designate the state or federal courts within the State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4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or federal courts within the State of Delaware will be exclusive forums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or our amended and restated by-laws, (4) any action to interpret, apply, enforce or determine the validity of our amended and restated certificate of incorporation or our amended and restated by-laws or (5) any other action asserting a claim against us that is governed by the internal affairs doctrine. Furthermore, our amended and restated by-laws also provide that unless we consent in writing to the selection of an alternative forum, the federal district courts of the United States shall be the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amended and restated certificate of incorporation and amended and restated by-laws described above. These choice of forum provisions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or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For example, the Court of Chancery of the State of Delaware recently determined that a provision stating that federal district courts of the United States are the exclusive forum for resolving any complaint asserting a cause of action under the Securities Act is not enforceable. However, this decision may be reviewed and ultimately overturned by the Delaware Supreme Court.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Uses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From January 1, 2020 through March 31, 2020, we issued and sold to 14 employees an aggregate of 35,501 shares of common stock upon the exercise of stock options under our 2017 Stock Option and Grant Plan at a weighted-average per share exercise price of $2.33.</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common stock issued upon the exercise of options described above were issued under our 2017 Stock Option and Grant Plan in reliance on the exemption provided by Rule 701 promulgated under the Securities Act. The recipients of securities in these transactions had adequate access, through employment, business or other relationships, to information about us. The foregoing transactions did not involve any underwriters, underwriting discounts or commissions, or any public offering.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February 10, 2020, we closed our IPO in which we issued and sold 12,176,471 shares of our common stock, including 1,588,235 shares of common stock sold pursuant to the underwriters’ full exercise of their option to purchase additional shares, at a public offering price of $17.00 per share, for aggregate gross proceeds of $207.0 million. All of the shares issued and sold in the IPO were registered under the Securities Act pursuant to a Registration Statement on Form S-1 (File No. 333-233985), which was declared effective by the SEC on February 5, 2020, and a Registration Statement on Form S-1 MEF (File No. 333-236284) filed pursuant to Rule 462(b) of the Securities Act. J.P. Morgan Securities LLC, Jeffries LLC, and Barclays Capital Inc. acted as joint bookrunning managers of the IPO and as representatives of the underwriters. Wedbush Securities Inc. acted as the lead manager for the IPO. The offering commenced on February 5, 2020 and did not terminate until the sale of all the shares offered.</w:t>
      </w:r>
    </w:p>
    <w:p>
      <w:pPr>
        <w:spacing w:after="0" w:line="5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net offering proceeds to us, after deducting underwriting discounts and estimated offering expenses payable by us of $18.7 million, were $188.3 million. No offering expenses were paid directly or indirectly to any of our directors or officers (or their associates) or persons owning 10.0% or more of any class of our equity securities or to any other affiliates. We are holding a significant portion of the balance of the net proceeds from the offering in money market funds and short-term investments. There has been no material change in our planned use of the net proceeds from our IPO described in our final prospectus, dated February 5, 2020, filed with the SEC pursuant to Rule 424(b) relating to our Registration Statement on Form S-1.</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On February 26, 2020, the Compensation Committee of our Board of Directors approved annual bonus awards to our employees, including our named executive officers for their performance during the year ended December 31, 2019. The annual bonus awards were paid in cash. The bonuses awarded to our named executive officers are set forth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tcPr>
          <w:p>
            <w:pPr>
              <w:jc w:val="right"/>
              <w:ind w:right="799"/>
              <w:spacing w:after="0"/>
              <w:rPr>
                <w:sz w:val="20"/>
                <w:szCs w:val="20"/>
                <w:color w:val="auto"/>
              </w:rPr>
            </w:pPr>
            <w:r>
              <w:rPr>
                <w:rFonts w:ascii="Arial" w:cs="Arial" w:eastAsia="Arial" w:hAnsi="Arial"/>
                <w:sz w:val="14"/>
                <w:szCs w:val="14"/>
                <w:b w:val="1"/>
                <w:bCs w:val="1"/>
                <w:color w:val="auto"/>
              </w:rPr>
              <w:t>Nonequity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4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tcPr>
          <w:p>
            <w:pPr>
              <w:jc w:val="right"/>
              <w:ind w:right="679"/>
              <w:spacing w:after="0" w:line="149" w:lineRule="exact"/>
              <w:rPr>
                <w:sz w:val="20"/>
                <w:szCs w:val="20"/>
                <w:color w:val="auto"/>
              </w:rPr>
            </w:pPr>
            <w:r>
              <w:rPr>
                <w:rFonts w:ascii="Arial" w:cs="Arial" w:eastAsia="Arial" w:hAnsi="Arial"/>
                <w:sz w:val="14"/>
                <w:szCs w:val="14"/>
                <w:b w:val="1"/>
                <w:bCs w:val="1"/>
                <w:color w:val="auto"/>
              </w:rPr>
              <w:t>incentive plan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Borders>
              <w:bottom w:val="single" w:sz="8" w:color="auto"/>
            </w:tcBorders>
            <w:vMerge w:val="continue"/>
          </w:tcPr>
          <w:p>
            <w:pPr>
              <w:spacing w:after="0"/>
              <w:rPr>
                <w:sz w:val="14"/>
                <w:szCs w:val="14"/>
                <w:color w:val="auto"/>
              </w:rPr>
            </w:pPr>
          </w:p>
        </w:tc>
        <w:tc>
          <w:tcPr>
            <w:tcW w:w="496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compensation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John Evans</w:t>
            </w:r>
          </w:p>
        </w:tc>
        <w:tc>
          <w:tcPr>
            <w:tcW w:w="4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367,813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Giuseppe Ciaramella, Ph.D.</w:t>
            </w:r>
          </w:p>
        </w:tc>
        <w:tc>
          <w:tcPr>
            <w:tcW w:w="4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jc w:val="right"/>
              <w:ind w:right="59"/>
              <w:spacing w:after="0"/>
              <w:rPr>
                <w:sz w:val="20"/>
                <w:szCs w:val="20"/>
                <w:color w:val="auto"/>
              </w:rPr>
            </w:pPr>
            <w:r>
              <w:rPr>
                <w:rFonts w:ascii="Arial" w:cs="Arial" w:eastAsia="Arial" w:hAnsi="Arial"/>
                <w:sz w:val="18"/>
                <w:szCs w:val="18"/>
                <w:color w:val="auto"/>
              </w:rPr>
              <w:t>267,188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Terry-Ann Burrell</w:t>
            </w:r>
          </w:p>
        </w:tc>
        <w:tc>
          <w:tcPr>
            <w:tcW w:w="4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3780" w:type="dxa"/>
            <w:vAlign w:val="bottom"/>
          </w:tcPr>
          <w:p>
            <w:pPr>
              <w:spacing w:after="0"/>
              <w:rPr>
                <w:sz w:val="24"/>
                <w:szCs w:val="24"/>
                <w:color w:val="auto"/>
              </w:rPr>
            </w:pPr>
          </w:p>
        </w:tc>
        <w:tc>
          <w:tcPr>
            <w:tcW w:w="4960" w:type="dxa"/>
            <w:vAlign w:val="bottom"/>
          </w:tcPr>
          <w:p>
            <w:pPr>
              <w:jc w:val="right"/>
              <w:ind w:right="2930"/>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6.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180" w:type="dxa"/>
            <w:vAlign w:val="bottom"/>
            <w:gridSpan w:val="14"/>
            <w:vMerge w:val="restart"/>
          </w:tcPr>
          <w:p>
            <w:pPr>
              <w:ind w:left="2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20" w:type="dxa"/>
            <w:vAlign w:val="bottom"/>
          </w:tcPr>
          <w:p>
            <w:pPr>
              <w:jc w:val="right"/>
              <w:ind w:right="573"/>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3900" w:type="dxa"/>
            <w:vAlign w:val="bottom"/>
            <w:tcBorders>
              <w:bottom w:val="single" w:sz="8" w:color="0000EE"/>
            </w:tcBorders>
            <w:gridSpan w:val="8"/>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Fourth Amended Certificate of Incorporation of Beam</w:t>
              </w:r>
            </w:hyperlink>
          </w:p>
        </w:tc>
        <w:tc>
          <w:tcPr>
            <w:tcW w:w="5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20" w:type="dxa"/>
            <w:vAlign w:val="bottom"/>
            <w:gridSpan w:val="15"/>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Therapeutics Inc.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right"/>
              <w:ind w:right="573"/>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4420" w:type="dxa"/>
            <w:vAlign w:val="bottom"/>
            <w:gridSpan w:val="15"/>
          </w:tcPr>
          <w:p>
            <w:pPr>
              <w:spacing w:after="0"/>
              <w:rPr>
                <w:rFonts w:ascii="Arial" w:cs="Arial" w:eastAsia="Arial" w:hAnsi="Arial"/>
                <w:sz w:val="18"/>
                <w:szCs w:val="18"/>
                <w:u w:val="single" w:color="auto"/>
                <w:color w:val="0000EE"/>
                <w:w w:val="93"/>
              </w:rPr>
            </w:pPr>
            <w:hyperlink r:id="rId107">
              <w:r>
                <w:rPr>
                  <w:rFonts w:ascii="Arial" w:cs="Arial" w:eastAsia="Arial" w:hAnsi="Arial"/>
                  <w:sz w:val="18"/>
                  <w:szCs w:val="18"/>
                  <w:u w:val="single" w:color="auto"/>
                  <w:color w:val="0000EE"/>
                  <w:w w:val="93"/>
                </w:rPr>
                <w:t>Amended and Restated By-laws of Beam Therapeutics Inc.</w:t>
              </w:r>
            </w:hyperlink>
          </w:p>
        </w:tc>
        <w:tc>
          <w:tcPr>
            <w:tcW w:w="0" w:type="dxa"/>
            <w:vAlign w:val="bottom"/>
          </w:tcPr>
          <w:p>
            <w:pPr>
              <w:spacing w:after="0"/>
              <w:rPr>
                <w:sz w:val="1"/>
                <w:szCs w:val="1"/>
                <w:color w:val="auto"/>
              </w:rPr>
            </w:pPr>
          </w:p>
        </w:tc>
      </w:tr>
      <w:tr>
        <w:trPr>
          <w:trHeight w:val="297"/>
        </w:trPr>
        <w:tc>
          <w:tcPr>
            <w:tcW w:w="1020" w:type="dxa"/>
            <w:vAlign w:val="bottom"/>
          </w:tcPr>
          <w:p>
            <w:pPr>
              <w:jc w:val="right"/>
              <w:ind w:right="573"/>
              <w:spacing w:after="0"/>
              <w:rPr>
                <w:sz w:val="20"/>
                <w:szCs w:val="20"/>
                <w:color w:val="auto"/>
              </w:rPr>
            </w:pPr>
            <w:r>
              <w:rPr>
                <w:rFonts w:ascii="Arial" w:cs="Arial" w:eastAsia="Arial" w:hAnsi="Arial"/>
                <w:sz w:val="18"/>
                <w:szCs w:val="18"/>
                <w:color w:val="auto"/>
                <w:w w:val="96"/>
              </w:rPr>
              <w:t>31.1</w:t>
            </w:r>
          </w:p>
        </w:tc>
        <w:tc>
          <w:tcPr>
            <w:tcW w:w="360" w:type="dxa"/>
            <w:vAlign w:val="bottom"/>
          </w:tcPr>
          <w:p>
            <w:pPr>
              <w:spacing w:after="0"/>
              <w:rPr>
                <w:sz w:val="24"/>
                <w:szCs w:val="24"/>
                <w:color w:val="auto"/>
              </w:rPr>
            </w:pPr>
          </w:p>
        </w:tc>
        <w:tc>
          <w:tcPr>
            <w:tcW w:w="39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Certification of Principal Executive Officer Pursuant to</w:t>
              </w:r>
            </w:hyperlink>
          </w:p>
        </w:tc>
        <w:tc>
          <w:tcPr>
            <w:tcW w:w="4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Rules 13a-14(a) and 15d-14(a) under the Securities</w:t>
              </w:r>
            </w:hyperlink>
          </w:p>
        </w:tc>
        <w:tc>
          <w:tcPr>
            <w:tcW w:w="7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20" w:type="dxa"/>
            <w:vAlign w:val="bottom"/>
            <w:gridSpan w:val="15"/>
          </w:tcPr>
          <w:p>
            <w:pPr>
              <w:spacing w:after="0" w:line="196" w:lineRule="exact"/>
              <w:rPr>
                <w:rFonts w:ascii="Arial" w:cs="Arial" w:eastAsia="Arial" w:hAnsi="Arial"/>
                <w:sz w:val="18"/>
                <w:szCs w:val="18"/>
                <w:color w:val="0000EE"/>
                <w:w w:val="92"/>
              </w:rPr>
            </w:pPr>
            <w:hyperlink w:anchor="page81">
              <w:r>
                <w:rPr>
                  <w:rFonts w:ascii="Arial" w:cs="Arial" w:eastAsia="Arial" w:hAnsi="Arial"/>
                  <w:sz w:val="18"/>
                  <w:szCs w:val="18"/>
                  <w:color w:val="0000EE"/>
                  <w:w w:val="92"/>
                </w:rPr>
                <w:t>Exchange Act of 1934, as Adopted Pursuant to Section 302</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of the Sarbanes-Oxley Act of 2002.</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573"/>
              <w:spacing w:after="0"/>
              <w:rPr>
                <w:sz w:val="20"/>
                <w:szCs w:val="20"/>
                <w:color w:val="auto"/>
              </w:rPr>
            </w:pPr>
            <w:r>
              <w:rPr>
                <w:rFonts w:ascii="Arial" w:cs="Arial" w:eastAsia="Arial" w:hAnsi="Arial"/>
                <w:sz w:val="18"/>
                <w:szCs w:val="18"/>
                <w:color w:val="auto"/>
                <w:w w:val="96"/>
              </w:rPr>
              <w:t>31.2</w:t>
            </w:r>
          </w:p>
        </w:tc>
        <w:tc>
          <w:tcPr>
            <w:tcW w:w="360" w:type="dxa"/>
            <w:vAlign w:val="bottom"/>
          </w:tcPr>
          <w:p>
            <w:pPr>
              <w:spacing w:after="0"/>
              <w:rPr>
                <w:sz w:val="24"/>
                <w:szCs w:val="24"/>
                <w:color w:val="auto"/>
              </w:rPr>
            </w:pPr>
          </w:p>
        </w:tc>
        <w:tc>
          <w:tcPr>
            <w:tcW w:w="4420" w:type="dxa"/>
            <w:vAlign w:val="bottom"/>
            <w:gridSpan w:val="15"/>
          </w:tcPr>
          <w:p>
            <w:pPr>
              <w:spacing w:after="0"/>
              <w:rPr>
                <w:rFonts w:ascii="Arial" w:cs="Arial" w:eastAsia="Arial" w:hAnsi="Arial"/>
                <w:sz w:val="18"/>
                <w:szCs w:val="18"/>
                <w:color w:val="0000EE"/>
                <w:w w:val="93"/>
              </w:rPr>
            </w:pPr>
            <w:hyperlink w:anchor="page82">
              <w:r>
                <w:rPr>
                  <w:rFonts w:ascii="Arial" w:cs="Arial" w:eastAsia="Arial" w:hAnsi="Arial"/>
                  <w:sz w:val="18"/>
                  <w:szCs w:val="18"/>
                  <w:color w:val="0000EE"/>
                  <w:w w:val="93"/>
                </w:rPr>
                <w:t>Certification of Principal Financial Officer Pursuant to Rules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80" w:type="dxa"/>
            <w:vAlign w:val="bottom"/>
            <w:tcBorders>
              <w:top w:val="single" w:sz="8" w:color="0000EE"/>
            </w:tcBorders>
            <w:gridSpan w:val="14"/>
          </w:tcPr>
          <w:p>
            <w:pPr>
              <w:spacing w:after="0" w:line="196" w:lineRule="exact"/>
              <w:rPr>
                <w:rFonts w:ascii="Arial" w:cs="Arial" w:eastAsia="Arial" w:hAnsi="Arial"/>
                <w:sz w:val="18"/>
                <w:szCs w:val="18"/>
                <w:color w:val="0000EE"/>
                <w:w w:val="91"/>
              </w:rPr>
            </w:pPr>
            <w:hyperlink w:anchor="page82">
              <w:r>
                <w:rPr>
                  <w:rFonts w:ascii="Arial" w:cs="Arial" w:eastAsia="Arial" w:hAnsi="Arial"/>
                  <w:sz w:val="18"/>
                  <w:szCs w:val="18"/>
                  <w:color w:val="0000EE"/>
                  <w:w w:val="91"/>
                </w:rPr>
                <w:t>13a-14(a) and 15d-14(a) under the Securities Exchange Act</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of 1934, as Adopted Pursuant to Section 302 of the</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Sarbanes-Oxley Act of 2002.</w:t>
              </w:r>
            </w:hyperlink>
          </w:p>
        </w:tc>
        <w:tc>
          <w:tcPr>
            <w:tcW w:w="1560" w:type="dxa"/>
            <w:vAlign w:val="bottom"/>
            <w:tcBorders>
              <w:top w:val="single" w:sz="8" w:color="0000EE"/>
            </w:tcBorders>
            <w:gridSpan w:val="4"/>
          </w:tcPr>
          <w:p>
            <w:pPr>
              <w:spacing w:after="0"/>
              <w:rPr>
                <w:sz w:val="17"/>
                <w:szCs w:val="17"/>
                <w:color w:val="auto"/>
              </w:rPr>
            </w:pPr>
          </w:p>
        </w:tc>
        <w:tc>
          <w:tcPr>
            <w:tcW w:w="7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573"/>
              <w:spacing w:after="0"/>
              <w:rPr>
                <w:sz w:val="20"/>
                <w:szCs w:val="20"/>
                <w:color w:val="auto"/>
              </w:rPr>
            </w:pPr>
            <w:r>
              <w:rPr>
                <w:rFonts w:ascii="Arial" w:cs="Arial" w:eastAsia="Arial" w:hAnsi="Arial"/>
                <w:sz w:val="18"/>
                <w:szCs w:val="18"/>
                <w:color w:val="auto"/>
                <w:w w:val="96"/>
              </w:rPr>
              <w:t>32.1</w:t>
            </w:r>
          </w:p>
        </w:tc>
        <w:tc>
          <w:tcPr>
            <w:tcW w:w="360" w:type="dxa"/>
            <w:vAlign w:val="bottom"/>
          </w:tcPr>
          <w:p>
            <w:pPr>
              <w:spacing w:after="0"/>
              <w:rPr>
                <w:sz w:val="24"/>
                <w:szCs w:val="24"/>
                <w:color w:val="auto"/>
              </w:rPr>
            </w:pPr>
          </w:p>
        </w:tc>
        <w:tc>
          <w:tcPr>
            <w:tcW w:w="4420" w:type="dxa"/>
            <w:vAlign w:val="bottom"/>
            <w:gridSpan w:val="15"/>
          </w:tcPr>
          <w:p>
            <w:pPr>
              <w:spacing w:after="0"/>
              <w:rPr>
                <w:rFonts w:ascii="Arial" w:cs="Arial" w:eastAsia="Arial" w:hAnsi="Arial"/>
                <w:sz w:val="18"/>
                <w:szCs w:val="18"/>
                <w:color w:val="0000EE"/>
                <w:w w:val="97"/>
              </w:rPr>
            </w:pPr>
            <w:hyperlink w:anchor="page83">
              <w:r>
                <w:rPr>
                  <w:rFonts w:ascii="Arial" w:cs="Arial" w:eastAsia="Arial" w:hAnsi="Arial"/>
                  <w:sz w:val="18"/>
                  <w:szCs w:val="18"/>
                  <w:color w:val="0000EE"/>
                  <w:w w:val="97"/>
                </w:rPr>
                <w:t>Certification of Principal Executive Officer Pursuant to 18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20" w:type="dxa"/>
            <w:vAlign w:val="bottom"/>
            <w:tcBorders>
              <w:right w:val="single" w:sz="8" w:color="0000EE"/>
            </w:tcBorders>
            <w:gridSpan w:val="6"/>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20" w:type="dxa"/>
            <w:vAlign w:val="bottom"/>
            <w:gridSpan w:val="15"/>
          </w:tcPr>
          <w:p>
            <w:pPr>
              <w:spacing w:after="0" w:line="196" w:lineRule="exact"/>
              <w:rPr>
                <w:rFonts w:ascii="Arial" w:cs="Arial" w:eastAsia="Arial" w:hAnsi="Arial"/>
                <w:sz w:val="18"/>
                <w:szCs w:val="18"/>
                <w:color w:val="0000EE"/>
                <w:w w:val="91"/>
              </w:rPr>
            </w:pPr>
            <w:hyperlink w:anchor="page83">
              <w:r>
                <w:rPr>
                  <w:rFonts w:ascii="Arial" w:cs="Arial" w:eastAsia="Arial" w:hAnsi="Arial"/>
                  <w:sz w:val="18"/>
                  <w:szCs w:val="18"/>
                  <w:color w:val="0000EE"/>
                  <w:w w:val="91"/>
                </w:rPr>
                <w:t>U.S.C. Section 1350, as Adopted Pursuant to Section 906 of</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the Sarbanes-Oxley Act of 2002.</w:t>
              </w:r>
            </w:hyperlink>
          </w:p>
        </w:tc>
        <w:tc>
          <w:tcPr>
            <w:tcW w:w="1940" w:type="dxa"/>
            <w:vAlign w:val="bottom"/>
            <w:tcBorders>
              <w:top w:val="single" w:sz="8" w:color="0000EE"/>
            </w:tcBorders>
            <w:gridSpan w:val="9"/>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573"/>
              <w:spacing w:after="0"/>
              <w:rPr>
                <w:sz w:val="20"/>
                <w:szCs w:val="20"/>
                <w:color w:val="auto"/>
              </w:rPr>
            </w:pPr>
            <w:r>
              <w:rPr>
                <w:rFonts w:ascii="Arial" w:cs="Arial" w:eastAsia="Arial" w:hAnsi="Arial"/>
                <w:sz w:val="18"/>
                <w:szCs w:val="18"/>
                <w:color w:val="auto"/>
                <w:w w:val="96"/>
              </w:rPr>
              <w:t>32.2</w:t>
            </w:r>
          </w:p>
        </w:tc>
        <w:tc>
          <w:tcPr>
            <w:tcW w:w="360" w:type="dxa"/>
            <w:vAlign w:val="bottom"/>
          </w:tcPr>
          <w:p>
            <w:pPr>
              <w:spacing w:after="0"/>
              <w:rPr>
                <w:sz w:val="24"/>
                <w:szCs w:val="24"/>
                <w:color w:val="auto"/>
              </w:rPr>
            </w:pPr>
          </w:p>
        </w:tc>
        <w:tc>
          <w:tcPr>
            <w:tcW w:w="420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84">
              <w:r>
                <w:rPr>
                  <w:rFonts w:ascii="Arial" w:cs="Arial" w:eastAsia="Arial" w:hAnsi="Arial"/>
                  <w:sz w:val="18"/>
                  <w:szCs w:val="18"/>
                  <w:color w:val="0000EE"/>
                  <w:w w:val="93"/>
                </w:rPr>
                <w:t>Certification of Principal Financial Officer Pursuant to 18</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20" w:type="dxa"/>
            <w:vAlign w:val="bottom"/>
            <w:gridSpan w:val="15"/>
          </w:tcPr>
          <w:p>
            <w:pPr>
              <w:spacing w:after="0" w:line="196" w:lineRule="exact"/>
              <w:rPr>
                <w:rFonts w:ascii="Arial" w:cs="Arial" w:eastAsia="Arial" w:hAnsi="Arial"/>
                <w:sz w:val="18"/>
                <w:szCs w:val="18"/>
                <w:color w:val="0000EE"/>
                <w:w w:val="91"/>
              </w:rPr>
            </w:pPr>
            <w:hyperlink w:anchor="page84">
              <w:r>
                <w:rPr>
                  <w:rFonts w:ascii="Arial" w:cs="Arial" w:eastAsia="Arial" w:hAnsi="Arial"/>
                  <w:sz w:val="18"/>
                  <w:szCs w:val="18"/>
                  <w:color w:val="0000EE"/>
                  <w:w w:val="91"/>
                </w:rPr>
                <w:t>U.S.C. Section 1350, as Adopted Pursuant to Section 906 of</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the Sarbanes-Oxley Act of 2002.</w:t>
              </w:r>
            </w:hyperlink>
          </w:p>
        </w:tc>
        <w:tc>
          <w:tcPr>
            <w:tcW w:w="1960" w:type="dxa"/>
            <w:vAlign w:val="bottom"/>
            <w:tcBorders>
              <w:top w:val="single" w:sz="8" w:color="0000EE"/>
            </w:tcBorders>
            <w:gridSpan w:val="10"/>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360" w:type="dxa"/>
            <w:vAlign w:val="bottom"/>
          </w:tcPr>
          <w:p>
            <w:pPr>
              <w:spacing w:after="0"/>
              <w:rPr>
                <w:sz w:val="24"/>
                <w:szCs w:val="24"/>
                <w:color w:val="auto"/>
              </w:rPr>
            </w:pPr>
          </w:p>
        </w:tc>
        <w:tc>
          <w:tcPr>
            <w:tcW w:w="4420" w:type="dxa"/>
            <w:vAlign w:val="bottom"/>
            <w:gridSpan w:val="15"/>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7"/>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360" w:type="dxa"/>
            <w:vAlign w:val="bottom"/>
          </w:tcPr>
          <w:p>
            <w:pPr>
              <w:spacing w:after="0"/>
              <w:rPr>
                <w:sz w:val="24"/>
                <w:szCs w:val="24"/>
                <w:color w:val="auto"/>
              </w:rPr>
            </w:pPr>
          </w:p>
        </w:tc>
        <w:tc>
          <w:tcPr>
            <w:tcW w:w="442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24"/>
                <w:szCs w:val="24"/>
                <w:color w:val="auto"/>
              </w:rPr>
            </w:pPr>
          </w:p>
        </w:tc>
        <w:tc>
          <w:tcPr>
            <w:tcW w:w="4420" w:type="dxa"/>
            <w:vAlign w:val="bottom"/>
            <w:gridSpan w:val="15"/>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24"/>
                <w:szCs w:val="24"/>
                <w:color w:val="auto"/>
              </w:rPr>
            </w:pPr>
          </w:p>
        </w:tc>
        <w:tc>
          <w:tcPr>
            <w:tcW w:w="4420" w:type="dxa"/>
            <w:vAlign w:val="bottom"/>
            <w:gridSpan w:val="15"/>
          </w:tcPr>
          <w:p>
            <w:pPr>
              <w:spacing w:after="0"/>
              <w:rPr>
                <w:sz w:val="20"/>
                <w:szCs w:val="20"/>
                <w:color w:val="auto"/>
              </w:rPr>
            </w:pPr>
            <w:r>
              <w:rPr>
                <w:rFonts w:ascii="Arial" w:cs="Arial" w:eastAsia="Arial" w:hAnsi="Arial"/>
                <w:sz w:val="18"/>
                <w:szCs w:val="18"/>
                <w:color w:val="auto"/>
                <w:w w:val="94"/>
              </w:rPr>
              <w:t>XBRL Taxonomy Extension Definition Linkbase Document</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24"/>
                <w:szCs w:val="24"/>
                <w:color w:val="auto"/>
              </w:rPr>
            </w:pPr>
          </w:p>
        </w:tc>
        <w:tc>
          <w:tcPr>
            <w:tcW w:w="4420" w:type="dxa"/>
            <w:vAlign w:val="bottom"/>
            <w:gridSpan w:val="15"/>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360" w:type="dxa"/>
            <w:vAlign w:val="bottom"/>
          </w:tcPr>
          <w:p>
            <w:pPr>
              <w:spacing w:after="0"/>
              <w:rPr>
                <w:sz w:val="24"/>
                <w:szCs w:val="24"/>
                <w:color w:val="auto"/>
              </w:rPr>
            </w:pPr>
          </w:p>
        </w:tc>
        <w:tc>
          <w:tcPr>
            <w:tcW w:w="4420" w:type="dxa"/>
            <w:vAlign w:val="bottom"/>
            <w:gridSpan w:val="15"/>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553"/>
        </w:trPr>
        <w:tc>
          <w:tcPr>
            <w:tcW w:w="1020" w:type="dxa"/>
            <w:vAlign w:val="bottom"/>
          </w:tcPr>
          <w:p>
            <w:pPr>
              <w:spacing w:after="0"/>
              <w:rPr>
                <w:sz w:val="24"/>
                <w:szCs w:val="24"/>
                <w:color w:val="auto"/>
              </w:rPr>
            </w:pPr>
          </w:p>
        </w:tc>
        <w:tc>
          <w:tcPr>
            <w:tcW w:w="4740" w:type="dxa"/>
            <w:vAlign w:val="bottom"/>
            <w:gridSpan w:val="15"/>
          </w:tcPr>
          <w:p>
            <w:pPr>
              <w:jc w:val="right"/>
              <w:ind w:right="4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If Incorporated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40" w:type="dxa"/>
            <w:vAlign w:val="bottom"/>
            <w:tcBorders>
              <w:top w:val="single" w:sz="8" w:color="auto"/>
            </w:tcBorders>
            <w:vMerge w:val="restart"/>
          </w:tcPr>
          <w:p>
            <w:pPr>
              <w:spacing w:after="0"/>
              <w:rPr>
                <w:sz w:val="10"/>
                <w:szCs w:val="10"/>
                <w:color w:val="auto"/>
              </w:rPr>
            </w:pPr>
          </w:p>
        </w:tc>
        <w:tc>
          <w:tcPr>
            <w:tcW w:w="128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7"/>
              </w:rPr>
              <w:t>File</w:t>
            </w:r>
          </w:p>
        </w:tc>
        <w:tc>
          <w:tcPr>
            <w:tcW w:w="1380" w:type="dxa"/>
            <w:vAlign w:val="bottom"/>
            <w:tcBorders>
              <w:top w:val="single" w:sz="8" w:color="auto"/>
            </w:tcBorders>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Date of</w:t>
            </w: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331"/>
        </w:trPr>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001-39208</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02/11/2020</w:t>
            </w: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0" w:type="dxa"/>
            <w:vAlign w:val="bottom"/>
          </w:tcPr>
          <w:p>
            <w:pPr>
              <w:spacing w:after="0"/>
              <w:rPr>
                <w:sz w:val="1"/>
                <w:szCs w:val="1"/>
                <w:color w:val="auto"/>
              </w:rPr>
            </w:pPr>
          </w:p>
        </w:tc>
      </w:tr>
      <w:tr>
        <w:trPr>
          <w:trHeight w:val="553"/>
        </w:trPr>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001-39208</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02/11/2020</w:t>
            </w:r>
          </w:p>
        </w:tc>
        <w:tc>
          <w:tcPr>
            <w:tcW w:w="1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12065</wp:posOffset>
            </wp:positionV>
            <wp:extent cx="5657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ectPr>
          <w:pgSz w:w="11900" w:h="16838" w:orient="portrait"/>
          <w:cols w:equalWidth="0" w:num="3">
            <w:col w:w="5800" w:space="140"/>
            <w:col w:w="4280" w:space="280"/>
            <w:col w:w="580"/>
          </w:cols>
          <w:pgMar w:left="320" w:top="553" w:right="49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760" w:type="dxa"/>
            <w:vAlign w:val="bottom"/>
            <w:gridSpan w:val="2"/>
          </w:tcPr>
          <w:p>
            <w:pPr>
              <w:ind w:left="2040"/>
              <w:spacing w:after="0"/>
              <w:rPr>
                <w:sz w:val="20"/>
                <w:szCs w:val="20"/>
                <w:color w:val="auto"/>
              </w:rPr>
            </w:pPr>
            <w:r>
              <w:rPr>
                <w:rFonts w:ascii="Arial" w:cs="Arial" w:eastAsia="Arial" w:hAnsi="Arial"/>
                <w:sz w:val="18"/>
                <w:szCs w:val="18"/>
                <w:color w:val="auto"/>
              </w:rPr>
              <w:t>BEAM THERAPEUTICS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May 12, 2020</w:t>
            </w:r>
          </w:p>
        </w:tc>
        <w:tc>
          <w:tcPr>
            <w:tcW w:w="2380" w:type="dxa"/>
            <w:vAlign w:val="bottom"/>
          </w:tcPr>
          <w:p>
            <w:pPr>
              <w:ind w:left="204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John Evans</w:t>
            </w:r>
          </w:p>
        </w:tc>
      </w:tr>
      <w:tr>
        <w:trPr>
          <w:trHeight w:val="191"/>
        </w:trPr>
        <w:tc>
          <w:tcPr>
            <w:tcW w:w="34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John Evans</w:t>
            </w:r>
          </w:p>
        </w:tc>
      </w:tr>
      <w:tr>
        <w:trPr>
          <w:trHeight w:val="220"/>
        </w:trPr>
        <w:tc>
          <w:tcPr>
            <w:tcW w:w="34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w:t>
            </w:r>
          </w:p>
        </w:tc>
      </w:tr>
      <w:tr>
        <w:trPr>
          <w:trHeight w:val="230"/>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r>
        <w:trPr>
          <w:trHeight w:val="459"/>
        </w:trPr>
        <w:tc>
          <w:tcPr>
            <w:tcW w:w="3480" w:type="dxa"/>
            <w:vAlign w:val="bottom"/>
          </w:tcPr>
          <w:p>
            <w:pPr>
              <w:spacing w:after="0"/>
              <w:rPr>
                <w:sz w:val="20"/>
                <w:szCs w:val="20"/>
                <w:color w:val="auto"/>
              </w:rPr>
            </w:pPr>
            <w:r>
              <w:rPr>
                <w:rFonts w:ascii="Arial" w:cs="Arial" w:eastAsia="Arial" w:hAnsi="Arial"/>
                <w:sz w:val="18"/>
                <w:szCs w:val="18"/>
                <w:color w:val="auto"/>
              </w:rPr>
              <w:t>Date: May 12, 2020</w:t>
            </w:r>
          </w:p>
        </w:tc>
        <w:tc>
          <w:tcPr>
            <w:tcW w:w="2380" w:type="dxa"/>
            <w:vAlign w:val="bottom"/>
          </w:tcPr>
          <w:p>
            <w:pPr>
              <w:ind w:left="204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Terry-Ann Burrell</w:t>
            </w:r>
          </w:p>
        </w:tc>
      </w:tr>
      <w:tr>
        <w:trPr>
          <w:trHeight w:val="211"/>
        </w:trPr>
        <w:tc>
          <w:tcPr>
            <w:tcW w:w="3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5"/>
              </w:rPr>
              <w:t>Terry-Ann Burrell</w:t>
            </w:r>
          </w:p>
        </w:tc>
      </w:tr>
    </w:tbl>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7"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financial and accounting officer)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553"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Evans, certify that:</w:t>
      </w:r>
    </w:p>
    <w:p>
      <w:pPr>
        <w:spacing w:after="0" w:line="117"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Beam Therapeutics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77"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40" w:right="80" w:hanging="498"/>
        <w:spacing w:after="0" w:line="263" w:lineRule="auto"/>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40" w:hanging="498"/>
        <w:spacing w:after="0"/>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[Omitted];</w:t>
      </w:r>
    </w:p>
    <w:p>
      <w:pPr>
        <w:spacing w:after="0" w:line="117" w:lineRule="exact"/>
        <w:rPr>
          <w:rFonts w:ascii="Arial" w:cs="Arial" w:eastAsia="Arial" w:hAnsi="Arial"/>
          <w:sz w:val="18"/>
          <w:szCs w:val="18"/>
          <w:color w:val="auto"/>
        </w:rPr>
      </w:pPr>
    </w:p>
    <w:p>
      <w:pPr>
        <w:jc w:val="both"/>
        <w:ind w:left="1140" w:right="380" w:hanging="498"/>
        <w:spacing w:after="0" w:line="342" w:lineRule="auto"/>
        <w:tabs>
          <w:tab w:leader="none" w:pos="11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80" w:hanging="498"/>
        <w:spacing w:after="0" w:line="263" w:lineRule="auto"/>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40" w:right="620" w:hanging="498"/>
        <w:spacing w:after="0" w:line="342" w:lineRule="auto"/>
        <w:tabs>
          <w:tab w:leader="none" w:pos="11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00" w:hanging="498"/>
        <w:spacing w:after="0" w:line="277" w:lineRule="auto"/>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5520" w:val="left"/>
          <w:tab w:leader="none" w:pos="6000" w:val="left"/>
        </w:tabs>
        <w:rPr>
          <w:sz w:val="20"/>
          <w:szCs w:val="20"/>
          <w:color w:val="auto"/>
        </w:rPr>
      </w:pPr>
      <w:r>
        <w:rPr>
          <w:rFonts w:ascii="Arial" w:cs="Arial" w:eastAsia="Arial" w:hAnsi="Arial"/>
          <w:sz w:val="18"/>
          <w:szCs w:val="18"/>
          <w:color w:val="auto"/>
        </w:rPr>
        <w:t>Date: May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John Evans</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Terry-Ann Burrell, certify that:</w:t>
      </w:r>
    </w:p>
    <w:p>
      <w:pPr>
        <w:spacing w:after="0" w:line="117"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Beam Therapeutics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77"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40" w:right="80" w:hanging="498"/>
        <w:spacing w:after="0" w:line="263" w:lineRule="auto"/>
        <w:tabs>
          <w:tab w:leader="none" w:pos="11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40" w:hanging="498"/>
        <w:spacing w:after="0"/>
        <w:tabs>
          <w:tab w:leader="none" w:pos="11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[Omitted];</w:t>
      </w:r>
    </w:p>
    <w:p>
      <w:pPr>
        <w:spacing w:after="0" w:line="117" w:lineRule="exact"/>
        <w:rPr>
          <w:rFonts w:ascii="Arial" w:cs="Arial" w:eastAsia="Arial" w:hAnsi="Arial"/>
          <w:sz w:val="18"/>
          <w:szCs w:val="18"/>
          <w:color w:val="auto"/>
        </w:rPr>
      </w:pPr>
    </w:p>
    <w:p>
      <w:pPr>
        <w:jc w:val="both"/>
        <w:ind w:left="1140" w:right="380" w:hanging="498"/>
        <w:spacing w:after="0" w:line="342" w:lineRule="auto"/>
        <w:tabs>
          <w:tab w:leader="none" w:pos="11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80" w:hanging="498"/>
        <w:spacing w:after="0" w:line="263" w:lineRule="auto"/>
        <w:tabs>
          <w:tab w:leader="none" w:pos="11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40" w:right="620" w:hanging="498"/>
        <w:spacing w:after="0" w:line="342" w:lineRule="auto"/>
        <w:tabs>
          <w:tab w:leader="none" w:pos="11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00" w:hanging="498"/>
        <w:spacing w:after="0" w:line="277" w:lineRule="auto"/>
        <w:tabs>
          <w:tab w:leader="none" w:pos="11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Date: May 12, 2020</w:t>
      </w:r>
      <w:r>
        <w:rPr>
          <w:sz w:val="20"/>
          <w:szCs w:val="20"/>
          <w:color w:val="auto"/>
        </w:rPr>
        <w:tab/>
      </w:r>
      <w:r>
        <w:rPr>
          <w:rFonts w:ascii="Arial" w:cs="Arial" w:eastAsia="Arial" w:hAnsi="Arial"/>
          <w:sz w:val="17"/>
          <w:szCs w:val="17"/>
          <w:color w:val="auto"/>
        </w:rPr>
        <w:t>By:  /s/ Terry-Ann Burrell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Terry-Ann Burrell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connection with this Quarterly Report of Beam Therapeutics Inc. (the “Company”) on Form 10-Q for the period ending March 31, 2020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tabs>
          <w:tab w:leader="none" w:pos="5560" w:val="left"/>
          <w:tab w:leader="none" w:pos="6000" w:val="left"/>
        </w:tabs>
        <w:rPr>
          <w:sz w:val="20"/>
          <w:szCs w:val="20"/>
          <w:color w:val="auto"/>
        </w:rPr>
      </w:pPr>
      <w:r>
        <w:rPr>
          <w:rFonts w:ascii="Arial" w:cs="Arial" w:eastAsia="Arial" w:hAnsi="Arial"/>
          <w:sz w:val="18"/>
          <w:szCs w:val="18"/>
          <w:color w:val="auto"/>
        </w:rPr>
        <w:t>Date: May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172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John Evans</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5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connection with this Quarterly Report of Beam Therapeutics Inc. (the “Company”) on Form 10-Q for the period ending March 31, 2020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tabs>
          <w:tab w:leader="none" w:pos="5560" w:val="left"/>
          <w:tab w:leader="none" w:pos="6000" w:val="left"/>
        </w:tabs>
        <w:rPr>
          <w:sz w:val="20"/>
          <w:szCs w:val="20"/>
          <w:color w:val="auto"/>
        </w:rPr>
      </w:pPr>
      <w:r>
        <w:rPr>
          <w:rFonts w:ascii="Arial" w:cs="Arial" w:eastAsia="Arial" w:hAnsi="Arial"/>
          <w:sz w:val="18"/>
          <w:szCs w:val="18"/>
          <w:color w:val="auto"/>
        </w:rPr>
        <w:t>Date: May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Terry-Ann Burrell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172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Terry-Ann Burrell</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1)"/>
      <w:numFmt w:val="lowerRoman"/>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06" Type="http://schemas.openxmlformats.org/officeDocument/2006/relationships/hyperlink" Target="http://www.sec.gov/Archives/edgar/data/0001745999/000119312520019902/d221975dex32.htm" TargetMode="External"/><Relationship Id="rId107" Type="http://schemas.openxmlformats.org/officeDocument/2006/relationships/hyperlink" Target="http://www.sec.gov/Archives/edgar/data/1745999/000119312519257401/d734398de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2020-05-12T15:17:40Z</dcterms:created>
  <dcterms:modified xsi:type="dcterms:W3CDTF">2020-05-12T15:17:40Z</dcterms:modified>
</cp:coreProperties>
</file>