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853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8536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John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80"/>
        <w:spacing w:after="0" w:line="324" w:lineRule="auto"/>
        <w:rPr>
          <w:sz w:val="20"/>
          <w:szCs w:val="20"/>
          <w:color w:val="auto"/>
        </w:rPr>
      </w:pPr>
      <w:r>
        <w:rPr>
          <w:rFonts w:ascii="Times New Roman" w:cs="Times New Roman" w:eastAsia="Times New Roman" w:hAnsi="Times New Roman"/>
          <w:sz w:val="17"/>
          <w:szCs w:val="17"/>
          <w:color w:val="0000FF"/>
        </w:rPr>
        <w:t>C/O BEAM THERAPEUTICS INC., 238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Beam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BEAM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color w:val="0000FF"/>
        </w:rPr>
        <w:t>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0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06/29/2026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18,663</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0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0.67</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1,065,868</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06/29/2026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6,337</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0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1,072,205</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06/29/2026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13,421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35.1336</w:t>
            </w:r>
            <w:r>
              <w:rPr>
                <w:rFonts w:ascii="Times New Roman" w:cs="Times New Roman" w:eastAsia="Times New Roman" w:hAnsi="Times New Roman"/>
                <w:sz w:val="21"/>
                <w:szCs w:val="21"/>
                <w:color w:val="008000"/>
                <w:w w:val="93"/>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1,058,784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06/29/2026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11,579</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35.9119</w:t>
            </w:r>
            <w:r>
              <w:rPr>
                <w:rFonts w:ascii="Times New Roman" w:cs="Times New Roman" w:eastAsia="Times New Roman" w:hAnsi="Times New Roman"/>
                <w:sz w:val="21"/>
                <w:szCs w:val="21"/>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1,047,205</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0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1,072,205</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23,100</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34.2633</w:t>
            </w:r>
            <w:r>
              <w:rPr>
                <w:rFonts w:ascii="Times New Roman" w:cs="Times New Roman" w:eastAsia="Times New Roman" w:hAnsi="Times New Roman"/>
                <w:sz w:val="21"/>
                <w:szCs w:val="21"/>
                <w:color w:val="008000"/>
                <w:w w:val="93"/>
                <w:vertAlign w:val="superscript"/>
              </w:rPr>
              <w:t>(4)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1,049,105</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7"/>
                <w:szCs w:val="17"/>
                <w:color w:val="0000FF"/>
                <w:w w:val="98"/>
              </w:rPr>
              <w:t>06/30/2026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1,900</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34.8437</w:t>
            </w:r>
            <w:r>
              <w:rPr>
                <w:rFonts w:ascii="Times New Roman" w:cs="Times New Roman" w:eastAsia="Times New Roman" w:hAnsi="Times New Roman"/>
                <w:sz w:val="21"/>
                <w:szCs w:val="21"/>
                <w:color w:val="008000"/>
                <w:w w:val="93"/>
                <w:vertAlign w:val="superscript"/>
              </w:rPr>
              <w:t>(5)</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1,047,205</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 Evans,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103,000</w:t>
            </w:r>
          </w:p>
        </w:tc>
        <w:tc>
          <w:tcPr>
            <w:tcW w:w="340" w:type="dxa"/>
            <w:vAlign w:val="bottom"/>
          </w:tcPr>
          <w:p>
            <w:pPr>
              <w:spacing w:after="0"/>
              <w:rPr>
                <w:sz w:val="17"/>
                <w:szCs w:val="17"/>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III 2018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6"/>
                <w:szCs w:val="16"/>
                <w:color w:val="auto"/>
              </w:rPr>
            </w:pPr>
          </w:p>
        </w:tc>
        <w:tc>
          <w:tcPr>
            <w:tcW w:w="3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rPr>
              <w:t>18,663</w:t>
            </w:r>
          </w:p>
        </w:tc>
        <w:tc>
          <w:tcPr>
            <w:tcW w:w="300" w:type="dxa"/>
            <w:vAlign w:val="bottom"/>
          </w:tcPr>
          <w:p>
            <w:pPr>
              <w:spacing w:after="0"/>
              <w:rPr>
                <w:sz w:val="20"/>
                <w:szCs w:val="20"/>
                <w:color w:val="auto"/>
              </w:rPr>
            </w:pPr>
            <w:r>
              <w:rPr>
                <w:rFonts w:ascii="Times New Roman" w:cs="Times New Roman" w:eastAsia="Times New Roman" w:hAnsi="Times New Roman"/>
                <w:sz w:val="11"/>
                <w:szCs w:val="11"/>
                <w:color w:val="008000"/>
              </w:rPr>
              <w:t>(6)</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7"/>
              </w:rPr>
              <w:t>05/08/2028</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18,663</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w w:val="91"/>
              </w:rPr>
              <w:t>9</w:t>
            </w:r>
          </w:p>
        </w:tc>
        <w:tc>
          <w:tcPr>
            <w:tcW w:w="340" w:type="dxa"/>
            <w:vAlign w:val="bottom"/>
          </w:tcPr>
          <w:p>
            <w:pPr>
              <w:spacing w:after="0"/>
              <w:rPr>
                <w:sz w:val="16"/>
                <w:szCs w:val="16"/>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gridSpan w:val="2"/>
          </w:tcPr>
          <w:p>
            <w:pPr>
              <w:ind w:left="2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2"/>
                <w:szCs w:val="12"/>
                <w:color w:val="auto"/>
              </w:rPr>
            </w:pPr>
          </w:p>
        </w:tc>
        <w:tc>
          <w:tcPr>
            <w:tcW w:w="3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00" w:type="dxa"/>
            <w:vAlign w:val="bottom"/>
            <w:gridSpan w:val="2"/>
            <w:vMerge w:val="restart"/>
          </w:tcPr>
          <w:p>
            <w:pPr>
              <w:jc w:val="center"/>
              <w:ind w:left="340"/>
              <w:spacing w:after="0"/>
              <w:rPr>
                <w:sz w:val="20"/>
                <w:szCs w:val="20"/>
                <w:color w:val="auto"/>
              </w:rPr>
            </w:pPr>
            <w:r>
              <w:rPr>
                <w:rFonts w:ascii="Times New Roman" w:cs="Times New Roman" w:eastAsia="Times New Roman" w:hAnsi="Times New Roman"/>
                <w:sz w:val="13"/>
                <w:szCs w:val="13"/>
                <w:color w:val="0000FF"/>
              </w:rPr>
              <w:t>6,337</w:t>
            </w:r>
          </w:p>
        </w:tc>
        <w:tc>
          <w:tcPr>
            <w:tcW w:w="42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(7)</w:t>
            </w: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7"/>
              </w:rPr>
              <w:t>07/13/2028</w:t>
            </w:r>
          </w:p>
        </w:tc>
        <w:tc>
          <w:tcPr>
            <w:tcW w:w="6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6,337</w:t>
            </w:r>
          </w:p>
        </w:tc>
        <w:tc>
          <w:tcPr>
            <w:tcW w:w="40" w:type="dxa"/>
            <w:vAlign w:val="bottom"/>
          </w:tcPr>
          <w:p>
            <w:pPr>
              <w:spacing w:after="0"/>
              <w:rPr>
                <w:sz w:val="12"/>
                <w:szCs w:val="12"/>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230,804</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06/30/2026</w:t>
            </w:r>
          </w:p>
        </w:tc>
        <w:tc>
          <w:tcPr>
            <w:tcW w:w="1140" w:type="dxa"/>
            <w:vAlign w:val="bottom"/>
          </w:tcPr>
          <w:p>
            <w:pPr>
              <w:spacing w:after="0"/>
              <w:rPr>
                <w:sz w:val="16"/>
                <w:szCs w:val="16"/>
                <w:color w:val="auto"/>
              </w:rPr>
            </w:pPr>
          </w:p>
        </w:tc>
        <w:tc>
          <w:tcPr>
            <w:tcW w:w="3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rPr>
              <w:t>25,000</w:t>
            </w:r>
          </w:p>
        </w:tc>
        <w:tc>
          <w:tcPr>
            <w:tcW w:w="300" w:type="dxa"/>
            <w:vAlign w:val="bottom"/>
          </w:tcPr>
          <w:p>
            <w:pPr>
              <w:spacing w:after="0"/>
              <w:rPr>
                <w:sz w:val="20"/>
                <w:szCs w:val="20"/>
                <w:color w:val="auto"/>
              </w:rPr>
            </w:pPr>
            <w:r>
              <w:rPr>
                <w:rFonts w:ascii="Times New Roman" w:cs="Times New Roman" w:eastAsia="Times New Roman" w:hAnsi="Times New Roman"/>
                <w:sz w:val="11"/>
                <w:szCs w:val="11"/>
                <w:color w:val="008000"/>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7"/>
              </w:rPr>
              <w:t>07/13/2028</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25,000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205,804</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gridSpan w:val="2"/>
          </w:tcPr>
          <w:p>
            <w:pPr>
              <w:ind w:left="2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were exercised and the shares of common stock were sold pursuant to a Rule 10b5-1 trading plan adopted by the Reporting Person on May 16, 2025.</w:t>
      </w:r>
    </w:p>
    <w:p>
      <w:pPr>
        <w:spacing w:after="0" w:line="43" w:lineRule="exact"/>
        <w:rPr>
          <w:rFonts w:ascii="Times New Roman" w:cs="Times New Roman" w:eastAsia="Times New Roman" w:hAnsi="Times New Roman"/>
          <w:sz w:val="13"/>
          <w:szCs w:val="13"/>
          <w:color w:val="008000"/>
        </w:rPr>
      </w:pPr>
    </w:p>
    <w:p>
      <w:pPr>
        <w:jc w:val="both"/>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$34.55 to $35.50, inclusive. The Reporting Person undertakes to provide to Beam Therapeutics Inc. ("BEAM"), any security holder of BEAM or the staff of the Securities and Exchange Commission, upon request, full information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$35.60 to $36.18, inclusive. The Reporting Person undertakes to provide to BEAM, any security holder of BEAM or the staff of the Securities and Exchange Commission, upon request, full information regarding the number of shares sold at each separate price within the range.</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$33.80 to $34.71, inclusive. The Reporting Person undertakes to provide to BEAM, any security holder of BEAM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$34.83 to $34.85, inclusive. The Reporting Person undertakes to provide to BEAM, any security holder of BEAM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right="2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8, 2018, the Reporting Person was granted an option to purchase shares of common stock, which vested as to 99,396 shares upon the achievement of a certain development milestone related to base editing applications. On April 3, 2024, the board of directors of BEAM determined that this performance condition was achieved, resulting in the vesting of 99,336 shares.</w:t>
      </w:r>
    </w:p>
    <w:p>
      <w:pPr>
        <w:spacing w:after="0" w:line="17" w:lineRule="exact"/>
        <w:rPr>
          <w:rFonts w:ascii="Times New Roman" w:cs="Times New Roman" w:eastAsia="Times New Roman" w:hAnsi="Times New Roman"/>
          <w:sz w:val="13"/>
          <w:szCs w:val="13"/>
          <w:color w:val="008000"/>
        </w:rPr>
      </w:pPr>
    </w:p>
    <w:p>
      <w:pPr>
        <w:ind w:right="20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13, 2018, the Reporting Person was granted an option to purchase 539,645 shares of common stock, which vested as to 25% of the underlying shares on January 8, 2019 and in 36 equal monthly installments thereafter.</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2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6304"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2026-07-01T15:06:15Z</dcterms:created>
  <dcterms:modified xsi:type="dcterms:W3CDTF">2026-07-01T15:06:15Z</dcterms:modified>
</cp:coreProperties>
</file>