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BEAM THERAPEUTICS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26 Landsdowne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Cambridge, MA 02139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28, 2020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Corporate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Beam Therapeutics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Registration Statement on Form S-1 (File No. 333-249093)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Request for Acceleration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firstLine="44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461 under the Securities Act of 1933, as amended, Beam Therapeutics Inc., a Delaware corporation (the “Company”), hereby requests that the effective date for the registration statement referred to above be accelerated so that it will be declared effective at 4:00 p.m. Eastern Time on September 30, 2020, or as soon as possible thereafter. The Company hereby authorizes Marc Rubenstein or Thomas Danielski of Ropes &amp; Gray LLP, counsel to the Company, to orally modify or withdraw this request for acceleration.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right="300"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call Thomas Danielski of Ropes &amp; Gray LLP, counsel to the Company, at (617) 235-4961 as soon as the registration statement has been declared effective.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Arial" w:cs="Arial" w:eastAsia="Arial" w:hAnsi="Arial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1000"/>
          </w:cols>
          <w:pgMar w:left="440" w:top="229" w:right="459" w:bottom="1440" w:gutter="0" w:footer="0" w:header="0"/>
        </w:sectPr>
      </w:pPr>
    </w:p>
    <w:bookmarkStart w:id="1" w:name="page2"/>
    <w:bookmarkEnd w:id="1"/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BEAM THERAPEUTICS INC.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562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Terry-Ann Burrell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14605</wp:posOffset>
            </wp:positionV>
            <wp:extent cx="2425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Terry-Ann Burrell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2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Title:</w:t>
        <w:tab/>
        <w:t>Chief Financial Officer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Signature Page to Acceleration Request</w:t>
      </w:r>
    </w:p>
    <w:sectPr>
      <w:pgSz w:w="11900" w:h="16838" w:orient="portrait"/>
      <w:cols w:equalWidth="0" w:num="1">
        <w:col w:w="9019"/>
      </w:cols>
      <w:pgMar w:left="1440" w:top="27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2021-08-15T19:57:22Z</dcterms:created>
  <dcterms:modified xsi:type="dcterms:W3CDTF">2021-08-15T19:57:22Z</dcterms:modified>
</cp:coreProperties>
</file>