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am-20250930.htm"/>
      <w:bookmarkStart w:id="1" w:name="ksbeam202509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001-39208</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Beam Therapeutics Inc.</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2851"/>
        <w:gridCol w:w="1456"/>
      </w:tblGrid>
      <w:tr>
        <w:trPr/>
        <w:tc>
          <w:tcPr>
            <w:tcW w:w="28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81-5238376</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State or other jurisdiction of</w:t>
            </w:r>
          </w:p>
          <w:p>
            <w:pPr>
              <w:pStyle w:val="TableContents"/>
              <w:bidi w:val="0"/>
              <w:spacing w:before="0" w:after="20"/>
              <w:jc w:val="center"/>
              <w:rPr>
                <w:rFonts w:ascii="Times New Roman" w:hAnsi="Times New Roman"/>
                <w:sz w:val="16"/>
              </w:rPr>
            </w:pPr>
            <w:r>
              <w:rPr>
                <w:rFonts w:ascii="Times New Roman" w:hAnsi="Times New Roman"/>
                <w:b/>
                <w:i/>
                <w:color w:val="000000"/>
                <w:sz w:val="16"/>
              </w:rPr>
              <w:t>incorporation or organization</w:t>
            </w:r>
            <w:r>
              <w:rPr>
                <w:rFonts w:ascii="Times New Roman" w:hAnsi="Times New Roman"/>
                <w:b/>
                <w:color w:val="000000"/>
                <w:sz w:val="16"/>
              </w:rPr>
              <w:t>)</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I.R.S. Employer</w:t>
            </w:r>
          </w:p>
          <w:p>
            <w:pPr>
              <w:pStyle w:val="TableContents"/>
              <w:bidi w:val="0"/>
              <w:spacing w:before="0" w:after="20"/>
              <w:jc w:val="center"/>
              <w:rPr>
                <w:rFonts w:ascii="Times New Roman" w:hAnsi="Times New Roman"/>
                <w:sz w:val="16"/>
              </w:rPr>
            </w:pPr>
            <w:r>
              <w:rPr>
                <w:rFonts w:ascii="Times New Roman" w:hAnsi="Times New Roman"/>
                <w:b/>
                <w:i/>
                <w:color w:val="000000"/>
                <w:sz w:val="16"/>
              </w:rPr>
              <w:t>Identification No.</w:t>
            </w:r>
            <w:r>
              <w:rPr>
                <w:rFonts w:ascii="Times New Roman" w:hAnsi="Times New Roman"/>
                <w:b/>
                <w:color w:val="000000"/>
                <w:sz w:val="16"/>
              </w:rPr>
              <w:t>)</w:t>
            </w:r>
          </w:p>
        </w:tc>
      </w:tr>
      <w:tr>
        <w:trPr/>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238 Main Street</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Cambridge, MA</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02142</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Address of principal executive offices</w:t>
            </w:r>
            <w:r>
              <w:rPr>
                <w:rFonts w:ascii="Times New Roman" w:hAnsi="Times New Roman"/>
                <w:b/>
                <w:color w:val="000000"/>
                <w:sz w:val="16"/>
              </w:rPr>
              <w:t>)</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Zip Code</w:t>
            </w:r>
            <w:r>
              <w:rPr>
                <w:rFonts w:ascii="Times New Roman" w:hAnsi="Times New Roman"/>
                <w:b/>
                <w:color w:val="000000"/>
                <w:sz w:val="16"/>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(857) 327-8775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573" w:type="dxa"/>
        <w:jc w:val="left"/>
        <w:tblInd w:w="0" w:type="dxa"/>
        <w:tblLayout w:type="fixed"/>
        <w:tblCellMar>
          <w:top w:w="28" w:type="dxa"/>
          <w:left w:w="28" w:type="dxa"/>
          <w:bottom w:w="28" w:type="dxa"/>
          <w:right w:w="28" w:type="dxa"/>
        </w:tblCellMar>
      </w:tblPr>
      <w:tblGrid>
        <w:gridCol w:w="3346"/>
        <w:gridCol w:w="826"/>
        <w:gridCol w:w="2401"/>
      </w:tblGrid>
      <w:tr>
        <w:trPr/>
        <w:tc>
          <w:tcPr>
            <w:tcW w:w="3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34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240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3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BEAM</w:t>
            </w:r>
          </w:p>
        </w:tc>
        <w:tc>
          <w:tcPr>
            <w:tcW w:w="24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number of shares of registrant’s common stock outstanding as of October 28, 2025 was 101,474,944.</w:t>
      </w:r>
      <w:r>
        <w:rPr>
          <w:rFonts w:ascii="Times New Roman" w:hAnsi="Times New Roman"/>
          <w:color w:val="000000"/>
          <w:sz w:val="20"/>
        </w:rPr>
        <w:t xml:space="preserve"> </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Such forward-looking statements reflect,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expectations and anticipated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initiation, timing, progress and results of our clinical trials, including our Phase 1/2 clinical trial designed to assess the safety and efficacy of BEAM-101 for the treatment of sickle cell disease, our Phase 1/2 clinical trial designed to assess the safety and efficacy of BEAM-302 for the treatment of alpha-1 antitrypsin deficiency, our Phase 1/2 clinical trial designed to assess the safety and efficacy of BEAM-301 for the treatment of glycogen storage disease type 1a, and our Phase 1 healthy volunteer clinical trial of BEAM-103;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initiation, timing, progress and results of our research and development programs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maintain a sustainable portfolio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life-long, curative, precision genetic medicines for patients through base editing;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create a hub for partnering with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for preclinical studies for product candidates in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any product candidates that we may develop and successfully complete any clinical trials or preclinical studies, including the manufacture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pursue a broad suite of clinically validated delivery modalities;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expected timing, progress and success of our collaborations with third parties, including any future payments we may receive under our collaboration and license agreements,</w:t>
      </w:r>
      <w:r>
        <w:rPr>
          <w:color w:val="000000"/>
        </w:rPr>
        <w:t xml:space="preserve"> </w:t>
      </w:r>
      <w:r>
        <w:rPr>
          <w:rFonts w:ascii="Times New Roman" w:hAnsi="Times New Roman"/>
          <w:color w:val="000000"/>
          <w:sz w:val="20"/>
        </w:rPr>
        <w:t>and 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base editing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develop our delivery modalities and obtain and maintain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maintain a commercial-scale current Good Manufacturing Practice, or cGMP,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strategic and other potential benefits of our acquisition of any additional technologies, as well as the potential of contingent payments in connection with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period over which we believe that our existing cash, cash equivalents and marketable securities, will be sufficient to fund our operating expenses and capital expenditure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of macro-economic conditions, as well as the prevailing level of macro-economic, business, and operational uncertainty, including as a result of geopolitical events, federal government shutdowns, the imposition of new or revised global trade tariffs or other global or regional events.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these statements are subject to known and unknown important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II, Item 1A of this Quarterly Report on Form 10-Q and “Risk Factors Summary” and “Risk Factors” in Part I, Item 1A. of our Annual Report on Form 10-K for the fiscal year ended December 31, 2024, or the 2024 Form 10-K. Unless legally required, we assume no obligation to update any such forward-looking information to reflect actual results or changes in the factors affecting such forward-looking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use the terms “Beam,” the “Company,” “we,” “us” or “our” in this Quarterly Report on Form 10-Q, we mean Beam Therapeutics Inc. and its subsidiaries on a consolidated basis, unless the context indicates otherwise.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1021"/>
        <w:gridCol w:w="7366"/>
        <w:gridCol w:w="511"/>
      </w:tblGrid>
      <w:tr>
        <w:trPr/>
        <w:tc>
          <w:tcPr>
            <w:tcW w:w="102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or_co">
              <w:r>
                <w:rPr>
                  <w:rStyle w:val="InternetLink"/>
                  <w:rFonts w:ascii="Times New Roman" w:hAnsi="Times New Roman"/>
                  <w:color w:val="0000FF"/>
                  <w:sz w:val="20"/>
                  <w:u w:val="single"/>
                </w:rPr>
                <w:t>Condensed Consolidated Statements of Operations and Other Comprehensive Loss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redeemable_conve">
              <w:r>
                <w:rPr>
                  <w:rStyle w:val="InternetLink"/>
                  <w:rFonts w:ascii="Times New Roman" w:hAnsi="Times New Roman"/>
                  <w:color w:val="0000FF"/>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120"/>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 (Unaudited)</w:t>
      </w:r>
    </w:p>
    <w:p>
      <w:pPr>
        <w:pStyle w:val="TextBody"/>
        <w:bidi w:val="0"/>
        <w:spacing w:before="120" w:after="283"/>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11"/>
        <w:gridCol w:w="991"/>
        <w:gridCol w:w="166"/>
        <w:gridCol w:w="146"/>
        <w:gridCol w:w="211"/>
        <w:gridCol w:w="991"/>
        <w:gridCol w:w="611"/>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Commitments and contingencies (See Note 7, </w:t>
            </w:r>
            <w:r>
              <w:rPr>
                <w:rFonts w:ascii="Times New Roman" w:hAnsi="Times New Roman"/>
                <w:i/>
                <w:color w:val="000000"/>
                <w:sz w:val="20"/>
              </w:rPr>
              <w:t xml:space="preserve">License agreements </w:t>
            </w:r>
            <w:r>
              <w:rPr>
                <w:rFonts w:ascii="Times New Roman" w:hAnsi="Times New Roman"/>
                <w:color w:val="000000"/>
                <w:sz w:val="20"/>
              </w:rPr>
              <w:t>and Note 8, </w:t>
            </w:r>
            <w:r>
              <w:rPr>
                <w:rFonts w:ascii="Times New Roman" w:hAnsi="Times New Roman"/>
                <w:i/>
                <w:color w:val="000000"/>
                <w:sz w:val="20"/>
              </w:rPr>
              <w:t>Collaboration and license agreements</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25,000,000 shares authorized, and no shares issued or outstanding at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250,000,000 shares authorized, 101,359,765 and 83,633,069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2,298,661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(1,566,631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statements_operations_or_co"/>
      <w:bookmarkEnd w:id="5"/>
      <w:r>
        <w:rPr>
          <w:rFonts w:ascii="Times New Roman" w:hAnsi="Times New Roman"/>
          <w:b/>
          <w:color w:val="000000"/>
          <w:sz w:val="20"/>
        </w:rPr>
        <w:t>Condensed Consolidated Statements of Operations and Other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39"/>
        <w:gridCol w:w="546"/>
        <w:gridCol w:w="211"/>
        <w:gridCol w:w="1141"/>
        <w:gridCol w:w="166"/>
        <w:gridCol w:w="146"/>
        <w:gridCol w:w="211"/>
        <w:gridCol w:w="1036"/>
        <w:gridCol w:w="166"/>
        <w:gridCol w:w="146"/>
        <w:gridCol w:w="211"/>
        <w:gridCol w:w="1036"/>
        <w:gridCol w:w="166"/>
        <w:gridCol w:w="146"/>
        <w:gridCol w:w="211"/>
        <w:gridCol w:w="1036"/>
        <w:gridCol w:w="591"/>
      </w:tblGrid>
      <w:tr>
        <w:trPr/>
        <w:tc>
          <w:tcPr>
            <w:tcW w:w="30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102,570,801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82,410,095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97,567,229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82,141,383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jc w:val="center"/>
        <w:rPr>
          <w:rFonts w:ascii="Times New Roman" w:hAnsi="Times New Roman"/>
          <w:sz w:val="20"/>
        </w:rPr>
      </w:pPr>
      <w:bookmarkStart w:id="6" w:name="consolidated_statements_redeemable_conve"/>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65"/>
        <w:gridCol w:w="146"/>
        <w:gridCol w:w="146"/>
        <w:gridCol w:w="916"/>
        <w:gridCol w:w="146"/>
        <w:gridCol w:w="146"/>
        <w:gridCol w:w="216"/>
        <w:gridCol w:w="415"/>
        <w:gridCol w:w="146"/>
        <w:gridCol w:w="146"/>
        <w:gridCol w:w="196"/>
        <w:gridCol w:w="826"/>
        <w:gridCol w:w="166"/>
        <w:gridCol w:w="146"/>
        <w:gridCol w:w="280"/>
        <w:gridCol w:w="816"/>
        <w:gridCol w:w="166"/>
        <w:gridCol w:w="146"/>
        <w:gridCol w:w="196"/>
        <w:gridCol w:w="886"/>
        <w:gridCol w:w="166"/>
        <w:gridCol w:w="146"/>
        <w:gridCol w:w="213"/>
        <w:gridCol w:w="755"/>
        <w:gridCol w:w="413"/>
      </w:tblGrid>
      <w:tr>
        <w:trPr/>
        <w:tc>
          <w:tcPr>
            <w:tcW w:w="2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81,632,496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2,169,798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981,329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(98,669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82,280,827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913,490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(91,051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82,386,210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854,094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(96,668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82,558,883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791,317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 Continued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47"/>
        <w:gridCol w:w="146"/>
        <w:gridCol w:w="146"/>
        <w:gridCol w:w="1006"/>
        <w:gridCol w:w="146"/>
        <w:gridCol w:w="146"/>
        <w:gridCol w:w="196"/>
        <w:gridCol w:w="511"/>
        <w:gridCol w:w="146"/>
        <w:gridCol w:w="146"/>
        <w:gridCol w:w="196"/>
        <w:gridCol w:w="826"/>
        <w:gridCol w:w="166"/>
        <w:gridCol w:w="146"/>
        <w:gridCol w:w="339"/>
        <w:gridCol w:w="757"/>
        <w:gridCol w:w="166"/>
        <w:gridCol w:w="146"/>
        <w:gridCol w:w="196"/>
        <w:gridCol w:w="886"/>
        <w:gridCol w:w="166"/>
        <w:gridCol w:w="146"/>
        <w:gridCol w:w="196"/>
        <w:gridCol w:w="826"/>
        <w:gridCol w:w="411"/>
      </w:tblGrid>
      <w:tr>
        <w:trPr/>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83,633,069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733,545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and pre-funded warrants, net of issuance costs of $30.8</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100,557,094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1,123,136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and pre-funded warrants, net of issuance costs of $30.8</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100,758,748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1,046,813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101,359,765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966,002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04"/>
        <w:gridCol w:w="146"/>
        <w:gridCol w:w="223"/>
        <w:gridCol w:w="892"/>
        <w:gridCol w:w="176"/>
        <w:gridCol w:w="154"/>
        <w:gridCol w:w="223"/>
        <w:gridCol w:w="892"/>
        <w:gridCol w:w="995"/>
      </w:tblGrid>
      <w:tr>
        <w:trPr/>
        <w:tc>
          <w:tcPr>
            <w:tcW w:w="6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16,482</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investment discount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In-process research and development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loss (gain) on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(53,610</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(31,451</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(270,881</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(848,754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(486,439</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551,142</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acquisition,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58,727</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shares and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issuances of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equipment financings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(207,862</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290,111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444,614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274,616</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236,752</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 Continued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9694" w:type="dxa"/>
        <w:jc w:val="left"/>
        <w:tblInd w:w="0" w:type="dxa"/>
        <w:tblLayout w:type="fixed"/>
        <w:tblCellMar>
          <w:top w:w="28" w:type="dxa"/>
          <w:left w:w="28" w:type="dxa"/>
          <w:bottom w:w="28" w:type="dxa"/>
          <w:right w:w="28" w:type="dxa"/>
        </w:tblCellMar>
      </w:tblPr>
      <w:tblGrid>
        <w:gridCol w:w="6546"/>
        <w:gridCol w:w="146"/>
        <w:gridCol w:w="285"/>
        <w:gridCol w:w="773"/>
        <w:gridCol w:w="197"/>
        <w:gridCol w:w="197"/>
        <w:gridCol w:w="285"/>
        <w:gridCol w:w="854"/>
        <w:gridCol w:w="411"/>
      </w:tblGrid>
      <w:tr>
        <w:trPr/>
        <w:tc>
          <w:tcPr>
            <w:tcW w:w="6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additions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 assumed in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equity instruments issued in connection with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spacing w:before="0" w:after="120"/>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 (</w:t>
      </w:r>
      <w:r>
        <w:rPr>
          <w:rFonts w:ascii="Times New Roman" w:hAnsi="Times New Roman"/>
          <w:b/>
          <w:i/>
          <w:color w:val="000000"/>
          <w:sz w:val="20"/>
        </w:rPr>
        <w:t>Unaudited</w:t>
      </w:r>
      <w:r>
        <w:rPr>
          <w:rFonts w:ascii="Times New Roman" w:hAnsi="Times New Roman"/>
          <w:b/>
          <w:color w:val="000000"/>
          <w:sz w:val="20"/>
        </w:rPr>
        <w:t>)</w:t>
      </w:r>
    </w:p>
    <w:p>
      <w:pPr>
        <w:pStyle w:val="TextBody"/>
        <w:bidi w:val="0"/>
        <w:spacing w:before="120" w:after="120"/>
        <w:jc w:val="left"/>
        <w:rPr>
          <w:rFonts w:ascii="Times New Roman" w:hAnsi="Times New Roman"/>
          <w:sz w:val="20"/>
        </w:rPr>
      </w:pPr>
      <w:r>
        <w:rPr>
          <w:rFonts w:ascii="Times New Roman" w:hAnsi="Times New Roman"/>
          <w:b/>
          <w:caps/>
          <w:color w:val="000000"/>
          <w:sz w:val="20"/>
        </w:rPr>
        <w:t xml:space="preserve">1. </w:t>
      </w:r>
      <w:r>
        <w:rPr>
          <w:rFonts w:ascii="Times New Roman" w:hAnsi="Times New Roman"/>
          <w:b/>
          <w:color w:val="000000"/>
          <w:sz w:val="20"/>
        </w:rPr>
        <w:t>Nature of the business and 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making arrangements to conduct manufacturing activities with contract manufacturing organizations, organizing and staffing the Company, establishing and maintaining internal manufacturing capabilities, conducting clinical trials, maintaining its facilities and new facility build-outs,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pStyle w:val="TextBody"/>
        <w:bidi w:val="0"/>
        <w:spacing w:before="0" w:after="120"/>
        <w:jc w:val="left"/>
        <w:rPr>
          <w:rFonts w:ascii="Times New Roman" w:hAnsi="Times New Roman"/>
          <w:sz w:val="20"/>
        </w:rPr>
      </w:pPr>
      <w:r>
        <w:rPr>
          <w:rFonts w:ascii="Times New Roman" w:hAnsi="Times New Roman"/>
          <w:color w:val="000000"/>
          <w:sz w:val="20"/>
        </w:rPr>
        <w:t>In March 2025, the Company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w:t>
      </w:r>
      <w:r>
        <w:rPr>
          <w:rFonts w:ascii="Times New Roman" w:hAnsi="Times New Roman"/>
          <w:color w:val="FF0000"/>
          <w:sz w:val="20"/>
        </w:rPr>
        <w:t xml:space="preserve"> </w:t>
      </w:r>
      <w:r>
        <w:rPr>
          <w:rFonts w:ascii="Times New Roman" w:hAnsi="Times New Roman"/>
          <w:color w:val="000000"/>
          <w:sz w:val="20"/>
        </w:rPr>
        <w:t>million related to legal, accounting and other fees in connection with the offering. Refer to Note 9 for further information.</w:t>
      </w:r>
    </w:p>
    <w:p>
      <w:pPr>
        <w:pStyle w:val="TextBody"/>
        <w:bidi w:val="0"/>
        <w:jc w:val="left"/>
        <w:rPr>
          <w:rFonts w:ascii="Times New Roman" w:hAnsi="Times New Roman"/>
          <w:color w:val="000000"/>
          <w:sz w:val="20"/>
        </w:rPr>
      </w:pPr>
      <w:r>
        <w:rPr>
          <w:rFonts w:ascii="Times New Roman" w:hAnsi="Times New Roman"/>
          <w:color w:val="000000"/>
          <w:sz w:val="20"/>
        </w:rPr>
        <w:t>The Company has entered into an at the market sales agreement, or the Sales Agreement, with Jefferies LLC, or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September 30, 2025, the Company has sold 13,769,001 shares of its common stock under the Sales Agreement at an average price of $62.75 per share for aggregate gross proceeds of $864.0 million, before deducting commissions and offering expenses payable by the Company. There were no shares sold under the Sales Agreement during the three and nine months ended September 30,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its inception, the Company has incurred substantial losses and had an accumulated deficit of $1.9 billion as of September 30, 2025. The Company expects to generate operating losses and negative operating cash flows for the foreseeable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expects that its cash, cash equivalents, and marketable securities as of September 30, 2025 of $1.1 billion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 </w:t>
      </w:r>
    </w:p>
    <w:p>
      <w:pPr>
        <w:pStyle w:val="TextBody"/>
        <w:bidi w:val="0"/>
        <w:spacing w:before="0" w:after="120"/>
        <w:jc w:val="left"/>
        <w:rPr>
          <w:rFonts w:ascii="Times New Roman" w:hAnsi="Times New Roman"/>
          <w:sz w:val="20"/>
        </w:rPr>
      </w:pPr>
      <w:r>
        <w:rPr>
          <w:rFonts w:ascii="Times New Roman" w:hAnsi="Times New Roman"/>
          <w:b/>
          <w:caps/>
          <w:color w:val="000000"/>
          <w:sz w:val="20"/>
        </w:rPr>
        <w:t>2. S</w:t>
      </w:r>
      <w:r>
        <w:rPr>
          <w:rFonts w:ascii="Times New Roman" w:hAnsi="Times New Roman"/>
          <w:b/>
          <w:color w:val="000000"/>
          <w:sz w:val="20"/>
        </w:rPr>
        <w:t>ummary of significant accounting policies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consolidated financial statements for the year ended December 31, 2024, and notes thereto, which are included in the Company’s Annual Report on Form 10-K that was filed with the Securities and Exchange Commission, or the SEC, on February 25, 2025, or the 2024 Form 10-K. Since the date of those financial statements, except as set forth below under “Warrants,” there have been no material changes to the Company's significant accounting policies.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accounts for common stock warrants as either equity-classified or liability-classified instruments based on an assessment of the warrant’s specific terms and applicable authoritative guidance in </w:t>
      </w:r>
      <w:r>
        <w:rPr>
          <w:rFonts w:ascii="Times New Roman" w:hAnsi="Times New Roman"/>
          <w:color w:val="000000"/>
          <w:sz w:val="21"/>
        </w:rPr>
        <w:t xml:space="preserve">Accounting Standards Codification, or </w:t>
      </w:r>
      <w:r>
        <w:rPr>
          <w:rFonts w:ascii="Times New Roman" w:hAnsi="Times New Roman"/>
          <w:color w:val="000000"/>
          <w:sz w:val="20"/>
        </w:rPr>
        <w:t xml:space="preserve">ASC,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480, </w:t>
      </w:r>
      <w:r>
        <w:rPr>
          <w:rFonts w:ascii="Times New Roman" w:hAnsi="Times New Roman"/>
          <w:i/>
          <w:color w:val="000000"/>
          <w:sz w:val="20"/>
        </w:rPr>
        <w:t>Distinguishing Liabilities from Equity</w:t>
      </w:r>
      <w:r>
        <w:rPr>
          <w:rFonts w:ascii="Times New Roman" w:hAnsi="Times New Roman"/>
          <w:color w:val="000000"/>
          <w:sz w:val="20"/>
        </w:rPr>
        <w:t xml:space="preserve">, or ASC 480, and ASC No. 815, </w:t>
      </w:r>
      <w:r>
        <w:rPr>
          <w:rFonts w:ascii="Times New Roman" w:hAnsi="Times New Roman"/>
          <w:i/>
          <w:color w:val="000000"/>
          <w:sz w:val="20"/>
        </w:rPr>
        <w:t>Derivatives and Hedging</w:t>
      </w:r>
      <w:r>
        <w:rPr>
          <w:rFonts w:ascii="Times New Roman" w:hAnsi="Times New Roman"/>
          <w:color w:val="000000"/>
          <w:sz w:val="20"/>
        </w:rPr>
        <w:t>, or ASC 815. The assessment considers whether the warrants are freestanding financial instruments, whether the warrants meet the definition of a liability,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jc w:val="left"/>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pStyle w:val="TextBody"/>
        <w:bidi w:val="0"/>
        <w:spacing w:before="120" w:after="12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United States generally accepted accounting principles, or GAAP. Any reference in these notes to applicable guidance is meant to refer to the authoritative GAAP as found in the ASC and Accounting Standards Update, or ASU, of the Financial Accounting Standards Board, or FASB. </w:t>
      </w:r>
    </w:p>
    <w:p>
      <w:pPr>
        <w:pStyle w:val="TextBody"/>
        <w:bidi w:val="0"/>
        <w:spacing w:before="0" w:after="12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results of operations of the Company and its wholly-owned subsidiaries. All intercompany transactions and balances have been eliminated in consolidation.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incremental borrowing rate used in the calculation of lease liabilities, research and development expenses, stock-based compensation, contingent consideration liabilities, success payments, settlement payments and certain judgments regarding revenue recognition. Actual results could differ from these estimates.</w:t>
      </w:r>
    </w:p>
    <w:p>
      <w:pPr>
        <w:pStyle w:val="TextBody"/>
        <w:bidi w:val="0"/>
        <w:jc w:val="left"/>
        <w:rPr>
          <w:rFonts w:ascii="Times New Roman" w:hAnsi="Times New Roman"/>
          <w:b/>
          <w:i/>
          <w:color w:val="000000"/>
          <w:sz w:val="20"/>
        </w:rPr>
      </w:pPr>
      <w:r>
        <w:rPr>
          <w:rFonts w:ascii="Times New Roman" w:hAnsi="Times New Roman"/>
          <w:b/>
          <w:i/>
          <w:color w:val="000000"/>
          <w:sz w:val="20"/>
        </w:rPr>
        <w:t>Recently announced accounting pronouncements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w:t>
      </w:r>
      <w:r>
        <w:rPr>
          <w:rFonts w:ascii="Times New Roman" w:hAnsi="Times New Roman"/>
          <w:color w:val="000000"/>
          <w:sz w:val="20"/>
        </w:rPr>
        <w:t xml:space="preserve"> The amendments in this update expand income tax disclosure requirements, including additional information pertaining to the rate reconciliation, income taxes paid, and other disclosures. This update is effective for annual periods beginning after December 15, 2024. The adoption of this standard is not expected to have a material impact on the Company’s consolidated financial statements.</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ASU requires disclosure of specified information about certain costs and expenses in the footnotes to the financial statements. This ASU is effective for annual periods beginning after December 15, 2026 and is applicable to the Company’s fiscal year beginning January 1, 2027, with early application permitted. The Company has not early adopted this ASU and is currently evaluating the impact of this new standard on its consolidated financial statements and related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No. 2025-07, </w:t>
      </w:r>
      <w:r>
        <w:rPr>
          <w:rFonts w:ascii="Times New Roman" w:hAnsi="Times New Roman"/>
          <w:i/>
          <w:color w:val="000000"/>
          <w:sz w:val="20"/>
        </w:rPr>
        <w:t xml:space="preserve">Derivatives and Hedging </w:t>
      </w:r>
      <w:r>
        <w:rPr>
          <w:rFonts w:ascii="Times New Roman" w:hAnsi="Times New Roman"/>
          <w:color w:val="000000"/>
          <w:sz w:val="20"/>
        </w:rPr>
        <w:t xml:space="preserve">(Topic 815) and </w:t>
      </w:r>
      <w:r>
        <w:rPr>
          <w:rFonts w:ascii="Times New Roman" w:hAnsi="Times New Roman"/>
          <w:i/>
          <w:color w:val="000000"/>
          <w:sz w:val="20"/>
        </w:rPr>
        <w:t>Revenue from Contracts with Customers</w:t>
      </w:r>
      <w:r>
        <w:rPr>
          <w:rFonts w:ascii="Times New Roman" w:hAnsi="Times New Roman"/>
          <w:color w:val="000000"/>
          <w:sz w:val="20"/>
        </w:rPr>
        <w:t xml:space="preserve"> (Topic 606): </w:t>
      </w:r>
      <w:r>
        <w:rPr>
          <w:rFonts w:ascii="Times New Roman" w:hAnsi="Times New Roman"/>
          <w:i/>
          <w:color w:val="000000"/>
          <w:sz w:val="20"/>
        </w:rPr>
        <w:t>Scope</w:t>
      </w:r>
      <w:r>
        <w:rPr>
          <w:rFonts w:ascii="Times New Roman" w:hAnsi="Times New Roman"/>
          <w:color w:val="000000"/>
          <w:sz w:val="20"/>
        </w:rPr>
        <w:t xml:space="preserve"> </w:t>
      </w:r>
      <w:r>
        <w:rPr>
          <w:rFonts w:ascii="Times New Roman" w:hAnsi="Times New Roman"/>
          <w:i/>
          <w:color w:val="000000"/>
          <w:sz w:val="20"/>
        </w:rPr>
        <w:t>Refinements and Scope Clarification for Share-Based Noncash Consideration from a Customer in a Revenue Contract</w:t>
      </w:r>
      <w:r>
        <w:rPr>
          <w:rFonts w:ascii="Times New Roman" w:hAnsi="Times New Roman"/>
          <w:color w:val="000000"/>
          <w:sz w:val="20"/>
        </w:rPr>
        <w:t>. This update clarifies the application of derivative accounting to certain contracts and refines the guidance for share-based noncash consideration received from customers. Specifically, this ASU introduces a scope exception for contracts that are not exchange-traded and whose underlying value is tied to operations or activities specific to one party. It also clarifies that share-based noncash consideration from a customer should initially be accounted for under Topic 606 until the right to receive or retain such consideration becomes unconditional, at which point financial instruments guidance may apply. The amendments are effective for the Company for the year ending June 30, 2028, including interim periods within those fiscal years. Early adoption is permitted. The Company is currently evaluating the impact of this ASU on its consolidated financial statements and related disclosures.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and cash equivalents consist of standard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corporate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cash, cash equivalents, and restricted cash reported within the Company’s condensed consolidated balance sheets to the total of the amounts shown in the condensed consolidated statements of cash flows (in thousands):</w:t>
      </w:r>
    </w:p>
    <w:tbl>
      <w:tblPr>
        <w:tblW w:w="7300" w:type="dxa"/>
        <w:jc w:val="left"/>
        <w:tblInd w:w="0" w:type="dxa"/>
        <w:tblLayout w:type="fixed"/>
        <w:tblCellMar>
          <w:top w:w="28" w:type="dxa"/>
          <w:left w:w="28" w:type="dxa"/>
          <w:bottom w:w="28" w:type="dxa"/>
          <w:right w:w="28" w:type="dxa"/>
        </w:tblCellMar>
      </w:tblPr>
      <w:tblGrid>
        <w:gridCol w:w="4191"/>
        <w:gridCol w:w="146"/>
        <w:gridCol w:w="242"/>
        <w:gridCol w:w="898"/>
        <w:gridCol w:w="146"/>
        <w:gridCol w:w="146"/>
        <w:gridCol w:w="242"/>
        <w:gridCol w:w="898"/>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b/>
          <w:caps/>
          <w:color w:val="000000"/>
          <w:sz w:val="20"/>
        </w:rPr>
        <w:t>3. P</w:t>
      </w:r>
      <w:r>
        <w:rPr>
          <w:rFonts w:ascii="Times New Roman" w:hAnsi="Times New Roman"/>
          <w:b/>
          <w:color w:val="000000"/>
          <w:sz w:val="20"/>
        </w:rPr>
        <w:t>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5855" w:type="dxa"/>
        <w:jc w:val="left"/>
        <w:tblInd w:w="0" w:type="dxa"/>
        <w:tblLayout w:type="fixed"/>
        <w:tblCellMar>
          <w:top w:w="28" w:type="dxa"/>
          <w:left w:w="28" w:type="dxa"/>
          <w:bottom w:w="28" w:type="dxa"/>
          <w:right w:w="28" w:type="dxa"/>
        </w:tblCellMar>
      </w:tblPr>
      <w:tblGrid>
        <w:gridCol w:w="2751"/>
        <w:gridCol w:w="146"/>
        <w:gridCol w:w="242"/>
        <w:gridCol w:w="898"/>
        <w:gridCol w:w="166"/>
        <w:gridCol w:w="146"/>
        <w:gridCol w:w="233"/>
        <w:gridCol w:w="862"/>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depreciation expense incurred (in thousands):</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1876"/>
        <w:gridCol w:w="146"/>
        <w:gridCol w:w="305"/>
        <w:gridCol w:w="826"/>
        <w:gridCol w:w="211"/>
        <w:gridCol w:w="211"/>
        <w:gridCol w:w="305"/>
        <w:gridCol w:w="826"/>
        <w:gridCol w:w="146"/>
        <w:gridCol w:w="146"/>
        <w:gridCol w:w="265"/>
        <w:gridCol w:w="849"/>
        <w:gridCol w:w="183"/>
        <w:gridCol w:w="183"/>
        <w:gridCol w:w="265"/>
        <w:gridCol w:w="849"/>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b/>
          <w:caps/>
          <w:color w:val="000000"/>
          <w:sz w:val="20"/>
        </w:rPr>
        <w:t>4. f</w:t>
      </w:r>
      <w:r>
        <w:rPr>
          <w:rFonts w:ascii="Times New Roman" w:hAnsi="Times New Roman"/>
          <w:b/>
          <w:color w:val="000000"/>
          <w:sz w:val="20"/>
        </w:rPr>
        <w:t>air value of financial instruments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financial instruments that are measured at fair value on a recurring basis consist of cash equivalents, marketable securities, corporate equity securities, contingent consideration liabilities related to acquisitions, success payment derivative liabilities pursuant to the license agreement, or the Harvard License Agreement, between President and Fellows of Harvard University, or Harvard, and the Company, the license agreement, or the Broad License Agreement, between The Broad Institute, Inc., or Broad Institute, and the Company, and settlement payment derivative liabilities associated with a settlement agreement between the Company and a research institution.</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the fair value of the Company’s financial assets and liabilities by level within the fair value hierarchy at September 30, 2025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5"/>
        <w:gridCol w:w="146"/>
        <w:gridCol w:w="211"/>
        <w:gridCol w:w="931"/>
        <w:gridCol w:w="146"/>
        <w:gridCol w:w="146"/>
        <w:gridCol w:w="211"/>
        <w:gridCol w:w="931"/>
        <w:gridCol w:w="146"/>
        <w:gridCol w:w="146"/>
        <w:gridCol w:w="211"/>
        <w:gridCol w:w="781"/>
        <w:gridCol w:w="146"/>
        <w:gridCol w:w="146"/>
        <w:gridCol w:w="211"/>
        <w:gridCol w:w="781"/>
        <w:gridCol w:w="146"/>
        <w:gridCol w:w="146"/>
        <w:gridCol w:w="211"/>
        <w:gridCol w:w="676"/>
        <w:gridCol w:w="591"/>
      </w:tblGrid>
      <w:tr>
        <w:trPr/>
        <w:tc>
          <w:tcPr>
            <w:tcW w:w="3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Harvard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Broad Institute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set forth the fair value of the Company’s financial assets and liabilities by level within the fair value hierarchy at December 31, 2024 (in thousands): </w:t>
      </w:r>
    </w:p>
    <w:tbl>
      <w:tblPr>
        <w:tblW w:w="10205" w:type="dxa"/>
        <w:jc w:val="left"/>
        <w:tblInd w:w="0" w:type="dxa"/>
        <w:tblLayout w:type="fixed"/>
        <w:tblCellMar>
          <w:top w:w="28" w:type="dxa"/>
          <w:left w:w="28" w:type="dxa"/>
          <w:bottom w:w="28" w:type="dxa"/>
          <w:right w:w="28" w:type="dxa"/>
        </w:tblCellMar>
      </w:tblPr>
      <w:tblGrid>
        <w:gridCol w:w="3445"/>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676"/>
        <w:gridCol w:w="591"/>
      </w:tblGrid>
      <w:tr>
        <w:trPr/>
        <w:tc>
          <w:tcPr>
            <w:tcW w:w="3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Harvard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Broad Institute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settlement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20"/>
        </w:rPr>
        <w:t xml:space="preserve">Cash equivalents </w:t>
      </w:r>
      <w:r>
        <w:rPr>
          <w:rFonts w:ascii="Times New Roman" w:hAnsi="Times New Roman"/>
          <w:color w:val="000000"/>
          <w:sz w:val="20"/>
        </w:rPr>
        <w:t>– Money market funds included within cash equivalents are classified within Level 1 of the fair value hierarchy because they are valued 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Marketable securities </w:t>
      </w:r>
      <w:r>
        <w:rPr>
          <w:rFonts w:ascii="Times New Roman" w:hAnsi="Times New Roman"/>
          <w:color w:val="000000"/>
          <w:sz w:val="20"/>
        </w:rPr>
        <w:t xml:space="preserve">– Marketable securities, excluding corporate equity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September 30, 2025, Eli Lilly and Company, or Lilly, completed its acquisition of Verve Therapeutics, Inc., or Verve. The Company received total proceeds of $5.7 million for its 546,970 shares of Verve and recorded a realized loss of $0.4 million during the three months ended September 30, 2025, presented in "Interest and other income (expense), net"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condensed consolidated statements of operations and other comprehensive loss. The shares were previously classified as marketable securities on the Company's condensed consolidated balance sheet and measured at fair value. There were no other realized gains or losses from the sale of marketable securities during the three or nine months ended September 30, 2025. Proceeds from the sale are reflected in investing activities on the condensed consolidated statements of 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September 30, 2025 the Company holds an investment in Prime Medicine, Inc., or Prime, consisting of 1,608,337 shares of Prime's common stock valued at $8.9 million, which is included in marketable securities in the condensed consolidated balance sheet.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Pursuant to ASC 825, </w:t>
      </w:r>
      <w:r>
        <w:rPr>
          <w:rFonts w:ascii="Times New Roman" w:hAnsi="Times New Roman"/>
          <w:i/>
          <w:color w:val="000000"/>
          <w:sz w:val="20"/>
        </w:rPr>
        <w:t>Financial instruments</w:t>
      </w:r>
      <w:r>
        <w:rPr>
          <w:rFonts w:ascii="Times New Roman" w:hAnsi="Times New Roman"/>
          <w:color w:val="000000"/>
          <w:sz w:val="20"/>
        </w:rPr>
        <w:t>, the Company records changes in the fair value of its investments in equity securities to other income (expense), in the Company’s condensed consolidated statements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other income (expense) recorded due to changes in the fair value of corporate equity securities held (in thousands):</w:t>
      </w:r>
    </w:p>
    <w:tbl>
      <w:tblPr>
        <w:tblW w:w="7986" w:type="dxa"/>
        <w:jc w:val="left"/>
        <w:tblInd w:w="0" w:type="dxa"/>
        <w:tblLayout w:type="fixed"/>
        <w:tblCellMar>
          <w:top w:w="28" w:type="dxa"/>
          <w:left w:w="28" w:type="dxa"/>
          <w:bottom w:w="28" w:type="dxa"/>
          <w:right w:w="28" w:type="dxa"/>
        </w:tblCellMar>
      </w:tblPr>
      <w:tblGrid>
        <w:gridCol w:w="2041"/>
        <w:gridCol w:w="146"/>
        <w:gridCol w:w="295"/>
        <w:gridCol w:w="800"/>
        <w:gridCol w:w="204"/>
        <w:gridCol w:w="204"/>
        <w:gridCol w:w="295"/>
        <w:gridCol w:w="884"/>
        <w:gridCol w:w="166"/>
        <w:gridCol w:w="146"/>
        <w:gridCol w:w="271"/>
        <w:gridCol w:w="733"/>
        <w:gridCol w:w="187"/>
        <w:gridCol w:w="187"/>
        <w:gridCol w:w="271"/>
        <w:gridCol w:w="945"/>
        <w:gridCol w:w="21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b/>
          <w:color w:val="000000"/>
          <w:sz w:val="20"/>
        </w:rPr>
        <w:t>Success payment liabilities</w:t>
      </w:r>
      <w:r>
        <w:rPr>
          <w:rFonts w:ascii="Times New Roman" w:hAnsi="Times New Roman"/>
          <w:color w:val="000000"/>
          <w:sz w:val="20"/>
        </w:rPr>
        <w:t xml:space="preserve"> – As discussed further in Note 7, </w:t>
      </w:r>
      <w:r>
        <w:rPr>
          <w:rFonts w:ascii="Times New Roman" w:hAnsi="Times New Roman"/>
          <w:i/>
          <w:color w:val="000000"/>
          <w:sz w:val="20"/>
        </w:rPr>
        <w:t>License agreements</w:t>
      </w:r>
      <w:r>
        <w:rPr>
          <w:rFonts w:ascii="Times New Roman" w:hAnsi="Times New Roman"/>
          <w:color w:val="000000"/>
          <w:sz w:val="20"/>
        </w:rPr>
        <w:t>, the Company is required to make payments to Harvard and Broad Institute based upon the achievement of specified multiples of the market value of the Company's common stock, at specified valuation dates. The Company’s liability for the share-based success payments under the Harvard License Agreement and the Broad License Agreement is carried at fair value. To determine the estimated fair value of the success payment liability, the Company uses a Monte Carlo simulation methodology, which models the future movement of stock prices based on several key variables.</w:t>
      </w:r>
    </w:p>
    <w:p>
      <w:pPr>
        <w:pStyle w:val="TextBody"/>
        <w:bidi w:val="0"/>
        <w:jc w:val="left"/>
        <w:rPr>
          <w:rFonts w:ascii="Times New Roman" w:hAnsi="Times New Roman"/>
          <w:color w:val="000000"/>
          <w:sz w:val="20"/>
        </w:rPr>
      </w:pPr>
      <w:r>
        <w:rPr>
          <w:rFonts w:ascii="Times New Roman" w:hAnsi="Times New Roman"/>
          <w:color w:val="000000"/>
          <w:sz w:val="20"/>
        </w:rPr>
        <w:t>The following variables were incorporated in the calculation of the estimated fair value of the Harvard and Broad Institute success payment liabilities:</w:t>
      </w:r>
    </w:p>
    <w:p>
      <w:pPr>
        <w:pStyle w:val="TextBody"/>
        <w:bidi w:val="0"/>
        <w:jc w:val="left"/>
        <w:rPr/>
      </w:pPr>
      <w:r>
        <w:rPr/>
        <w:t> </w:t>
      </w:r>
    </w:p>
    <w:tbl>
      <w:tblPr>
        <w:tblW w:w="9439" w:type="dxa"/>
        <w:jc w:val="left"/>
        <w:tblInd w:w="0" w:type="dxa"/>
        <w:tblLayout w:type="fixed"/>
        <w:tblCellMar>
          <w:top w:w="28" w:type="dxa"/>
          <w:left w:w="28" w:type="dxa"/>
          <w:bottom w:w="28" w:type="dxa"/>
          <w:right w:w="28" w:type="dxa"/>
        </w:tblCellMar>
      </w:tblPr>
      <w:tblGrid>
        <w:gridCol w:w="3256"/>
        <w:gridCol w:w="146"/>
        <w:gridCol w:w="307"/>
        <w:gridCol w:w="833"/>
        <w:gridCol w:w="271"/>
        <w:gridCol w:w="146"/>
        <w:gridCol w:w="294"/>
        <w:gridCol w:w="801"/>
        <w:gridCol w:w="271"/>
        <w:gridCol w:w="146"/>
        <w:gridCol w:w="307"/>
        <w:gridCol w:w="833"/>
        <w:gridCol w:w="271"/>
        <w:gridCol w:w="146"/>
        <w:gridCol w:w="294"/>
        <w:gridCol w:w="801"/>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 Institute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0.03-4.49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0.02-4.61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0.03-5.36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computation of expected volatility was estimated using available information about the historical volatility of stocks of similar publicly traded companies in addition to the Company's own data for a period matching the expected term assumption. In addition, the Company incorporated the estimated number, timing, and probability of valuation measurement dates in the calculation of the success payment liability.</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the change in the fair value of success payment liabilities based on Level 3 inputs (in thousands):</w:t>
      </w:r>
    </w:p>
    <w:p>
      <w:pPr>
        <w:pStyle w:val="TextBody"/>
        <w:bidi w:val="0"/>
        <w:jc w:val="left"/>
        <w:rPr/>
      </w:pPr>
      <w:r>
        <w:rPr/>
        <w:t> </w:t>
      </w:r>
    </w:p>
    <w:tbl>
      <w:tblPr>
        <w:tblW w:w="6686" w:type="dxa"/>
        <w:jc w:val="left"/>
        <w:tblInd w:w="0" w:type="dxa"/>
        <w:tblLayout w:type="fixed"/>
        <w:tblCellMar>
          <w:top w:w="28" w:type="dxa"/>
          <w:left w:w="28" w:type="dxa"/>
          <w:bottom w:w="28" w:type="dxa"/>
          <w:right w:w="28" w:type="dxa"/>
        </w:tblCellMar>
      </w:tblPr>
      <w:tblGrid>
        <w:gridCol w:w="2641"/>
        <w:gridCol w:w="146"/>
        <w:gridCol w:w="211"/>
        <w:gridCol w:w="631"/>
        <w:gridCol w:w="166"/>
        <w:gridCol w:w="146"/>
        <w:gridCol w:w="324"/>
        <w:gridCol w:w="876"/>
        <w:gridCol w:w="166"/>
        <w:gridCol w:w="146"/>
        <w:gridCol w:w="211"/>
        <w:gridCol w:w="631"/>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 Institute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Derivative settlement liability</w:t>
      </w:r>
      <w:r>
        <w:rPr>
          <w:rFonts w:ascii="Times New Roman" w:hAnsi="Times New Roman"/>
          <w:color w:val="000000"/>
          <w:sz w:val="20"/>
        </w:rPr>
        <w:t xml:space="preserve"> – On July 19, 2024, the Company entered into a settlement agreement with a research institution pursuant to which, in exchange for a release of claims in its favor, the Company agreed, among other things, to pay the research institution an upfront payment of $15.0 million and to make additional payments contingent upon the development and commercialization of BEAM-102 and BEAM-302. These contingent payments consist of certain development, regulatory, and sales-based milestone payments, as well as 1% royalty through 2038. Any amounts due must be settled in cash. The maximum amount of development and regulatory milestone payments under the settlement agreement is $15.0 million, and the maximum amount of sales milestone payments is $35.0 million, per program. The Company paid the $15.0 million upfront payment during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contingent settlement payments are accounted for as a derivative under Accounting Standards Codification 815, </w:t>
      </w:r>
      <w:r>
        <w:rPr>
          <w:rFonts w:ascii="Times New Roman" w:hAnsi="Times New Roman"/>
          <w:i/>
          <w:color w:val="000000"/>
          <w:sz w:val="20"/>
        </w:rPr>
        <w:t>Derivatives and Hedging,</w:t>
      </w:r>
      <w:r>
        <w:rPr>
          <w:rFonts w:ascii="Times New Roman" w:hAnsi="Times New Roman"/>
          <w:color w:val="000000"/>
          <w:sz w:val="20"/>
        </w:rPr>
        <w:t xml:space="preserve"> as the potential payments meet the definition of a derivative and are not subject to any scope exceptions. The derivative liability is recorded at fair value on the Company's balance sheet with changes in value recognized in interest and other income (expense) in the consolidated statement of operations and other comprehensive loss. To determine the estimated fair value of the liability, the Company applied a probability-based model, which utilized inputs based on the potential achievement and related timing of certain development, regulatory and sales-based milestones that were unobservable in the market. This derivative liability is classified within Level 3 of the fair value hierarchy above.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assumptions were incorporated in the calculation of the fair value of the derivative liability:</w:t>
      </w:r>
    </w:p>
    <w:tbl>
      <w:tblPr>
        <w:tblW w:w="7600" w:type="dxa"/>
        <w:jc w:val="left"/>
        <w:tblInd w:w="0" w:type="dxa"/>
        <w:tblLayout w:type="fixed"/>
        <w:tblCellMar>
          <w:top w:w="28" w:type="dxa"/>
          <w:left w:w="28" w:type="dxa"/>
          <w:bottom w:w="28" w:type="dxa"/>
          <w:right w:w="28" w:type="dxa"/>
        </w:tblCellMar>
      </w:tblPr>
      <w:tblGrid>
        <w:gridCol w:w="4486"/>
        <w:gridCol w:w="146"/>
        <w:gridCol w:w="231"/>
        <w:gridCol w:w="909"/>
        <w:gridCol w:w="271"/>
        <w:gridCol w:w="146"/>
        <w:gridCol w:w="222"/>
        <w:gridCol w:w="873"/>
        <w:gridCol w:w="31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Milestones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 of settlement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year of achievement of settlement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2027-2038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the change in fair value of the derivative liability based on level 3 inputs (in thousands):</w:t>
      </w:r>
    </w:p>
    <w:tbl>
      <w:tblPr>
        <w:tblW w:w="6178" w:type="dxa"/>
        <w:jc w:val="left"/>
        <w:tblInd w:w="0" w:type="dxa"/>
        <w:tblLayout w:type="fixed"/>
        <w:tblCellMar>
          <w:top w:w="28" w:type="dxa"/>
          <w:left w:w="28" w:type="dxa"/>
          <w:bottom w:w="28" w:type="dxa"/>
          <w:right w:w="28" w:type="dxa"/>
        </w:tblCellMar>
      </w:tblPr>
      <w:tblGrid>
        <w:gridCol w:w="2641"/>
        <w:gridCol w:w="146"/>
        <w:gridCol w:w="809"/>
        <w:gridCol w:w="2191"/>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expense (income) resulting from the change in the fair value of the derivative settlement liability (in thousands):</w:t>
      </w:r>
    </w:p>
    <w:tbl>
      <w:tblPr>
        <w:tblW w:w="10205" w:type="dxa"/>
        <w:jc w:val="left"/>
        <w:tblInd w:w="0" w:type="dxa"/>
        <w:tblLayout w:type="fixed"/>
        <w:tblCellMar>
          <w:top w:w="28" w:type="dxa"/>
          <w:left w:w="28" w:type="dxa"/>
          <w:bottom w:w="28" w:type="dxa"/>
          <w:right w:w="28" w:type="dxa"/>
        </w:tblCellMar>
      </w:tblPr>
      <w:tblGrid>
        <w:gridCol w:w="4355"/>
        <w:gridCol w:w="146"/>
        <w:gridCol w:w="377"/>
        <w:gridCol w:w="754"/>
        <w:gridCol w:w="261"/>
        <w:gridCol w:w="261"/>
        <w:gridCol w:w="377"/>
        <w:gridCol w:w="620"/>
        <w:gridCol w:w="146"/>
        <w:gridCol w:w="146"/>
        <w:gridCol w:w="331"/>
        <w:gridCol w:w="899"/>
        <w:gridCol w:w="229"/>
        <w:gridCol w:w="229"/>
        <w:gridCol w:w="331"/>
        <w:gridCol w:w="544"/>
        <w:gridCol w:w="199"/>
      </w:tblGrid>
      <w:tr>
        <w:trPr/>
        <w:tc>
          <w:tcPr>
            <w:tcW w:w="4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derivative settlement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20"/>
        </w:rPr>
        <w:t>Contingent consideration liabilities</w:t>
      </w:r>
      <w:r>
        <w:rPr>
          <w:rFonts w:ascii="Times New Roman" w:hAnsi="Times New Roman"/>
          <w:color w:val="000000"/>
          <w:sz w:val="20"/>
        </w:rPr>
        <w:t xml:space="preserve"> – On July 1, 2025, the Company acquired an early-stage life sciences company, which was consolidated by the Company under ASC 810 as the Company determined that the acquiree is a variable interest entity and that the Company is the primary beneficiary through its 100% ownership interest. The total consideration paid was $14.5 million, which is comprised of an upfront payment of 403,128 shares of the Company’s common stock valued at $6.7 million, contingent consideration payments based on the achievement of certain development, clinical and commercial milestones valued at $7.7 million and $0.1 million of seller transaction expenses. The maximum amount of the milestone payments is $89.0 million. The primary asset acquired included in-process research and development valued at $14.5 million upon acquisition. As no alternative future use was identified for the acquired in-process research and development, the Company expensed the full fair value of the asset as research and development expense upon acquisition.</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Milestone payments are payable at the Company’s sole discretion in cash or in shares of the Company's common stock (valued using a volume-weighted average price). As these milestones are payable with a variable number of shares of the Company’s common stock, the milestone payments result in liability classification under ASC 480, </w:t>
      </w:r>
      <w:r>
        <w:rPr>
          <w:rFonts w:ascii="Times New Roman" w:hAnsi="Times New Roman"/>
          <w:i/>
          <w:color w:val="000000"/>
          <w:sz w:val="20"/>
        </w:rPr>
        <w:t>Distinguishing Liabilities from Equity</w:t>
      </w:r>
      <w:r>
        <w:rPr>
          <w:rFonts w:ascii="Times New Roman" w:hAnsi="Times New Roman"/>
          <w:color w:val="000000"/>
          <w:sz w:val="20"/>
        </w:rPr>
        <w:t>. These contingent consideration liabilities are carried at fair value which was estimated by applying a probability-based model, which utilized inputs based on timing of achievement that were unobservable in the market. These contingent consideration liabilities are classified within Level 3 of the fair value hierarchy and had a fair value of $7.7 million as of the acquisition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variables were incorporated in the calculation of the estimated fair value of the contingent consideration liabilities:</w:t>
      </w:r>
    </w:p>
    <w:tbl>
      <w:tblPr>
        <w:tblW w:w="6071" w:type="dxa"/>
        <w:jc w:val="left"/>
        <w:tblInd w:w="0" w:type="dxa"/>
        <w:tblLayout w:type="fixed"/>
        <w:tblCellMar>
          <w:top w:w="28" w:type="dxa"/>
          <w:left w:w="28" w:type="dxa"/>
          <w:bottom w:w="28" w:type="dxa"/>
          <w:right w:w="28" w:type="dxa"/>
        </w:tblCellMar>
      </w:tblPr>
      <w:tblGrid>
        <w:gridCol w:w="2566"/>
        <w:gridCol w:w="146"/>
        <w:gridCol w:w="416"/>
        <w:gridCol w:w="1627"/>
        <w:gridCol w:w="772"/>
        <w:gridCol w:w="544"/>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 liability milestones</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year of achievement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2026-2037</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the change in fair value of the contingent consideration liabilities based on level 3 inputs (in thousands):</w:t>
      </w:r>
    </w:p>
    <w:tbl>
      <w:tblPr>
        <w:tblW w:w="6823" w:type="dxa"/>
        <w:jc w:val="left"/>
        <w:tblInd w:w="0" w:type="dxa"/>
        <w:tblLayout w:type="fixed"/>
        <w:tblCellMar>
          <w:top w:w="28" w:type="dxa"/>
          <w:left w:w="28" w:type="dxa"/>
          <w:bottom w:w="28" w:type="dxa"/>
          <w:right w:w="28" w:type="dxa"/>
        </w:tblCellMar>
      </w:tblPr>
      <w:tblGrid>
        <w:gridCol w:w="2971"/>
        <w:gridCol w:w="146"/>
        <w:gridCol w:w="894"/>
        <w:gridCol w:w="242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 liability milestones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July 1, 2025 (inception)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September 30, 2025, the Company assessed the fair value of the contingent consideration liabilities related to potential technology and product milestone payments from its prior acquisition of Guide Therapeutics, Inc. The Company determined that the fair value of the underlying technology and product milestones was zero and such milestones were removed from the Company's balance sheet as of September 30, 2025. The reduction in the fair value of the contingent consideration liabilities is presented on the Company's statements of operations and other comprehensive loss as "Change in fair value of contingent consideration liabilities".</w:t>
      </w:r>
    </w:p>
    <w:p>
      <w:pPr>
        <w:pStyle w:val="TextBody"/>
        <w:bidi w:val="0"/>
        <w:spacing w:before="0" w:after="120"/>
        <w:jc w:val="left"/>
        <w:rPr>
          <w:rFonts w:ascii="Times New Roman" w:hAnsi="Times New Roman"/>
          <w:sz w:val="20"/>
        </w:rPr>
      </w:pPr>
      <w:r>
        <w:rPr>
          <w:rFonts w:ascii="Times New Roman" w:hAnsi="Times New Roman"/>
          <w:b/>
          <w:caps/>
          <w:color w:val="000000"/>
          <w:sz w:val="20"/>
        </w:rPr>
        <w:t xml:space="preserve">5. </w:t>
      </w:r>
      <w:r>
        <w:rPr>
          <w:rFonts w:ascii="Times New Roman" w:hAnsi="Times New Roman"/>
          <w:b/>
          <w:color w:val="000000"/>
          <w:sz w:val="20"/>
        </w:rPr>
        <w:t>Marketable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Company’s marketable securities held at September 30, 2025 (in thousands):</w:t>
      </w:r>
    </w:p>
    <w:tbl>
      <w:tblPr>
        <w:tblW w:w="7753" w:type="dxa"/>
        <w:jc w:val="left"/>
        <w:tblInd w:w="0" w:type="dxa"/>
        <w:tblLayout w:type="fixed"/>
        <w:tblCellMar>
          <w:top w:w="28" w:type="dxa"/>
          <w:left w:w="28" w:type="dxa"/>
          <w:bottom w:w="28" w:type="dxa"/>
          <w:right w:w="28" w:type="dxa"/>
        </w:tblCellMar>
      </w:tblPr>
      <w:tblGrid>
        <w:gridCol w:w="2311"/>
        <w:gridCol w:w="146"/>
        <w:gridCol w:w="265"/>
        <w:gridCol w:w="980"/>
        <w:gridCol w:w="146"/>
        <w:gridCol w:w="146"/>
        <w:gridCol w:w="295"/>
        <w:gridCol w:w="591"/>
        <w:gridCol w:w="146"/>
        <w:gridCol w:w="146"/>
        <w:gridCol w:w="318"/>
        <w:gridCol w:w="568"/>
        <w:gridCol w:w="16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807,010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marketable securities held at December 31, 2024 (in thousands):</w:t>
      </w:r>
    </w:p>
    <w:tbl>
      <w:tblPr>
        <w:tblW w:w="7753" w:type="dxa"/>
        <w:jc w:val="left"/>
        <w:tblInd w:w="0" w:type="dxa"/>
        <w:tblLayout w:type="fixed"/>
        <w:tblCellMar>
          <w:top w:w="28" w:type="dxa"/>
          <w:left w:w="28" w:type="dxa"/>
          <w:bottom w:w="28" w:type="dxa"/>
          <w:right w:w="28" w:type="dxa"/>
        </w:tblCellMar>
      </w:tblPr>
      <w:tblGrid>
        <w:gridCol w:w="2311"/>
        <w:gridCol w:w="146"/>
        <w:gridCol w:w="265"/>
        <w:gridCol w:w="980"/>
        <w:gridCol w:w="146"/>
        <w:gridCol w:w="146"/>
        <w:gridCol w:w="295"/>
        <w:gridCol w:w="591"/>
        <w:gridCol w:w="146"/>
        <w:gridCol w:w="146"/>
        <w:gridCol w:w="270"/>
        <w:gridCol w:w="616"/>
        <w:gridCol w:w="16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amortized cost of marketable debt securities is adjusted for amortization of premiums and accretion of discounts to maturity. At September 30, 2025, the balance in accumulated other comprehensive (loss) income was related to marketable debt securities.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September 30, 2025, Lilly, completed its acquisition of Verve and as a result, the Company received total proceeds of $5.7 million for its 546,970 shares of Verve. The sale resulted in a realized loss of $0.4 million, recorded in "Interest and other income (expense), net" in the Company's statements of operations and other comprehensive loss. There were no other realized gains or losses from the sale of marketable securities during the three or nine months ended September 30, 2025.</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were no credit losses on any of its debt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aps/>
          <w:color w:val="000000"/>
          <w:sz w:val="20"/>
        </w:rPr>
        <w:t xml:space="preserve">6. </w:t>
      </w:r>
      <w:r>
        <w:rPr>
          <w:rFonts w:ascii="Times New Roman" w:hAnsi="Times New Roman"/>
          <w:b/>
          <w:color w:val="000000"/>
          <w:sz w:val="20"/>
        </w:rPr>
        <w:t>Accrued expenses and other 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tbl>
      <w:tblPr>
        <w:tblW w:w="6920" w:type="dxa"/>
        <w:jc w:val="left"/>
        <w:tblInd w:w="0" w:type="dxa"/>
        <w:tblLayout w:type="fixed"/>
        <w:tblCellMar>
          <w:top w:w="28" w:type="dxa"/>
          <w:left w:w="28" w:type="dxa"/>
          <w:bottom w:w="28" w:type="dxa"/>
          <w:right w:w="28" w:type="dxa"/>
        </w:tblCellMar>
      </w:tblPr>
      <w:tblGrid>
        <w:gridCol w:w="3856"/>
        <w:gridCol w:w="146"/>
        <w:gridCol w:w="271"/>
        <w:gridCol w:w="869"/>
        <w:gridCol w:w="146"/>
        <w:gridCol w:w="146"/>
        <w:gridCol w:w="260"/>
        <w:gridCol w:w="835"/>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 development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 xml:space="preserve">7. </w:t>
      </w:r>
      <w:r>
        <w:rPr>
          <w:rFonts w:ascii="Times New Roman" w:hAnsi="Times New Roman"/>
          <w:b/>
          <w:color w:val="000000"/>
          <w:sz w:val="20"/>
        </w:rPr>
        <w:t>License</w:t>
      </w:r>
      <w:r>
        <w:rPr>
          <w:rFonts w:ascii="Times New Roman" w:hAnsi="Times New Roman"/>
          <w:caps/>
          <w:color w:val="000000"/>
          <w:sz w:val="20"/>
        </w:rPr>
        <w:t xml:space="preserve"> </w:t>
      </w:r>
      <w:r>
        <w:rPr>
          <w:rFonts w:ascii="Times New Roman" w:hAnsi="Times New Roman"/>
          <w:b/>
          <w:color w:val="000000"/>
          <w:sz w:val="20"/>
        </w:rPr>
        <w:t>agreements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various license agreements related to technology used in its research and development activities. The license agreements may include up-front payments, option fees, ongoing maintenance fees, sublicense fees, royalty-based payments, milestone payments, success-based payments, and other payments. Option fees, when applicable, are recognized when exercised, maintenance fees, sublicense fees, and other payments are recorded as incurred based on the estimated amounts due or that will ultimately be paid. Contingent payments that are not required to be accounted for as a derivative are recognized as incurred. As the success-based payments due under the Company’s license arrangements are derivatives, the change in the fair value of the success-based payments are recognized in a separate line item in the statement of operations and comprehensive loss, as discussed further below.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value attributable to sublicenses and the related sublicense fees due under the Company’s license agreements may require estimates and other judgments related to contractual requirements, which creates uncertainty over the ultimate amount that would be paid under these arrangements. Contractual amounts due are accrued and if a contingency exists related to the interpretation of the amounts due under the license agreement, the Company recognizes a liability for the amount that is probable and estimable. When no amount within the range of potential payments is a better estimate than any other amount, however, the minimum amount in the range is accrued. </w:t>
      </w:r>
    </w:p>
    <w:p>
      <w:pPr>
        <w:pStyle w:val="TextBody"/>
        <w:bidi w:val="0"/>
        <w:jc w:val="left"/>
        <w:rPr>
          <w:rFonts w:ascii="Times New Roman" w:hAnsi="Times New Roman"/>
          <w:sz w:val="20"/>
        </w:rPr>
      </w:pPr>
      <w:r>
        <w:rPr>
          <w:rFonts w:ascii="Times New Roman" w:hAnsi="Times New Roman"/>
          <w:b/>
          <w:i/>
          <w:color w:val="000000"/>
          <w:sz w:val="20"/>
        </w:rPr>
        <w:t>Harvard license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Under the Harvard License Agreement, Harvard is entitled to receive success payments, in cash or shares of Company stock, 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initial public offering, or IPO, the amount of success payments is based on the market value of the Company's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 As of September 30, 2025, no success payments were due to Harvard.</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success payment liability for Harvard (in thousands):</w:t>
      </w:r>
    </w:p>
    <w:p>
      <w:pPr>
        <w:pStyle w:val="TextBody"/>
        <w:bidi w:val="0"/>
        <w:jc w:val="left"/>
        <w:rPr/>
      </w:pPr>
      <w:r>
        <w:rPr/>
        <w:t> </w:t>
      </w:r>
    </w:p>
    <w:tbl>
      <w:tblPr>
        <w:tblW w:w="5730" w:type="dxa"/>
        <w:jc w:val="left"/>
        <w:tblInd w:w="0" w:type="dxa"/>
        <w:tblLayout w:type="fixed"/>
        <w:tblCellMar>
          <w:top w:w="28" w:type="dxa"/>
          <w:left w:w="28" w:type="dxa"/>
          <w:bottom w:w="28" w:type="dxa"/>
          <w:right w:w="28" w:type="dxa"/>
        </w:tblCellMar>
      </w:tblPr>
      <w:tblGrid>
        <w:gridCol w:w="2866"/>
        <w:gridCol w:w="146"/>
        <w:gridCol w:w="307"/>
        <w:gridCol w:w="833"/>
        <w:gridCol w:w="146"/>
        <w:gridCol w:w="146"/>
        <w:gridCol w:w="294"/>
        <w:gridCol w:w="80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expense (income) resulting from the change in the fair value of the success payment liability for Harvard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0"/>
        <w:gridCol w:w="146"/>
        <w:gridCol w:w="321"/>
        <w:gridCol w:w="869"/>
        <w:gridCol w:w="221"/>
        <w:gridCol w:w="221"/>
        <w:gridCol w:w="321"/>
        <w:gridCol w:w="640"/>
        <w:gridCol w:w="146"/>
        <w:gridCol w:w="146"/>
        <w:gridCol w:w="268"/>
        <w:gridCol w:w="803"/>
        <w:gridCol w:w="210"/>
        <w:gridCol w:w="185"/>
        <w:gridCol w:w="268"/>
        <w:gridCol w:w="803"/>
        <w:gridCol w:w="217"/>
      </w:tblGrid>
      <w:tr>
        <w:trPr/>
        <w:tc>
          <w:tcPr>
            <w:tcW w:w="4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Harvard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Broad 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Broad License Agreement, Broad Institute is entitled to receive success payments, in cash or shares of Company common 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February 2020 IPO, the amount of success payments is based on the market value of the Company’s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 </w:t>
      </w:r>
    </w:p>
    <w:p>
      <w:pPr>
        <w:pStyle w:val="TextBody"/>
        <w:bidi w:val="0"/>
        <w:jc w:val="left"/>
        <w:rPr>
          <w:rFonts w:ascii="Times New Roman" w:hAnsi="Times New Roman"/>
          <w:color w:val="000000"/>
          <w:sz w:val="20"/>
        </w:rPr>
      </w:pPr>
      <w:r>
        <w:rPr>
          <w:rFonts w:ascii="Times New Roman" w:hAnsi="Times New Roman"/>
          <w:color w:val="000000"/>
          <w:sz w:val="20"/>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September 30, 2025, no success payments were due to Broad Institute.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success payment liability for Broad Institute (in thousands):</w:t>
      </w:r>
    </w:p>
    <w:p>
      <w:pPr>
        <w:pStyle w:val="TextBody"/>
        <w:bidi w:val="0"/>
        <w:jc w:val="left"/>
        <w:rPr/>
      </w:pPr>
      <w:r>
        <w:rPr/>
        <w:t> </w:t>
      </w:r>
    </w:p>
    <w:tbl>
      <w:tblPr>
        <w:tblW w:w="6300" w:type="dxa"/>
        <w:jc w:val="left"/>
        <w:tblInd w:w="0" w:type="dxa"/>
        <w:tblLayout w:type="fixed"/>
        <w:tblCellMar>
          <w:top w:w="28" w:type="dxa"/>
          <w:left w:w="28" w:type="dxa"/>
          <w:bottom w:w="28" w:type="dxa"/>
          <w:right w:w="28" w:type="dxa"/>
        </w:tblCellMar>
      </w:tblPr>
      <w:tblGrid>
        <w:gridCol w:w="3436"/>
        <w:gridCol w:w="146"/>
        <w:gridCol w:w="307"/>
        <w:gridCol w:w="833"/>
        <w:gridCol w:w="146"/>
        <w:gridCol w:w="146"/>
        <w:gridCol w:w="294"/>
        <w:gridCol w:w="80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 Institute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expense (income) resulting from the change in the fair value of the success payment liability for Broad Institute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3"/>
        <w:gridCol w:w="146"/>
        <w:gridCol w:w="311"/>
        <w:gridCol w:w="843"/>
        <w:gridCol w:w="214"/>
        <w:gridCol w:w="214"/>
        <w:gridCol w:w="311"/>
        <w:gridCol w:w="621"/>
        <w:gridCol w:w="146"/>
        <w:gridCol w:w="146"/>
        <w:gridCol w:w="281"/>
        <w:gridCol w:w="642"/>
        <w:gridCol w:w="221"/>
        <w:gridCol w:w="194"/>
        <w:gridCol w:w="281"/>
        <w:gridCol w:w="843"/>
        <w:gridCol w:w="218"/>
      </w:tblGrid>
      <w:tr>
        <w:trPr/>
        <w:tc>
          <w:tcPr>
            <w:tcW w:w="4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Broad Institute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8. Collaboration and license agreements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Eli Lilly and Company</w:t>
      </w:r>
    </w:p>
    <w:p>
      <w:pPr>
        <w:pStyle w:val="TextBody"/>
        <w:bidi w:val="0"/>
        <w:jc w:val="left"/>
        <w:rPr>
          <w:rFonts w:ascii="Times New Roman" w:hAnsi="Times New Roman"/>
          <w:color w:val="000000"/>
          <w:sz w:val="20"/>
        </w:rPr>
      </w:pPr>
      <w:r>
        <w:rPr>
          <w:rFonts w:ascii="Times New Roman" w:hAnsi="Times New Roman"/>
          <w:color w:val="000000"/>
          <w:sz w:val="20"/>
        </w:rPr>
        <w:t>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including the Company’s opt-in rights to co-develop and co-commercialize Verve’s base editing programs for cardiovascular disease (see discussion below related to the Verve Agreement). The Company granted Lilly an exclusive sublicense to the Verve technology originally licensed to the Company under the Verve Agreement. Lilly also acquired the right to receive any future milestone or royalty payments payable by Verve under the Verve Agreement and the rights and obligations to designate representatives and participate on the joint steering committee with Verve. The Company received a $200.0 million nonrefundable upfront payment and is eligible to receive up to $350.0 million in potential future development-stage payments upon the completion of certain clinical, regulatory and alliance events, of which $25.0 million has been received through September 30, 2025. As of September 30, 2025, there was no deferred revenue related to the Lilly Agreement and no milestone revenue was recognized in the three and nine months ended September 30,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Orbital</w:t>
      </w:r>
    </w:p>
    <w:p>
      <w:pPr>
        <w:pStyle w:val="TextBody"/>
        <w:bidi w:val="0"/>
        <w:jc w:val="left"/>
        <w:rPr>
          <w:rFonts w:ascii="Times New Roman" w:hAnsi="Times New Roman"/>
          <w:color w:val="000000"/>
          <w:sz w:val="20"/>
        </w:rPr>
      </w:pPr>
      <w:r>
        <w:rPr>
          <w:rFonts w:ascii="Times New Roman" w:hAnsi="Times New Roman"/>
          <w:color w:val="000000"/>
          <w:sz w:val="20"/>
        </w:rPr>
        <w:t>In September 2022, the Company entered into a License and Research Collaboration Agreement, or the Orbital Agreement, with Orbital Therapeutics, Inc., or Orbital. Under the terms of the Orbital Agreement, the Company collaborated with Orbital to advance nonviral delivery and ribonucleic acid, or RNA, technology by providing Orbital with certain proprietary materials, a non-exclusive research license to certain RNA technology and nonviral delivery technology controlled by the Company, and by performing research and development support services as outlined in a research plan. The Company also granted Orbital an exploitation license to certain RNA technology and nonviral delivery technology controlled by the Company. The exploitation license was exclusive in the fields of vaccines and certain protein therapeutics during the research term, and after the research term is nonexclusive in all fields other than gene editing and conditioning. The collaboration is managed on an overall basis by a Joint Steering Committee, or JSC, comprised of an equal number of representatives from the Company and Orbital.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exchange for the licenses and services provided by the Company under the Orbital Agreement, the Company received a non-exclusive research license to certain RNA technology and nonviral delivery technology controlled by Orbital, and research and development support services as outlined in a research plan. Orbital also granted the Company an exploitation license to certain RNA technology and nonviral delivery technology controlled by Orbital. The exploitation license was exclusive in the fields of gene editing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and conditioning during the research term, and after the research term is nonexclusive in all fields other than vaccines and certain protein therapeutics. The Company also received 75 million shares of Orbital’s common stock at closing. The Company accounts for its investment in Orbital under the equity method of accounting. </w:t>
      </w:r>
    </w:p>
    <w:p>
      <w:pPr>
        <w:pStyle w:val="TextBody"/>
        <w:bidi w:val="0"/>
        <w:jc w:val="left"/>
        <w:rPr>
          <w:rFonts w:ascii="Times New Roman" w:hAnsi="Times New Roman"/>
          <w:color w:val="000000"/>
          <w:sz w:val="20"/>
        </w:rPr>
      </w:pPr>
      <w:r>
        <w:rPr>
          <w:rFonts w:ascii="Times New Roman" w:hAnsi="Times New Roman"/>
          <w:color w:val="000000"/>
          <w:sz w:val="20"/>
        </w:rPr>
        <w:t>The research plan had a term of three years and ended in September 2025. Either party may terminate the licenses granted to it under the Orbital Agreement for convenience on a product-by-product basis at any time by providing 90 days’ prior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the Orbital Agreement under ASC 606, as it includes a customer-vendor relationship as defined under ASC 606 and meets the criteria to be considered a contract.</w:t>
      </w:r>
    </w:p>
    <w:p>
      <w:pPr>
        <w:pStyle w:val="TextBody"/>
        <w:bidi w:val="0"/>
        <w:spacing w:before="120" w:after="283"/>
        <w:jc w:val="left"/>
        <w:rPr>
          <w:rFonts w:ascii="Times New Roman" w:hAnsi="Times New Roman"/>
          <w:sz w:val="20"/>
        </w:rPr>
      </w:pPr>
      <w:r>
        <w:rPr>
          <w:rFonts w:ascii="Times New Roman" w:hAnsi="Times New Roman"/>
          <w:color w:val="000000"/>
          <w:sz w:val="20"/>
        </w:rPr>
        <w:t>The overall transaction price as of the inception of the contract was determined to be $25.5</w:t>
      </w:r>
      <w:r>
        <w:rPr>
          <w:rFonts w:ascii="Times New Roman" w:hAnsi="Times New Roman"/>
          <w:color w:val="FF0000"/>
          <w:sz w:val="20"/>
        </w:rPr>
        <w:t xml:space="preserve"> </w:t>
      </w:r>
      <w:r>
        <w:rPr>
          <w:rFonts w:ascii="Times New Roman" w:hAnsi="Times New Roman"/>
          <w:color w:val="000000"/>
          <w:sz w:val="20"/>
        </w:rPr>
        <w:t xml:space="preserve">million, which represents the fair value of the Company’s equity interest in Orbital’s common stock at inception. There is no variable consideration included in the transaction price at inception.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concluded that the research and exploitation licenses are not distinct from the other promises in the Orbital Agreement, and as such the Company has determined that the licenses combined with the research and development services, know-how transfers, committee participation and materials transfer represent a combined performance obligation. The Company recognized revenue associated with the Orbital performance obligation over time as it was satisfied during the term of the Orbital Agreement, which was three years. The Company recognized $2.1 million and $6.4 million of revenue related to the Orbital Agreement during each of the three and nine months ended September 30, 2025 and 2024, respectively. As of September 30, 2025, there was no remaining deferred revenue related to the Orbital Agreement.</w:t>
      </w:r>
    </w:p>
    <w:p>
      <w:pPr>
        <w:pStyle w:val="TextBody"/>
        <w:bidi w:val="0"/>
        <w:jc w:val="left"/>
        <w:rPr>
          <w:rFonts w:ascii="Times New Roman" w:hAnsi="Times New Roman"/>
          <w:color w:val="000000"/>
          <w:sz w:val="20"/>
        </w:rPr>
      </w:pPr>
      <w:r>
        <w:rPr>
          <w:rFonts w:ascii="Times New Roman" w:hAnsi="Times New Roman"/>
          <w:color w:val="000000"/>
          <w:sz w:val="20"/>
        </w:rPr>
        <w:t>On October 10, 2025, Bristol Myers Squibb announced that it and Orbital had entered into a definitive merger agreement pursuant to which Bristol Myers Squibb will acquire Orbital for $1.5 billion in cash. As of the announcement, Beam held 75 million shares of Orbital common stock, which represented a fully-diluted ownership stake of approximately 17%. The acquisition is subject to the satisfaction of closing conditions, and the sale price is subject to certain price adjustments and holdbacks. As a result, the Company is unable to predict the timing and final amount of proceeds it may receive from the transaction, if any, with certainty.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Pfizer</w:t>
      </w:r>
    </w:p>
    <w:p>
      <w:pPr>
        <w:pStyle w:val="TextBody"/>
        <w:bidi w:val="0"/>
        <w:jc w:val="left"/>
        <w:rPr>
          <w:rFonts w:ascii="Times New Roman" w:hAnsi="Times New Roman"/>
          <w:sz w:val="20"/>
        </w:rPr>
      </w:pPr>
      <w:r>
        <w:rPr>
          <w:rFonts w:ascii="Times New Roman" w:hAnsi="Times New Roman"/>
          <w:color w:val="000000"/>
          <w:sz w:val="20"/>
        </w:rPr>
        <w:t xml:space="preserve">In December 2021, the Company entered into a research collaboration agreement, or the Pfizer Agreement, with Pfizer Inc., or Pfizer, focused on the use of certain of the Company’s base editing technology to develop </w:t>
      </w:r>
      <w:r>
        <w:rPr>
          <w:rFonts w:ascii="Times New Roman" w:hAnsi="Times New Roman"/>
          <w:i/>
          <w:color w:val="000000"/>
          <w:sz w:val="20"/>
        </w:rPr>
        <w:t>in vivo</w:t>
      </w:r>
      <w:r>
        <w:rPr>
          <w:rFonts w:ascii="Times New Roman" w:hAnsi="Times New Roman"/>
          <w:color w:val="000000"/>
          <w:sz w:val="20"/>
        </w:rPr>
        <w:t xml:space="preserve"> therapies for rare genetic diseases of the liver, muscle, and central nervous system. Under the terms of the Pfizer Agreement, the Company will conduct all research activities through development candidate selection for three base editing programs that target specific genes corresponding to specific diseases that are the subject of such programs. Pfizer will have exclusive rights to license each of the three programs at no additional cost, each an Opt-In Right, and will assume responsibility for subsequent development and commercialization. At the end of the Phase 1/2 clinical trials, the Company may elect to enter into a global co-development and co-commercialization agreement with Pfizer with respect to one program licensed under the collaboration for an option exercise fee equal to a percentage of the applicable development costs incurred by Pfizer, or the Participation Election. In the event the Company elects to exercise its Participation Election, upon the payment of its option exercise fee, Pfizer and the Company would share net profits as well as development and commercialization costs in a 65%/35% (Pfizer/Company) split for such program. The research collaboration is managed on an overall basis by a Joint Research Committee, or JRC, formed by an equal number of representatives from the Company and Pfizer.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inception of the Pfizer Agreement, the Company was entitled to receive a nonrefundable upfront payment of $300.0 million in consideration for the rights granted to Pfizer under the collaboration. Should Pfizer exercise its Opt-In Right for any of the three programs, the Company would be eligible to receive development, regulatory, and commercial milestones of up to $350.0 million per program, for potential total consideration of up to $1.35 billion, plus royalty payments on global net sales for each licensed program, if any. If Pfizer does not exercise its Opt-In Right for a program, the Company’s rights in such program revert to the Company and the Company will be required to pay Pfizer earn-out payments equal to a low single digit percentage of net sales earned on such program for a ten-year period,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collaboration term, Pfizer has a one-time option to substitute a disease that is the subject of a specific program with one pre-defined substitute disease. The collaboration has an initial term of four years and may be extended for an additional year on a program-by-program basis. Pfizer may terminate the Pfizer Agreement for convenience on any or all of the programs by providing 90 days’ prior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the Pfizer Agreement under ASC 606, as it includes a customer-vendor relationship as defined under ASC 606 and meets the criteria to be considered a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overall transaction price as of the inception of the contract was determined to be $300.0 million, which is comprised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re-evaluates the transaction price in each reporting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concluded that the licenses to its base editing technology, including the exclusive development and commercialization rights, are not capable of being distinct from the other performance obligations, and as such the Company has determined that the licenses combined with the other research and development services represent performance obligations and no up-front revenue was recognized for the licenses.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selling price of each performance obligation was determined based on the Company’s estimated standalone selling price, or the ESSP. The Company developed the ESSP for all of the performance obligations included in the Pfizer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recognizes revenue for each performance obligation as it is satisfied during the term of the agreement using an input method. The Company allocated the transaction price of $300.0 million to each of the three performance obligations, which includes each of the three base editing programs combined with the research and development services, licenses, and exclusive development and commercialization rights. Revenue is recognized using an input method based on the actual costs incurred as a percentage of total estimated costs towards satisfying the performance obligation as this method provides the most faithful depiction of the entity’s performance in transferring control of the goods and services promised to Pfizer and represents the Company’s best estimate of the period of the obligation. The Company did not recognize any revenue related to the Pfizer Agreement during the three and nine months ended September 30, 2025 and recognized $2.7 million and $8.4 million of revenue related to the Pfizer Agreement during the three and nine months ended September 30, 2024, respectively. The initial four year term of the collaboration extends through December 2025 with an option to extend for an additional year. If the agreement is not extended, the remaining deferred revenue will be recognized at that time. As of September 30, 2025, there was $99.0 million and $10.2 million of current and long-term deferred revenue, respectively, related to the Pfizer Agreement.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Apellis Pharmaceuticals</w:t>
      </w:r>
    </w:p>
    <w:p>
      <w:pPr>
        <w:pStyle w:val="TextBody"/>
        <w:bidi w:val="0"/>
        <w:jc w:val="left"/>
        <w:rPr>
          <w:rFonts w:ascii="Times New Roman" w:hAnsi="Times New Roman"/>
          <w:color w:val="000000"/>
          <w:sz w:val="20"/>
        </w:rPr>
      </w:pPr>
      <w:r>
        <w:rPr>
          <w:rFonts w:ascii="Times New Roman" w:hAnsi="Times New Roman"/>
          <w:color w:val="000000"/>
          <w:sz w:val="20"/>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six base editing programs that target specific genes within the complement system in various organs, including the eye, liver, and brain. Apellis has an exclusive option to license any or all of the six programs, or in each case, an Opt-In Right, and collectively, the Opt-In Rights, and will assume responsibility for subsequent development. As of September 30, 2025, Apellis notified the Company of its decision to opt-in to one of the six base editing programs. As a result of Apellis' decision to opt-in to the program, the Company received a cash opt-in fee of $3.8 million which was recognized as revenue during the three months ended September 30, 2025. The Company may elect to enter into a 50-50 U.S. co-development and co-commercialization agreement with Apellis with respect to one program licensed under the collaboration. The collaboration is managed on an overall basis by an alliance steering committee formed by an equal number of representatives from the Company and Apellis.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collaboration, the Company received a total of $75.0 million in upfront and near-term milestones from Apellis, which was comprised of $50.0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the Apellis Agreement under ASC 606 as it includes a customer-vendor relationship as defined under ASC 606 and meets the criteria to be considered a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overall transaction price as of the inception of the contract was determined to be $75.0 million, which is composed of the upfront payment of $50.0 million and the First Anniversary Payment of $25.0 million. The Company re-evaluates the transaction price in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selling price of each performance obligation was determined based on the Company’s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regularly on a standalone basis. The Company allocated the stand-alone selling price to the performance obligations based on the relative standalone selling price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estimated costs towards satisfying the performance obligation as this method provides the most faithful depiction of the entity’s performance in transferring control of the goods and services promised to Apellis and represents the Company’s best estimate of the period of the obligation. The Company recognized $7.6 million and $19.3 million of revenue related to the Apellis Agreement during the three and nine months ended September 30, 2025, respectively, which includes the $3.8 million of revenue related to Apellis' decision to opt-in to one of the six base editing programs. For the three and nine months ended September 30, 2024, the Company recognized $8.5 million and $16.7 million of revenue related to the Apellis Agreement, respectively. As of September 30, 2025, there was $11.3 million of current deferred revenue related to the Apellis Agreement.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 Common stock and pre-funded common stock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has entered into the Sales Agreement with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September 30, 2025, the Company has sold 13,769,001 shares of its common stock under the Sales Agreement at an average price of $62.75 per share for aggregate gross proceeds of $864.0 million, before deducting commissions and offering expenses payable by the Company. There were no shares sold under the Sales Agreement during the three and nine months ended September 30,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March 2025, the Company closed an underwritten public offering of 16,151,686 shares of the Company’s common stock at a public offering price of $28.48 per share as well as pre-funded warrants to purchase 1,404,988 shares of the Company's common stock at a purchase price of $28.47 (representing the price of $28.48 per share minus the $0.01 per share exercise price of such pre-funded warrant). The pre-funded warrants are immediately exercisable, subject to certain beneficial ownership restrictions, at any time after their original issuance and will not expire. After underwriting discounts and commissions and offering expenses, the Company received net proceeds from the offering of $470.5 million. No pre-funded warrants have been exercised through September 30, 2025. </w:t>
      </w:r>
    </w:p>
    <w:p>
      <w:pPr>
        <w:pStyle w:val="TextBody"/>
        <w:bidi w:val="0"/>
        <w:spacing w:before="0" w:after="120"/>
        <w:jc w:val="left"/>
        <w:rPr>
          <w:rFonts w:ascii="Times New Roman" w:hAnsi="Times New Roman"/>
          <w:sz w:val="20"/>
        </w:rPr>
      </w:pPr>
      <w:r>
        <w:rPr>
          <w:rFonts w:ascii="Times New Roman" w:hAnsi="Times New Roman"/>
          <w:b/>
          <w:color w:val="000000"/>
          <w:sz w:val="20"/>
        </w:rPr>
        <w:t>10. Stock option and grant plan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September 30, 2025, the Company had 16,110,616 shares reserved including 1,807,487 shares available for future issuance, pursuant to the Beam Therapeutics Inc. 2019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Stock-based compensation expense recorded as research and development and general and administrative expenses in the condensed consolidated statements of operations and other comprehensive loss is as follows (in thousands):</w:t>
      </w:r>
    </w:p>
    <w:tbl>
      <w:tblPr>
        <w:tblW w:w="8612"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Company’s equity award plans:</w:t>
      </w:r>
    </w:p>
    <w:tbl>
      <w:tblPr>
        <w:tblW w:w="5978" w:type="dxa"/>
        <w:jc w:val="left"/>
        <w:tblInd w:w="0" w:type="dxa"/>
        <w:tblLayout w:type="fixed"/>
        <w:tblCellMar>
          <w:top w:w="28" w:type="dxa"/>
          <w:left w:w="28" w:type="dxa"/>
          <w:bottom w:w="28" w:type="dxa"/>
          <w:right w:w="28" w:type="dxa"/>
        </w:tblCellMar>
      </w:tblPr>
      <w:tblGrid>
        <w:gridCol w:w="3151"/>
        <w:gridCol w:w="146"/>
        <w:gridCol w:w="146"/>
        <w:gridCol w:w="1036"/>
        <w:gridCol w:w="166"/>
        <w:gridCol w:w="146"/>
        <w:gridCol w:w="214"/>
        <w:gridCol w:w="582"/>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9,605,542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grant date fair value per share of stock options granted in the nine months ended September 30, 2025 was $17.49. As of September 30, 2025, there was $84.2 million of unrecognized compensation expense related to unvested stock options, which is expected to be recognized over a weighted-average remaining vesting period of approximately 2.5 years.</w:t>
      </w:r>
    </w:p>
    <w:p>
      <w:pPr>
        <w:pStyle w:val="TextBody"/>
        <w:bidi w:val="0"/>
        <w:spacing w:before="0" w:after="120"/>
        <w:jc w:val="left"/>
        <w:rPr>
          <w:rFonts w:ascii="Times New Roman" w:hAnsi="Times New Roman"/>
          <w:sz w:val="20"/>
        </w:rPr>
      </w:pPr>
      <w:r>
        <w:rPr>
          <w:rFonts w:ascii="Times New Roman" w:hAnsi="Times New Roman"/>
          <w:b/>
          <w:i/>
          <w:color w:val="000000"/>
          <w:sz w:val="20"/>
        </w:rPr>
        <w:t>Restricted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issues shares of restricted common stock, including both restricted stock units and restricted stock awards. Restricted common stock issued generally vests over a period of two to four years.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the Company’s restricted stock activity: </w:t>
      </w:r>
    </w:p>
    <w:tbl>
      <w:tblPr>
        <w:tblW w:w="6037" w:type="dxa"/>
        <w:jc w:val="left"/>
        <w:tblInd w:w="0" w:type="dxa"/>
        <w:tblLayout w:type="fixed"/>
        <w:tblCellMar>
          <w:top w:w="28" w:type="dxa"/>
          <w:left w:w="28" w:type="dxa"/>
          <w:bottom w:w="28" w:type="dxa"/>
          <w:right w:w="28" w:type="dxa"/>
        </w:tblCellMar>
      </w:tblPr>
      <w:tblGrid>
        <w:gridCol w:w="2971"/>
        <w:gridCol w:w="146"/>
        <w:gridCol w:w="146"/>
        <w:gridCol w:w="931"/>
        <w:gridCol w:w="166"/>
        <w:gridCol w:w="146"/>
        <w:gridCol w:w="306"/>
        <w:gridCol w:w="834"/>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2,781,885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September 30, 2025, there was approximately $57.3 million of unrecognized stock-based compensation expense related to restricted stock that is expected to vest. These costs are expected to be recognized over a weighted-average remaining vesting period of approximately 2.5 years.</w:t>
      </w:r>
    </w:p>
    <w:p>
      <w:pPr>
        <w:pStyle w:val="TextBody"/>
        <w:bidi w:val="0"/>
        <w:jc w:val="left"/>
        <w:rPr>
          <w:rFonts w:ascii="Times New Roman" w:hAnsi="Times New Roman"/>
          <w:sz w:val="20"/>
        </w:rPr>
      </w:pPr>
      <w:r>
        <w:rPr>
          <w:rFonts w:ascii="Times New Roman" w:hAnsi="Times New Roman"/>
          <w:b/>
          <w:i/>
          <w:color w:val="000000"/>
          <w:sz w:val="20"/>
        </w:rPr>
        <w:t>2019 employee stock purchase plan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issued 174,708 and 135,187 shares under the Beam Therapeutics Inc. 2019 Employee Stock Purchase Plan, or ESPP, during the nine months ended September 30, 2025 and 2024, respectively. As of September 30, 2025, the Company had 3,590,328 shares available for issuance under the ESPP.</w:t>
      </w:r>
    </w:p>
    <w:p>
      <w:pPr>
        <w:pStyle w:val="TextBody"/>
        <w:bidi w:val="0"/>
        <w:jc w:val="left"/>
        <w:rPr>
          <w:rFonts w:ascii="Times New Roman" w:hAnsi="Times New Roman"/>
          <w:color w:val="000000"/>
          <w:sz w:val="20"/>
        </w:rPr>
      </w:pPr>
      <w:r>
        <w:rPr>
          <w:rFonts w:ascii="Times New Roman" w:hAnsi="Times New Roman"/>
          <w:color w:val="000000"/>
          <w:sz w:val="20"/>
        </w:rPr>
        <w:t>Stock-based compensation recognized under the ESPP for the three and nine months ended September 30, 2025 was $0.4 million and $1.2 million, respectively. The Company recognized stock-based compensation under the ESPP of $0.3 million and $1.0 million for the three and nine months ended September 30, 2024, respectively.</w:t>
      </w:r>
    </w:p>
    <w:p>
      <w:pPr>
        <w:pStyle w:val="TextBody"/>
        <w:bidi w:val="0"/>
        <w:spacing w:before="120" w:after="120"/>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periods in which the Company reports a net loss,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Shares of the Company's common stock underlying pre-funded warrants are included in the calculation of the basic and diluted earnings per share. The Company excluded the following potential common shares, presented based on amounts outstanding at period end, from the computation of diluted net loss per share because including them would have had an anti-dilutive effect:</w:t>
      </w:r>
    </w:p>
    <w:tbl>
      <w:tblPr>
        <w:tblW w:w="7184" w:type="dxa"/>
        <w:jc w:val="left"/>
        <w:tblInd w:w="0" w:type="dxa"/>
        <w:tblLayout w:type="fixed"/>
        <w:tblCellMar>
          <w:top w:w="28" w:type="dxa"/>
          <w:left w:w="28" w:type="dxa"/>
          <w:bottom w:w="28" w:type="dxa"/>
          <w:right w:w="28" w:type="dxa"/>
        </w:tblCellMar>
      </w:tblPr>
      <w:tblGrid>
        <w:gridCol w:w="3991"/>
        <w:gridCol w:w="146"/>
        <w:gridCol w:w="146"/>
        <w:gridCol w:w="1036"/>
        <w:gridCol w:w="146"/>
        <w:gridCol w:w="146"/>
        <w:gridCol w:w="146"/>
        <w:gridCol w:w="1036"/>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3,213,366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10,044,622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13,257,988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per share of the Company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3639"/>
        <w:gridCol w:w="146"/>
        <w:gridCol w:w="211"/>
        <w:gridCol w:w="1141"/>
        <w:gridCol w:w="166"/>
        <w:gridCol w:w="146"/>
        <w:gridCol w:w="211"/>
        <w:gridCol w:w="1036"/>
        <w:gridCol w:w="166"/>
        <w:gridCol w:w="146"/>
        <w:gridCol w:w="211"/>
        <w:gridCol w:w="1036"/>
        <w:gridCol w:w="166"/>
        <w:gridCol w:w="146"/>
        <w:gridCol w:w="211"/>
        <w:gridCol w:w="1036"/>
        <w:gridCol w:w="391"/>
      </w:tblGrid>
      <w:tr>
        <w:trPr/>
        <w:tc>
          <w:tcPr>
            <w:tcW w:w="3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102,570,801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82,410,095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97,567,229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82,141,383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 xml:space="preserve">12.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nine months ended September 30, 2025 and 2024, the Company recorded a full valuation allowance on federal and state deferred tax assets since there is insufficient evidence that the deferred tax assets are more likely than not realizable. The Company did not have any tax provision for the nine months ended September 30, 2025 and recorded a tax provision of less than $0.1 million for the nine months ended September 30,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4, 2025, the One Big Beautiful Bill Act, or OBBBA, was signed into law, which includes a broad range of tax reform provisions. The OBBBA made permanent certain provision of the Tax Cuts and Jobs Act of 2017, including 100% bonus depreciation, domestic research cost expensing, and the business interest limitations. The legislation has multiple effective dates, with certain provisions effective in 2025 and others implemented through 2027. The tax provision for the nine months ended September 30, 2025 was not impacted due to the full valuation allowance on deferred tax assets. The legislation could impact the Company’s annual disclosure of its deferred tax assets depending on elections made for the expensing of capitalized research and development costs.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Orbital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described in Note 8, the Company has significant influence over, but does not control, Orbital through its noncontrolling representation on Orbital's board of directors and the Company’s equity interest in Orbital. The Company and Orbital are also parties to a collaboration and license agreement and have multiple common board members.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Founders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made payments of $0.3 million to its founding shareholders for scientific consulting and other expenses for each of the nine months ended September 30, 2025 and 2024, respectively.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14. Segment Data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defines its segments on the basis of the way in which internally reported financial information is regularly reviewed by the chief operating decision maker, or CODM, to analyze financial performance, make decisions, and allocate resources. The Company’s CODM is John Evans, its Chief Executive Officer. The Company manages its operations as a single operating and reportable segment and the measure of segment profit or loss is consolidated net income (loss). The CODM uses net income (loss) in the budget and forecasting process and considers budget-to-actual variances on a quarterly basis when making decisions about the allocation of operating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internal reporting of significant segment expenses is based on the functional classification. External expenses include costs from external manufacturing, clinical and research organizations, supply chain and logistics costs, consultants, and other vendors. Employee related expenses include employee salaries and benefits costs, employee meal, travel and entertainment spend, along with payroll related taxes and other similar items. These functional costs exclude stock-based compensation, facility and information technology costs, depreciation and amortization, and other segment items.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table below provides information about the Company’s segment, including significant expenses, other segment items, certain other segment expenses, and a reconciliation to net income (loss): </w:t>
      </w:r>
    </w:p>
    <w:tbl>
      <w:tblPr>
        <w:tblW w:w="10205" w:type="dxa"/>
        <w:jc w:val="left"/>
        <w:tblInd w:w="0" w:type="dxa"/>
        <w:tblLayout w:type="fixed"/>
        <w:tblCellMar>
          <w:top w:w="28" w:type="dxa"/>
          <w:left w:w="28" w:type="dxa"/>
          <w:bottom w:w="28" w:type="dxa"/>
          <w:right w:w="28" w:type="dxa"/>
        </w:tblCellMar>
      </w:tblPr>
      <w:tblGrid>
        <w:gridCol w:w="4237"/>
        <w:gridCol w:w="146"/>
        <w:gridCol w:w="241"/>
        <w:gridCol w:w="963"/>
        <w:gridCol w:w="189"/>
        <w:gridCol w:w="166"/>
        <w:gridCol w:w="241"/>
        <w:gridCol w:w="842"/>
        <w:gridCol w:w="166"/>
        <w:gridCol w:w="146"/>
        <w:gridCol w:w="224"/>
        <w:gridCol w:w="896"/>
        <w:gridCol w:w="176"/>
        <w:gridCol w:w="154"/>
        <w:gridCol w:w="224"/>
        <w:gridCol w:w="896"/>
        <w:gridCol w:w="298"/>
      </w:tblGrid>
      <w:tr>
        <w:trPr/>
        <w:tc>
          <w:tcPr>
            <w:tcW w:w="4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33,451</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82,988</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24,904</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information technology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(38,166</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(286,388</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Denotes significant segment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derivative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non-controlling equity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equity method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and sublicenses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In-process research and development charges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jc w:val="left"/>
        <w:rPr>
          <w:rFonts w:ascii="Times New Roman" w:hAnsi="Times New Roman"/>
          <w:color w:val="000000"/>
          <w:sz w:val="20"/>
        </w:rPr>
      </w:pPr>
      <w:r>
        <w:rPr>
          <w:rFonts w:ascii="Times New Roman" w:hAnsi="Times New Roman"/>
          <w:color w:val="000000"/>
          <w:sz w:val="20"/>
        </w:rPr>
        <w:t>On October 10, 2025, Bristol Myers Squibb announced that it and Orbital had entered into a definitive merger agreement pursuant to which Bristol Myers Squibb will acquire Orbital for $1.5 billion in cash. As of the announcement, Beam held 75 million shares of Orbital common stock, which represented a fully-diluted ownership stake of approximately 17%. The acquisition is subject to the satisfaction of closing conditions, and the sale price is subject to certain price adjustments and holdbacks. As a result, the Company is unable to predict the timing and final amount of proceeds it may receive from the transaction, if any, with certainty.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In addition to historical financial information, the following discussion and analysis contains forward-looking statements that involve important risks, uncertainties and assumptions. Our actual results may differ materially from those anticipated in these forward-looking statements as a result of many factors, including those discussed in “Risk Factors” in Part II, Item 1A. and elsewhere in this Quarterly Report on Form 10-Q, and in the “Risk Factors Summary” and Part I “Item 1A. Risk Factors” section of our Annual Report on Form 10-K for the fiscal year ended December 31, 2024, or the 2024 Form 10-K. Some of the numbers included herein have been rounded for the convenience of presentation.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 (i) 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 </w:t>
      </w:r>
    </w:p>
    <w:p>
      <w:pPr>
        <w:pStyle w:val="TextBody"/>
        <w:bidi w:val="0"/>
        <w:jc w:val="left"/>
        <w:rPr>
          <w:rFonts w:ascii="Times New Roman" w:hAnsi="Times New Roman"/>
          <w:color w:val="000000"/>
          <w:sz w:val="20"/>
        </w:rPr>
      </w:pPr>
      <w:r>
        <w:rPr>
          <w:rFonts w:ascii="Times New Roman" w:hAnsi="Times New Roman"/>
          <w:color w:val="000000"/>
          <w:sz w:val="20"/>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pStyle w:val="TextBody"/>
        <w:bidi w:val="0"/>
        <w:spacing w:before="120" w:after="120"/>
        <w:jc w:val="left"/>
        <w:rPr>
          <w:rFonts w:ascii="Times New Roman" w:hAnsi="Times New Roman"/>
          <w:sz w:val="20"/>
        </w:rPr>
      </w:pPr>
      <w:r>
        <w:rPr>
          <w:rFonts w:ascii="Times New Roman" w:hAnsi="Times New Roman"/>
          <w:b/>
          <w:color w:val="000000"/>
          <w:sz w:val="20"/>
        </w:rPr>
        <w:t>Hematology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are advancing hematology base editing programs in which hematopoietic stems cells, or HSCs, are collected from a patient, edited using electroporation, a clinically validated technology for the delivery of therapeutic constructs into harvested cells, and then infused back into the patient following a conditioning regimen, such as treatment with busulfan, the standard of care in HSC transplantation, or HSCTs, today. Once reinfused, the HSCs begin repopulating a portion of the bone marrow in a process known as engraftment. The engrafted, edited HSCs give rise to progenitor cell types with the corrected gene sequences. We are deploying this </w:t>
      </w:r>
      <w:r>
        <w:rPr>
          <w:rFonts w:ascii="Times New Roman" w:hAnsi="Times New Roman"/>
          <w:i/>
          <w:color w:val="000000"/>
          <w:sz w:val="20"/>
        </w:rPr>
        <w:t>ex vivo</w:t>
      </w:r>
      <w:r>
        <w:rPr>
          <w:rFonts w:ascii="Times New Roman" w:hAnsi="Times New Roman"/>
          <w:color w:val="000000"/>
          <w:sz w:val="20"/>
        </w:rPr>
        <w:t xml:space="preserve"> approach in our BEAM-101 and ESCAPE base editing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Sickle cell disease, a severe inherited blood disease, is caused by a single point mutation, E6V, in the beta globin gene. This mutation causes the mutated form of hemoglobin S, or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w:t>
      </w:r>
    </w:p>
    <w:p>
      <w:pPr>
        <w:pStyle w:val="TextBody"/>
        <w:bidi w:val="0"/>
        <w:jc w:val="left"/>
        <w:rPr>
          <w:rFonts w:ascii="Times New Roman" w:hAnsi="Times New Roman"/>
          <w:sz w:val="20"/>
        </w:rPr>
      </w:pPr>
      <w:r>
        <w:rPr>
          <w:rFonts w:ascii="Times New Roman" w:hAnsi="Times New Roman"/>
          <w:color w:val="000000"/>
          <w:sz w:val="20"/>
        </w:rPr>
        <w:t xml:space="preserve">We are pursuing a long-term, staged development strategy for our base editing approach to treat hematological diseases that consists of advancing our lead </w:t>
      </w:r>
      <w:r>
        <w:rPr>
          <w:rFonts w:ascii="Times New Roman" w:hAnsi="Times New Roman"/>
          <w:i/>
          <w:color w:val="000000"/>
          <w:sz w:val="20"/>
        </w:rPr>
        <w:t>ex vivo</w:t>
      </w:r>
      <w:r>
        <w:rPr>
          <w:rFonts w:ascii="Times New Roman" w:hAnsi="Times New Roman"/>
          <w:color w:val="000000"/>
          <w:sz w:val="20"/>
        </w:rPr>
        <w:t xml:space="preserve"> program, BEAM-101, in Wave 1, improving patient conditioning regimens in Wave 2, and enabling </w:t>
      </w:r>
      <w:r>
        <w:rPr>
          <w:rFonts w:ascii="Times New Roman" w:hAnsi="Times New Roman"/>
          <w:i/>
          <w:color w:val="000000"/>
          <w:sz w:val="20"/>
        </w:rPr>
        <w:t>in vivo</w:t>
      </w:r>
      <w:r>
        <w:rPr>
          <w:rFonts w:ascii="Times New Roman" w:hAnsi="Times New Roman"/>
          <w:color w:val="000000"/>
          <w:sz w:val="20"/>
        </w:rPr>
        <w:t xml:space="preserve"> base editing with delivery directly into HSCs of patients via lipid nanoparticles, or LNPs, in Wave 3. We believe this suite of technologies – base editing, improved conditioning and </w:t>
      </w:r>
      <w:r>
        <w:rPr>
          <w:rFonts w:ascii="Times New Roman" w:hAnsi="Times New Roman"/>
          <w:i/>
          <w:color w:val="000000"/>
          <w:sz w:val="20"/>
        </w:rPr>
        <w:t xml:space="preserve">in vivo </w:t>
      </w:r>
      <w:r>
        <w:rPr>
          <w:rFonts w:ascii="Times New Roman" w:hAnsi="Times New Roman"/>
          <w:color w:val="000000"/>
          <w:sz w:val="20"/>
        </w:rPr>
        <w:t>delivery for editing HSCs – can maximize the potential applicability of our sickle cell disease programs to patients as well as create a platform for the treatment of many other severe genetic blood disorders.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Wave 1: Ex vivo base editing via autologous transplant with BEAM-101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using base editing to pursue the development of BEAM-101 for the treatment of sickle cell disease. BEAM-101 is a patient-specific, autologous HSC investigational therapy designed to offer a potentially best-in-class profile, incorporating base edits that are intended to mimic single nucleotide polymorphisms seen in individuals with hereditary persistence of fetal hemoglobin, or HPFH. The beneficial effects of the fetal form of hemoglobin, or HbF, to compensate for mutations in adult hemoglobin were first identified in individuals with HPFH. Individuals who carry mutations that would have typically caused them to be beta-thalassemia or sickle cell disease patients, but who also have HPFH, are asymptomatic or experience a much milder form of their disease.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BEAM-101 aims to alleviate the effects of sickle cell disease by increasing HbF, which is expected to increase functional hemoglobin production and, in the case of sickle cell disease, inhibit HbS polymerization.</w:t>
      </w:r>
    </w:p>
    <w:p>
      <w:pPr>
        <w:pStyle w:val="TextBody"/>
        <w:bidi w:val="0"/>
        <w:spacing w:before="0" w:after="120"/>
        <w:jc w:val="left"/>
        <w:rPr>
          <w:rFonts w:ascii="Times New Roman" w:hAnsi="Times New Roman"/>
          <w:sz w:val="20"/>
        </w:rPr>
      </w:pPr>
      <w:r>
        <w:rPr>
          <w:rFonts w:ascii="Times New Roman" w:hAnsi="Times New Roman"/>
          <w:color w:val="000000"/>
          <w:sz w:val="20"/>
        </w:rPr>
        <w:t>We are conducting a Phase 1/2 clinical trial designed to assess the safety and efficacy of BEAM-101 for the treatment of sickle cell disease, which we refer to as our BEACON trial. The BEACON trial includes up to 45 patients ages 18 to 35 with severe sickle cell disease who have received prior treatment with at least one disease-modifying agent with inadequate response or intolerance. Following mobilization, conditioning and treatment with BEAM-101,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w:t>
      </w:r>
      <w:r>
        <w:rPr>
          <w:rFonts w:ascii="Times New Roman" w:hAnsi="Times New Roman"/>
          <w:color w:val="212529"/>
          <w:sz w:val="20"/>
        </w:rPr>
        <w:t xml:space="preserve"> </w:t>
      </w:r>
      <w:r>
        <w:rPr>
          <w:rFonts w:ascii="Times New Roman" w:hAnsi="Times New Roman"/>
          <w:color w:val="000000"/>
          <w:sz w:val="20"/>
        </w:rPr>
        <w:t>The adult and adolescent enrollment targets for BEACON have been achieved. The U.S. Food and Drug Administration, or the FDA, has granted orphan drug designation and regenerative medicine advanced therapy designation to BEAM-101.</w:t>
      </w:r>
    </w:p>
    <w:p>
      <w:pPr>
        <w:pStyle w:val="TextBody"/>
        <w:bidi w:val="0"/>
        <w:jc w:val="left"/>
        <w:rPr>
          <w:rFonts w:ascii="Times New Roman" w:hAnsi="Times New Roman"/>
          <w:color w:val="000000"/>
          <w:sz w:val="20"/>
        </w:rPr>
      </w:pPr>
      <w:r>
        <w:rPr>
          <w:rFonts w:ascii="Times New Roman" w:hAnsi="Times New Roman"/>
          <w:color w:val="000000"/>
          <w:sz w:val="20"/>
        </w:rPr>
        <w:t>In November 2025, we disclosed updated data from the BEACON trial in an abstract for a presentation at the American Society of Hematology 2025 Annual Meeting, or ASH. The abstract contained preliminary data as of June 16, 2025, from 26 patients in the trial, with follow up ranging from 1.0 to 18.7 months. The presentation data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Mean total Hb increased to 12.1 (range: 9.0–14.7) grams per deciliter, or g/dL, by month one (n=24) and 15.6 (range: 11.9–18.6) g/dL by month six (n=11), and was sustained through follow-up. Four patients had total Hb levels above the normal range beyond month six without any associated clinical manifestations or need for therapeutic intervention. Mean endogenous HbF levels exceeded 60% and mean sickling HbS levels were less than 40% by month one, which was sustained through last follow-up. At month six, mean percentage of F-cells was 99.2% (range: 97.0–99.9; n=10) and mean HbF/F-cell was 20.8 (range: 18.0–23.9; n=9) picograms, exceeding the protective threshold against sickling of ten picograms. Peripheral blood editing was at a mean of 68.5% by month three (n=16), 69.6% by month six (n=10), and 72.8% by month twelve (n=5).</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Patients achieved the minimum target cell dose in a median of one cycle of mobilization (range: 1-4). The median time to neutrophil engraftment (n=26) was 18.0 days (range: 12-30), with a median duration of neutropenia of 7.0 days (range: 4-17). The median time to platelet engraftment (n=24) was 19.0 days (range: 11-50).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Key markers of hemolysis and sickling parameters normalized or improved in all patients following BEAM-101 treatment. Erythropoietin levels trended towards normal in all patients, including those with elevated total Hb.</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initial safety profile of BEAM-101 continues to be consistent with busulfan conditioning, autologous HSCT and underlying sickle cell disease. No patients reported Grade 3 or higher adverse events or serious adverse events related to treatment with BEAM-101.The most common treatment-emergent adverse events were consistent with busulfan conditioning, including febrile neutropenia, stomatitis and anemia. As previously reported, one patient died four months after BEAM-101 infusion due to respiratory failure that was determined by the investigator to be likely related to busulfan conditioning and deemed unrelated to BEAM-101. No vaso-occlusive crises were reported post-engraftment.</w:t>
      </w:r>
    </w:p>
    <w:p>
      <w:pPr>
        <w:pStyle w:val="TextBody"/>
        <w:bidi w:val="0"/>
        <w:jc w:val="left"/>
        <w:rPr>
          <w:rFonts w:ascii="Times New Roman" w:hAnsi="Times New Roman"/>
          <w:color w:val="000000"/>
          <w:sz w:val="20"/>
        </w:rPr>
      </w:pPr>
      <w:r>
        <w:rPr>
          <w:rFonts w:ascii="Times New Roman" w:hAnsi="Times New Roman"/>
          <w:color w:val="000000"/>
          <w:sz w:val="20"/>
        </w:rPr>
        <w:t>We expect to provide updated data from the BEACON trial at ASH.</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Wave 2: Non-genotoxic Conditioning</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parallel with Wave 1 development, we also aim to improve the transplant conditioning regimen for patients undergoing HSCT, reducing toxicity challenges associated with HSCT standard of care. Conditioning is a critical component necessary to prepare a patient’s body to receive the </w:t>
      </w:r>
      <w:r>
        <w:rPr>
          <w:rFonts w:ascii="Times New Roman" w:hAnsi="Times New Roman"/>
          <w:i/>
          <w:color w:val="000000"/>
          <w:sz w:val="20"/>
        </w:rPr>
        <w:t>ex vivo</w:t>
      </w:r>
      <w:r>
        <w:rPr>
          <w:rFonts w:ascii="Times New Roman" w:hAnsi="Times New Roman"/>
          <w:color w:val="000000"/>
          <w:sz w:val="20"/>
        </w:rPr>
        <w:t xml:space="preserve"> edited cells that must engraft in the patient’s bone marrow in order to be effective. However, today’s conditioning regimens rely on nonspecific chemotherapy or radiation, which are associated with significant toxicities. As a potential alternative to genotoxic conditioning regimens in HSCT, we are advancing our ESCAPE program. ESCAPE aims to avoid toxicity challenges associated with currently available conditioning regimens for patients with sickle cell disease and beta-thalassemia ahead of autologous HSCT, by combining antibody-based conditioning with multiplex gene edited HSCs. ESCAPE may also have applications in other diseases of the blood and immune system where HSCT could deliver potential benefits but has been limited by toxicities associated with current standard of care conditioning regimens.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nominated a development candidate for our ESCAPE technology comprised of two investigational drug products: BEAM-103, an anti-CD117 monoclonal antibody, and BEAM-104, a cell therapy that includes the same therapeutic edit as BEAM-101 (editing the HBG1/2 genes to elevate fetal hemoglobin), plus an additional edit to CD117 designed to block binding of BEAM-103, allowing the edited cells to evade suppression by the antibody. We intend to advance BEAM-103 and BEAM-104 for development in sickle cell disease and beta-thalassemia, potentially building on the same regulatory, manufacturing, clinical and commercial foundations being established with BEAM-101. The first subject has been dosed in a Phase 1 healthy volunteer clinical trial of BEAM-103.</w:t>
      </w:r>
    </w:p>
    <w:p>
      <w:pPr>
        <w:pStyle w:val="TextBody"/>
        <w:bidi w:val="0"/>
        <w:spacing w:before="0" w:after="120"/>
        <w:jc w:val="left"/>
        <w:rPr>
          <w:rFonts w:ascii="Times New Roman" w:hAnsi="Times New Roman"/>
          <w:sz w:val="20"/>
        </w:rPr>
      </w:pPr>
      <w:r>
        <w:rPr>
          <w:rFonts w:ascii="Times New Roman" w:hAnsi="Times New Roman"/>
          <w:b/>
          <w:i/>
          <w:color w:val="000000"/>
          <w:sz w:val="20"/>
        </w:rPr>
        <w:t>Wave 3: In vivo</w:t>
      </w:r>
      <w:r>
        <w:rPr>
          <w:rFonts w:ascii="Times New Roman" w:hAnsi="Times New Roman"/>
          <w:color w:val="000000"/>
          <w:sz w:val="20"/>
        </w:rPr>
        <w:t xml:space="preserve"> </w:t>
      </w:r>
      <w:r>
        <w:rPr>
          <w:rFonts w:ascii="Times New Roman" w:hAnsi="Times New Roman"/>
          <w:b/>
          <w:i/>
          <w:color w:val="000000"/>
          <w:sz w:val="20"/>
        </w:rPr>
        <w:t>base editing via HSC-targeted LNPs</w:t>
      </w:r>
    </w:p>
    <w:p>
      <w:pPr>
        <w:pStyle w:val="TextBody"/>
        <w:bidi w:val="0"/>
        <w:jc w:val="left"/>
        <w:rPr>
          <w:rFonts w:ascii="Times New Roman" w:hAnsi="Times New Roman"/>
          <w:sz w:val="20"/>
        </w:rPr>
      </w:pPr>
      <w:r>
        <w:rPr>
          <w:rFonts w:ascii="Times New Roman" w:hAnsi="Times New Roman"/>
          <w:color w:val="000000"/>
          <w:sz w:val="20"/>
        </w:rPr>
        <w:t xml:space="preserve">We are also exploring the potential for </w:t>
      </w:r>
      <w:r>
        <w:rPr>
          <w:rFonts w:ascii="Times New Roman" w:hAnsi="Times New Roman"/>
          <w:i/>
          <w:color w:val="000000"/>
          <w:sz w:val="20"/>
        </w:rPr>
        <w:t>in vivo</w:t>
      </w:r>
      <w:r>
        <w:rPr>
          <w:rFonts w:ascii="Times New Roman" w:hAnsi="Times New Roman"/>
          <w:color w:val="000000"/>
          <w:sz w:val="20"/>
        </w:rPr>
        <w:t xml:space="preserve"> base editing programs for sickle cell disease, in which base editors would be delivered to the patient through an infusion of LNPs targeted to HSCs, eliminating the need for transplantation altogether. This approach could provide a more accessible option for patients, particularly in regions where </w:t>
      </w:r>
      <w:r>
        <w:rPr>
          <w:rFonts w:ascii="Times New Roman" w:hAnsi="Times New Roman"/>
          <w:i/>
          <w:color w:val="000000"/>
          <w:sz w:val="20"/>
        </w:rPr>
        <w:t xml:space="preserve">ex vivo </w:t>
      </w:r>
      <w:r>
        <w:rPr>
          <w:rFonts w:ascii="Times New Roman" w:hAnsi="Times New Roman"/>
          <w:color w:val="000000"/>
          <w:sz w:val="20"/>
        </w:rPr>
        <w:t xml:space="preserve">treatment is challenging. In preclinical studies, we achieved </w:t>
      </w:r>
      <w:r>
        <w:rPr>
          <w:rFonts w:ascii="Times New Roman" w:hAnsi="Times New Roman"/>
          <w:i/>
          <w:color w:val="000000"/>
          <w:sz w:val="20"/>
        </w:rPr>
        <w:t xml:space="preserve">in vivo </w:t>
      </w:r>
      <w:r>
        <w:rPr>
          <w:rFonts w:ascii="Times New Roman" w:hAnsi="Times New Roman"/>
          <w:color w:val="000000"/>
          <w:sz w:val="20"/>
        </w:rPr>
        <w:t>validation of our most potent HSC-directed LNP, demonstrating: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durable, dose-dependent mRNA transfection in HSCs, resulting in fluorescent reporter expression in more than 40% of cells, maintained out to 16 weeks post-delivery;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efficient transfection of human CD34+ cells </w:t>
      </w:r>
      <w:r>
        <w:rPr>
          <w:rFonts w:ascii="Times New Roman" w:hAnsi="Times New Roman"/>
          <w:i/>
          <w:color w:val="000000"/>
          <w:sz w:val="20"/>
        </w:rPr>
        <w:t>in vitro</w:t>
      </w:r>
      <w:r>
        <w:rPr>
          <w:rFonts w:ascii="Times New Roman" w:hAnsi="Times New Roman"/>
          <w:color w:val="000000"/>
          <w:sz w:val="20"/>
        </w:rPr>
        <w: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efficient transfection of nearly 20% of CD34+ HSCs in humanized mice and non-human primates at a dose of 1.0 mg/kg.</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Genetic Diseases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hAnsi="Times New Roman"/>
          <w:i/>
          <w:color w:val="000000"/>
          <w:sz w:val="20"/>
        </w:rPr>
        <w:t>in vivo</w:t>
      </w:r>
      <w:r>
        <w:rPr>
          <w:rFonts w:ascii="Times New Roman" w:hAnsi="Times New Roman"/>
          <w:color w:val="000000"/>
          <w:sz w:val="20"/>
        </w:rPr>
        <w:t xml:space="preserve">. Because only one dose of a base editing therapy may be needed in a course of treatment, LNPs are a suitable delivery modality that we believe is unlikely to face the complications seen with chronic use of LNPs, such as those observed when delivering oligonucleotides or mRNA for gene therapy. All of the components of the LNP, as well as the mRNA encoding the base editor, are well-defined and can be manufactured synthetically, providing the opportunity for scalable manufacturing. We are currently using LNPs to advance BEAM-302 and BEAM-301. </w:t>
      </w:r>
    </w:p>
    <w:p>
      <w:pPr>
        <w:pStyle w:val="TextBody"/>
        <w:bidi w:val="0"/>
        <w:spacing w:before="0" w:after="120"/>
        <w:jc w:val="left"/>
        <w:rPr>
          <w:rFonts w:ascii="Times New Roman" w:hAnsi="Times New Roman"/>
          <w:sz w:val="20"/>
        </w:rPr>
      </w:pPr>
      <w:r>
        <w:rPr>
          <w:rFonts w:ascii="Times New Roman" w:hAnsi="Times New Roman"/>
          <w:b/>
          <w:i/>
          <w:color w:val="000000"/>
          <w:sz w:val="20"/>
        </w:rPr>
        <w:t>BEAM-302: In vivo</w:t>
      </w:r>
      <w:r>
        <w:rPr>
          <w:rFonts w:ascii="Times New Roman" w:hAnsi="Times New Roman"/>
          <w:color w:val="000000"/>
          <w:sz w:val="20"/>
        </w:rPr>
        <w:t xml:space="preserve"> </w:t>
      </w:r>
      <w:r>
        <w:rPr>
          <w:rFonts w:ascii="Times New Roman" w:hAnsi="Times New Roman"/>
          <w:b/>
          <w:i/>
          <w:color w:val="000000"/>
          <w:sz w:val="20"/>
        </w:rPr>
        <w:t>LNP liver-targeting for AATD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BEAM-302 is a liver-targeting LNP formulation of base editing reagents designed to offer a one-time treatment to correct the E342K point mutation (PiZZ genotype) predominantly responsible for the severe form of Alpha-1 Antitrypsin Deficiency, or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protein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100,000 individuals in the United States have two copies of the Z allele. There are currently no curative treatments for patients with AATD.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conducting a Phase 1/2 open label, dose exploration and dose expansion clinical trial of BEAM-302 for the treatment of AATD. The trial will evaluate the safety, tolerability, pharmacodynamics, pharmacokinetics and efficacy of BEAM-302. Part A of the trial is designed to evaluate AATD patients with lung disease, and Part B will evaluate AATD patients with mild to moderate liver disease with or without lung disease.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and April 2025, we announced positive initial safety and efficacy data from nine patients in the dose escalation portion of the trial with a data cut-off date of February 26, 2025. Initial results showed that treatment with BEAM-302 was well tolerated with an acceptable safety profile at all dose levels explored. All adverse events, or AEs, were mild to moderate, with no serious AEs reported and no dose-limiting toxicities as of the data cut-off. Grade 1 asymptomatic alanine transaminase and aspartate aminotransferase elevations and transient Grade 1 infusion-related reactions were observed in some patients and did not require treatment.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a single infusion of BEAM-302, rapid, durable, and dose-dependent increases in total AAT, new production of corrected M-AAT, and decreases in mutant Z-AAT were observed in circulation. Changes in total AAT were observed by turbidimetry assays as early as Day 7, plateaued around Day 21 and were maintained for the duration of follow-up (up to Month 6 in the 15 mg cohort, Month 2 in the 30 mg cohort, and Day 28 in the 60 mg cohort). Increased total AAT was functional as determined by both neutrophil elastase inhibition and neutrophil elastase binding assays.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initial results are detailed in the table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92" w:type="dxa"/>
        <w:jc w:val="left"/>
        <w:tblInd w:w="0" w:type="dxa"/>
        <w:tblLayout w:type="fixed"/>
        <w:tblCellMar>
          <w:top w:w="28" w:type="dxa"/>
          <w:left w:w="28" w:type="dxa"/>
          <w:bottom w:w="28" w:type="dxa"/>
          <w:right w:w="28" w:type="dxa"/>
        </w:tblCellMar>
      </w:tblPr>
      <w:tblGrid>
        <w:gridCol w:w="5461"/>
        <w:gridCol w:w="146"/>
        <w:gridCol w:w="991"/>
        <w:gridCol w:w="146"/>
        <w:gridCol w:w="1066"/>
        <w:gridCol w:w="146"/>
        <w:gridCol w:w="1036"/>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46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3531" w:type="dxa"/>
            <w:gridSpan w:val="6"/>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Mean (Standard Error)</w:t>
            </w:r>
          </w:p>
        </w:tc>
      </w:tr>
      <w:tr>
        <w:trPr/>
        <w:tc>
          <w:tcPr>
            <w:tcW w:w="54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3531" w:type="dxa"/>
            <w:gridSpan w:val="6"/>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54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Dose Cohorts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15mg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30mg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60mg</w:t>
            </w:r>
          </w:p>
        </w:tc>
      </w:tr>
      <w:tr>
        <w:trPr/>
        <w:tc>
          <w:tcPr>
            <w:tcW w:w="54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(n=3)</w:t>
            </w:r>
          </w:p>
        </w:tc>
      </w:tr>
      <w:tr>
        <w:trPr/>
        <w:tc>
          <w:tcPr>
            <w:tcW w:w="5461"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Baseline</w:t>
            </w:r>
            <w:r>
              <w:rPr>
                <w:rFonts w:ascii="Times New Roman" w:hAnsi="Times New Roman"/>
                <w:color w:val="000000"/>
                <w:sz w:val="13"/>
              </w:rPr>
              <w:t>+</w:t>
            </w:r>
            <w:r>
              <w:rPr>
                <w:rFonts w:ascii="Times New Roman" w:hAnsi="Times New Roman"/>
                <w:color w:val="000000"/>
                <w:sz w:val="20"/>
              </w:rPr>
              <w:t> total AAT* (µM)</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 (0.22)</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06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 (0.25)</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 (0.30)</w:t>
            </w:r>
          </w:p>
        </w:tc>
      </w:tr>
      <w:tr>
        <w:trPr/>
        <w:tc>
          <w:tcPr>
            <w:tcW w:w="54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AAT* at Day 28 (µM)</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 (0.66)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 (1.42)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12.4 (1.03)</w:t>
            </w:r>
          </w:p>
        </w:tc>
      </w:tr>
      <w:tr>
        <w:trPr/>
        <w:tc>
          <w:tcPr>
            <w:tcW w:w="5461" w:type="dxa"/>
            <w:tcBorders>
              <w:left w:val="single" w:sz="4" w:space="0" w:color="000000"/>
              <w:bottom w:val="single" w:sz="4" w:space="0" w:color="000000"/>
              <w:right w:val="single" w:sz="4" w:space="0" w:color="000000"/>
            </w:tcBorders>
            <w:shd w:fill="CCEE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Fold change in total AAT* from baseline at Day 28</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1.6x (0.08)</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06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1.9x (0.21)</w:t>
            </w:r>
          </w:p>
        </w:tc>
        <w:tc>
          <w:tcPr>
            <w:tcW w:w="14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00000"/>
              <w:right w:val="single" w:sz="4"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2.8x (0.06)</w:t>
            </w:r>
          </w:p>
        </w:tc>
      </w:tr>
      <w:tr>
        <w:trPr/>
        <w:tc>
          <w:tcPr>
            <w:tcW w:w="54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from baseline in circulating mutant Z-AAT** at Day 28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 (8.0)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 (15.5)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-79%</w:t>
            </w:r>
          </w:p>
        </w:tc>
      </w:tr>
    </w:tbl>
    <w:p>
      <w:pPr>
        <w:pStyle w:val="TextBody"/>
        <w:bidi w:val="0"/>
        <w:spacing w:before="120" w:after="120"/>
        <w:jc w:val="left"/>
        <w:rPr/>
      </w:pPr>
      <w:r>
        <w:rPr/>
        <w:t> </w:t>
      </w:r>
    </w:p>
    <w:tbl>
      <w:tblPr>
        <w:tblW w:w="9467" w:type="dxa"/>
        <w:jc w:val="left"/>
        <w:tblInd w:w="0" w:type="dxa"/>
        <w:tblLayout w:type="fixed"/>
        <w:tblCellMar>
          <w:top w:w="28" w:type="dxa"/>
          <w:left w:w="28" w:type="dxa"/>
          <w:bottom w:w="28" w:type="dxa"/>
          <w:right w:w="28" w:type="dxa"/>
        </w:tblCellMar>
      </w:tblPr>
      <w:tblGrid>
        <w:gridCol w:w="331"/>
        <w:gridCol w:w="9136"/>
      </w:tblGrid>
      <w:tr>
        <w:trPr/>
        <w:tc>
          <w:tcPr>
            <w:tcW w:w="331"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9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Baseline defined as average of all assessments conducted within screening period prior to BEAM-302 infusion.</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measured by turbidimetry</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measured by liquid chromatography-mass spectrometry (LC-MS)</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finalize dose selection and prepare BEAM-302 for registrational development, we have expanded dose exploration in Part A of the Phase 1/2 trial and initiated dosing in Part B. In Part A, we are enrolling a total of six patients each in the 60 mg and 75 mg cohorts and have dosed the first patient in a multi-dose cohort of two 60 mg doses administered eight weeks apart. Continued dose escalation may also be evaluated based on ongoing safety and efficacy findings. In Part B, patients will initially receive 30 mg of BEAM-302, followed by additional dose escalation cohorts. The first patient has been dosed in the first cohort in Part B of the trial.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August 1, 2025, a total of 17 patients had been dosed in Part A, with follow-up ranging from three days to 14 months. All AEs were mild to moderate, with no serious AEs and no dose-limiting toxicities reported. All liver transaminase elevations continued to be Grade 1 or below and resolved to normal without intervention. All infusion-related reactions were mild to moderate. Treatment with BEAM-302 continued to demonstrate restoration of AAT physiology by inducing production of corrected and functional M-AAT, reducing circulating mutant Z-AAT, and correcting the disease-causing mutation in a dose-dependent manner as measured by the percent change in total circulating AAT from baseline. Changes in total and functional AAT levels and the ratio of circulating M-AAT to Z-AAT continued to be durable for all patients.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to finalize dose selection for registrational development based on the totality of data from the BEAM-302 trial. Clinical data from the dose-escalation portions of Part A and Part B are expected to be shared in early 2026, along with an updated clinical development plan for BEAM-302 in patients with AATD.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2025, the FDA cleared the investigational new drug application, or IND, for BEAM-302 for the treatment of AATD, enabling us to begin activating sites in the United States. In May 2025, the FDA granted regenerative medicine advanced therapy and orphan drug designations to BEAM-302.</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BEAM-301: In vivo LNP liver-targeting for GSDIa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BEAM-301 is a liver-targeting LNP formulation of base editing reagents designed to correct the R83C mutation, the most prevalent disease-causing mutation for, and the mutation which results in the most severe form of, GSDIa. GSDIa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conducting a Phase 1/2 clinical trial of BEAM-301 at a select number of sites in the United States. The trial is an open-label, multi-cohort, single-ascending dose evaluation of BEAM-301 for the treatment of GSDIa in patients with the R83C mutation. Key endpoints of the trial include safety and tolerability, time to hypoglycemia during fasting, and changes from baseline in corn starch supplementation. In May 2025, we announced the dosing of the first patient in the trial.</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portfolio of precision gene editing technologies</w:t>
      </w:r>
    </w:p>
    <w:p>
      <w:pPr>
        <w:pStyle w:val="TextBody"/>
        <w:bidi w:val="0"/>
        <w:jc w:val="left"/>
        <w:rPr>
          <w:rFonts w:ascii="Times New Roman" w:hAnsi="Times New Roman"/>
          <w:color w:val="000000"/>
          <w:sz w:val="20"/>
        </w:rPr>
      </w:pPr>
      <w:r>
        <w:rPr>
          <w:rFonts w:ascii="Times New Roman" w:hAnsi="Times New Roman"/>
          <w:color w:val="000000"/>
          <w:sz w:val="20"/>
        </w:rPr>
        <w:t>We have licensed a portfolio of three additional complementary gene editing technologies – prime editing, Cas12b nuclease editing and RNA base editing – for certain fields. Combined with base editing, we have assembled a broad and versatile portfolio of next generation gene editing technologies for the potential treatment of many severe diseases.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a license to prime editing from Prime Medicine, Inc. Prime editing may be able to achieve the rewriting of short sequences of DNA at a target location. Prime editing utilizes a CRISPR protein to target a mutation site in DNA and to nick a single strand of the target DNA. The guide RNA allows the CRISPR protein to recognize a DNA sequence that is complementary to the guide RNA and also carries a primer for reverse transcription and a replacement template. The reverse transcriptase copies the template sequence in the nicked site, installing the edit. As with base editing, prime editing does not cause double-stranded breaks in the target DNA, resulting in lower insertion and deletion rates than gene editing technologies that rely on double stranded breaks.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the exclusive right to develop prime editing technology for the creation or modification of any single base transition mutations, as well as any edits made for the treatment of sickle cell disease. Transition mutations (i.e., A-to-G, G-to-A, C-to-T, or T-to-C) are the largest single class of disease-associated genetic mutations and include all of our current targets for base editing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also have a license agreement with The Broad Institute, Inc., or Broad Institute, that gives us access to the Cas12b nuclease family, which allows us to make “cut” edits, which may be appropriate for some applications that require a double stranded break, or to use the general gene targeting ability of Cas12b for other gene editing applications.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Broad Institute license also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 </w:t>
      </w:r>
    </w:p>
    <w:p>
      <w:pPr>
        <w:pStyle w:val="TextBody"/>
        <w:bidi w:val="0"/>
        <w:spacing w:before="0" w:after="120"/>
        <w:jc w:val="left"/>
        <w:rPr>
          <w:rFonts w:ascii="Times New Roman" w:hAnsi="Times New Roman"/>
          <w:sz w:val="20"/>
        </w:rPr>
      </w:pPr>
      <w:r>
        <w:rPr>
          <w:rFonts w:ascii="Times New Roman" w:hAnsi="Times New Roman"/>
          <w:b/>
          <w:color w:val="000000"/>
          <w:sz w:val="20"/>
        </w:rPr>
        <w:t>Collaborations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believe our collection of base editing, gene editing and delivery technologies has significant potential across a broad array of genetic diseases. To fully realize this potential, we have established and plan to continue to seek out innovative collaborations, licenses, and strategic alliances with pioneering companies and with leading academic and research institutions. Additionally, we have and intend to continue to pursue relationships that potentially allow us to accelerate our preclinical research and development efforts. We believe these relationships will allow us to aggressively pursue our vision of maximizing the potential of base editing to provide life-long cures for patients suffering from serious diseases.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Pfizer</w:t>
      </w:r>
    </w:p>
    <w:p>
      <w:pPr>
        <w:pStyle w:val="TextBody"/>
        <w:bidi w:val="0"/>
        <w:jc w:val="left"/>
        <w:rPr>
          <w:rFonts w:ascii="Times New Roman" w:hAnsi="Times New Roman"/>
          <w:sz w:val="20"/>
        </w:rPr>
      </w:pPr>
      <w:r>
        <w:rPr>
          <w:rFonts w:ascii="Times New Roman" w:hAnsi="Times New Roman"/>
          <w:color w:val="000000"/>
          <w:sz w:val="20"/>
        </w:rPr>
        <w:t xml:space="preserve">In December 2021, we entered into a four-year research collaboration agreement with Pfizer Inc., or Pfizer, focused on </w:t>
      </w:r>
      <w:r>
        <w:rPr>
          <w:rFonts w:ascii="Times New Roman" w:hAnsi="Times New Roman"/>
          <w:i/>
          <w:color w:val="000000"/>
          <w:sz w:val="20"/>
        </w:rPr>
        <w:t xml:space="preserve">in vivo </w:t>
      </w:r>
      <w:r>
        <w:rPr>
          <w:rFonts w:ascii="Times New Roman" w:hAnsi="Times New Roman"/>
          <w:color w:val="000000"/>
          <w:sz w:val="20"/>
        </w:rPr>
        <w:t>base editing programs for three targets for rare genetic diseases of the liver, muscle and central nervous system. Under the terms of the agreement, we will conduct all research activities through development candidate selection for three pre-specified, undisclosed targets. Pfizer may opt in to exclusive, worldwide licenses to each development candidate, after which it will be responsible for all development activities, as well as potential regulatory approvals and commercialization, for each such development candidate. We have a right to opt in, at the end of Phase 1/2 clinical trials, upon the payment of an option exercise fee, to a global co-development and co-commercialization agreement with respect to one program licensed under the collaboration pursuant to which we and Pfizer would share net profits as well as development and commercialization costs in a 35%/65% ratio (Beam/Pfizer).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Apellis Pharmaceuticals</w:t>
      </w:r>
    </w:p>
    <w:p>
      <w:pPr>
        <w:pStyle w:val="TextBody"/>
        <w:bidi w:val="0"/>
        <w:jc w:val="left"/>
        <w:rPr>
          <w:rFonts w:ascii="Times New Roman" w:hAnsi="Times New Roman"/>
          <w:color w:val="000000"/>
          <w:sz w:val="20"/>
        </w:rPr>
      </w:pPr>
      <w:r>
        <w:rPr>
          <w:rFonts w:ascii="Times New Roman" w:hAnsi="Times New Roman"/>
          <w:color w:val="000000"/>
          <w:sz w:val="20"/>
        </w:rPr>
        <w:t>In June 2021, we entered into a research collaboration agreement, or the Apellis Agreement, with Apellis Pharmaceuticals, Inc., or Apellis, focused on the use of our base editing technology to discover new treatments for complement system-driven diseases. Under the terms of the Apellis Agreement, we will conduct preclinical research on six base editing programs that target specific genes within the complement system in various organs, including the eye, liver, and brain. Apellis has an exclusive option to license any or all of the six programs and will assume responsibility for subsequent development. As of September 30, 2025, Apellis notified us of its decision to opt in to one of the six base editing programs. As a result of Apellis' decision to opt in to the program, we received a cash opt in fee of $3.8 million during the three months ended September 30, 2025. We may elect to enter into a 50-50 U.S. co-development and co-commercialization agreement with Apellis with respect to the program licensed under the collaboration.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Verve Therapeutics and Eli Lilly and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2019, we entered into a collaboration and license agreement, or the Verve Agreement, with Verve Therapeutics, Inc., or Verve, a company focused on gene editing for cardiovascular disease treatments, and in July 2022, we and Verve amended the Verve Agreement. Under the terms of the Verve Agreement, as amended, we granted Verve exclusive worldwide licenses under certain of our editing technologies for human therapeutic applications against a total of three liver-mediated, cardiovascular disease targets, including use of our base editing technology for each of these targets and use of certain of our gene editing technology for two of such targets. In exchange, we received shares of Verve common stock. In October 2023, we entered into a transfer and delegation agreement, or the Lilly Agreement, with Eli Lilly and Company, or Lilly, pursuant to which Lilly acquired certain assets and other rights under the Verve Agreement, including our opt-in rights to co-develop and co-commercialize each of Verve’s base editing programs for cardiovascular disease, which consist of programs targeting PCSK9, ANGPTL3 and an undisclosed liver-mediated, cardiovascular target. In addition, Lilly acquired the right to receive any future milestone or royalty payments payable to us under the Verve Agreement. Under the terms of the Lilly Agreement, we received a $200.0 million payment and are eligible to receive up to $350.0 million in potential future development-stage payments upon the completion of certain clinical, regulatory and alliance events, of which $25.0 million has been received through September 30, 2025. There were no milestone payments received during the nine months ended September 30, 2025. In July 2025, Lilly announced that it had completed its acquisition of Verve.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Sana Biotechnology</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hAnsi="Times New Roman"/>
          <w:i/>
          <w:color w:val="000000"/>
          <w:sz w:val="20"/>
        </w:rPr>
        <w:t>ex vivo</w:t>
      </w:r>
      <w:r>
        <w:rPr>
          <w:rFonts w:ascii="Times New Roman" w:hAnsi="Times New Roman"/>
          <w:color w:val="000000"/>
          <w:sz w:val="20"/>
        </w:rPr>
        <w:t xml:space="preserve"> engineered cell therapy programs. Under the terms of the Sana Agreement, licensed products include certain specified allogeneic T cell and stem cell-derived products directed at specified genetic targets, with certain limited rights for Sana to add and substitute such products and targets. The Sana Agreement excludes the grant of any Beam-controlled rights to perform base editing. Sana is conducting a first-in-human trial of SC291, its CD19-targeted allogeneic CAR-T cell therapy, in patients with various B-cell mediated autoimmune diseases. Sana is also conducting a first-in-human trial of SC262, its CD22-directed allogeneic CAR-T cell therapy, in patients with relapsed or refractory B-cell malignancies.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Orbital Therapeutics</w:t>
      </w:r>
    </w:p>
    <w:p>
      <w:pPr>
        <w:pStyle w:val="TextBody"/>
        <w:bidi w:val="0"/>
        <w:jc w:val="left"/>
        <w:rPr>
          <w:rFonts w:ascii="Times New Roman" w:hAnsi="Times New Roman"/>
          <w:color w:val="000000"/>
          <w:sz w:val="20"/>
        </w:rPr>
      </w:pPr>
      <w:r>
        <w:rPr>
          <w:rFonts w:ascii="Times New Roman" w:hAnsi="Times New Roman"/>
          <w:color w:val="000000"/>
          <w:sz w:val="20"/>
        </w:rPr>
        <w:t>In September 2022, we entered into a license and research collaboration agreement, or the Orbital Agreement, with Orbital, pursuant to which each of us have granted the other non-exclusive licenses to certain technology controlled during the three years after entry into the Orbital Agreement that are necessary or reasonably useful for the non-viral delivery or the design or manufacture of RNA for the prevention, treatment or diagnosis of human disease. Our license to Orbital is for all fields other than the Beam field, as described below, and also excludes the targets and substantially all of the indications that are the subject of our existing programs. The Beam field consists of all products and biologics that function in the process of gene editing or conditioning for use in cell transplantation, or that act in combination with any such products or biologics. Orbital’s license to us is for all fields other than Orbital’s field, which consists of products and biologics that function as vaccines and also of therapeutic proteins, other than therapeutic proteins (i) that use gene editing, (ii) for use in conditioning, (iii) for use in regenerative medicine, (iv) for use as a CAR immune therapy, including CAR-T, CAR-NK and CAR-macrophage compositions, (v) for use as a T-cell receptor therapy or (vi) that modulate certain immune responses. On October 10, 2025, Bristol Myers Squibb announced that it and Orbital had entered into a definitive merger agreement pursuant to which Bristol Myers Squibb will acquire Orbital for $1.5 billion in cash. As of the announcement, we held 75 million shares of Orbital common stock, which represented a fully-diluted ownership stake of approximately 17%. The acquisition is subject to the satisfaction of closing conditions, and the sale price is subject to certain price adjustments and holdbacks. As a result, we are unable to predict the timing and final amount of proceeds we may receive from the transaction, if any, with certainty.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we have prepared in accordance with U.S. generally accepted accounting principles. The preparation of our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critical accounting policies are those policies which require the most significant judgments and estimates in the preparation of our condensed consolidated financial statements. We have determined that our most critical accounting policies are those relating to stock-based compensation, variable interest entities, fair value measurements, and leases. There have been no significant changes to our existing critical accounting policies and significant judgments and estimates discussed in the 2024 Form 10-K.</w:t>
      </w:r>
    </w:p>
    <w:p>
      <w:pPr>
        <w:pStyle w:val="TextBody"/>
        <w:bidi w:val="0"/>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Due to the critical importance of high-quality manufacturing and control of production timing and know-how, we have established a 100,000 square foot manufacturing facility in Research Triangle Park, North Carolina intended to support a broad range of clinical programs. The cGMP facility is designed to support manufacturing for our </w:t>
      </w:r>
      <w:r>
        <w:rPr>
          <w:rFonts w:ascii="Times New Roman" w:hAnsi="Times New Roman"/>
          <w:i/>
          <w:color w:val="000000"/>
          <w:sz w:val="20"/>
        </w:rPr>
        <w:t>ex vivo</w:t>
      </w:r>
      <w:r>
        <w:rPr>
          <w:rFonts w:ascii="Times New Roman" w:hAnsi="Times New Roman"/>
          <w:color w:val="000000"/>
          <w:sz w:val="20"/>
        </w:rPr>
        <w:t xml:space="preserve"> cell therapy programs in hematology and </w:t>
      </w:r>
      <w:r>
        <w:rPr>
          <w:rFonts w:ascii="Times New Roman" w:hAnsi="Times New Roman"/>
          <w:i/>
          <w:color w:val="000000"/>
          <w:sz w:val="20"/>
        </w:rPr>
        <w:t>in vivo</w:t>
      </w:r>
      <w:r>
        <w:rPr>
          <w:rFonts w:ascii="Times New Roman" w:hAnsi="Times New Roman"/>
          <w:color w:val="000000"/>
          <w:sz w:val="20"/>
        </w:rPr>
        <w:t xml:space="preserve"> non-viral delivery programs for liver and liver-mediated diseases, with the capability to scale-up to support potential commercial supply. For our initial clinical trials, we expect to rely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conducting clinical trials, maintaining and expanding internal manufacturing capabilities, business planning, raising capital and providing general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administrative support for these operations. To date, we have financed our operations primarily through the sales of our redeemable convertible preferred stock, proceeds from offerings of our common stock and payments received under collaboration and license agreements.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an early-stage company, and the majority of our programs are at a preclinical or clinical stage of development. To date, we have not generated any revenue from product sales and do not expect to generate revenue from the sale of products for the foreseeable future. Our revenue to date has been primarily derived from license and collaboration agreements with partners. Since inception we have incurred significant operating losses. Our net losses for the nine months ended September 30, 2025 and 2024 were $324.3 million and $286.4 million, respectively. As of September 30, 2025, we had an accumulated deficit of $1.9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April 2019, we entered into the Verve Agreement with Verve, a company focused on gene editing for cardiovascular disease treatments. In June 2021, we entered into the Apellis Agreement with Apellis, focused on the use of our base editing technology to discover new treatments for complement system-driven diseases. In October 2021, we entered into the Sana Agreement with Sana pursuant to which we granted Sana non-exclusive research and development and commercial rights to our CRISPR Cas12b technology to perform nuclease editing for certain </w:t>
      </w:r>
      <w:r>
        <w:rPr>
          <w:rFonts w:ascii="Times New Roman" w:hAnsi="Times New Roman"/>
          <w:i/>
          <w:color w:val="000000"/>
          <w:sz w:val="20"/>
        </w:rPr>
        <w:t xml:space="preserve">ex vivo </w:t>
      </w:r>
      <w:r>
        <w:rPr>
          <w:rFonts w:ascii="Times New Roman" w:hAnsi="Times New Roman"/>
          <w:color w:val="000000"/>
          <w:sz w:val="20"/>
        </w:rPr>
        <w:t xml:space="preserve">engineered cell therapy programs. In December 2021, we entered into the Pfizer Agreement with Pfizer, focused on </w:t>
      </w:r>
      <w:r>
        <w:rPr>
          <w:rFonts w:ascii="Times New Roman" w:hAnsi="Times New Roman"/>
          <w:i/>
          <w:color w:val="000000"/>
          <w:sz w:val="20"/>
        </w:rPr>
        <w:t>in vivo</w:t>
      </w:r>
      <w:r>
        <w:rPr>
          <w:rFonts w:ascii="Times New Roman" w:hAnsi="Times New Roman"/>
          <w:color w:val="000000"/>
          <w:sz w:val="20"/>
        </w:rPr>
        <w:t xml:space="preserve"> base editing programs for three targets for rare genetic diseases of the liver, muscle and central nervous system. In September 2022, we entered into the Orbital Agreement with Orbital, a company focused on advancing non-viral delivery and RNA technologies. In October 2023, we entered into the Lilly Agreement with Lilly, pursuant to which Lilly acquired certain assets and other rights under the Verve Agreement, including our opt-in rights to co-develop and co-commercialize Verve’s base editing programs for cardiovascular disease.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generated any revenue to date from product sales and do not expect to do so in the near future. During the nine months ended September 30, 2025 and 2024, we recognized $25.6 million and $33.5 million of license and collaboration revenue, respectively. </w:t>
      </w:r>
    </w:p>
    <w:p>
      <w:pPr>
        <w:pStyle w:val="TextBody"/>
        <w:bidi w:val="0"/>
        <w:spacing w:before="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performing research and development activities,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our clinical trials, including contract research organization costs and costs related to study preparation;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materials for use in our preclinical studies, our IND enabling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investments in delivery technology for our base editors;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research programs, including under agreements with third parties, such as consultants, contractors and contract research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bonuses, benefits and stock-based compensation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the building of our base editing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regulatory filings;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 research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expenses which include direct and allocated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early phases of development, our research and development costs are often devoted to product platform and proof-of-concept preclinical studies that are not necessarily allocable to a specific target.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as we advance our programs through their planned preclinical and clinical development.</w:t>
      </w:r>
    </w:p>
    <w:p>
      <w:pPr>
        <w:pStyle w:val="TextBody"/>
        <w:bidi w:val="0"/>
        <w:spacing w:before="0" w:after="12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to support our increased research and development and commercial readiness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 </w:t>
      </w:r>
    </w:p>
    <w:p>
      <w:pPr>
        <w:pStyle w:val="TextBody"/>
        <w:bidi w:val="0"/>
        <w:spacing w:before="0" w:after="120"/>
        <w:jc w:val="left"/>
        <w:rPr>
          <w:rFonts w:ascii="Times New Roman" w:hAnsi="Times New Roman"/>
          <w:sz w:val="20"/>
        </w:rPr>
      </w:pPr>
      <w:r>
        <w:rPr>
          <w:rFonts w:ascii="Times New Roman" w:hAnsi="Times New Roman"/>
          <w:b/>
          <w:i/>
          <w:color w:val="000000"/>
          <w:sz w:val="20"/>
        </w:rPr>
        <w:t>Other income and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 income and expenses consist of the following items: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 xml:space="preserve">Change in fair value of derivative liabilities </w:t>
      </w:r>
      <w:r>
        <w:rPr>
          <w:rFonts w:ascii="Times New Roman" w:hAnsi="Times New Roman"/>
          <w:color w:val="000000"/>
          <w:sz w:val="20"/>
        </w:rPr>
        <w:t>consists primarily of remeasurement gains or losses associated with changes in success payment liabilities associated with our license agreement with Harvard, dated as of June 27, 2017, as amended, or the Harvard License Agreement, the license agreement with The Broad Institute, as amended, dated as of May 9, 2018, or the Broad License Agreement, and settlement payments associated with a settlement agreement with a research institution.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Change in fair value of non-controlling equity investments</w:t>
      </w:r>
      <w:r>
        <w:rPr>
          <w:color w:val="000000"/>
        </w:rPr>
        <w:t xml:space="preserve"> </w:t>
      </w:r>
      <w:r>
        <w:rPr>
          <w:rFonts w:ascii="Times New Roman" w:hAnsi="Times New Roman"/>
          <w:color w:val="000000"/>
          <w:sz w:val="20"/>
        </w:rPr>
        <w:t>consists of changes in the fair value of our investments in equity securities.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Change in fair value of contingent consideration liabilities </w:t>
      </w:r>
      <w:r>
        <w:rPr>
          <w:rFonts w:ascii="Times New Roman" w:hAnsi="Times New Roman"/>
          <w:color w:val="000000"/>
          <w:sz w:val="20"/>
        </w:rPr>
        <w:t>consists of remeasurement of the fair value of the milestone payments associated with our contingent consideration liabilities from acquisitions.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Interest and other income (expense), net</w:t>
      </w:r>
      <w:r>
        <w:rPr>
          <w:color w:val="000000"/>
        </w:rPr>
        <w:t xml:space="preserve"> </w:t>
      </w:r>
      <w:r>
        <w:rPr>
          <w:rFonts w:ascii="Times New Roman" w:hAnsi="Times New Roman"/>
          <w:color w:val="000000"/>
          <w:sz w:val="20"/>
        </w:rPr>
        <w:t>consists primarily of interest income from our investments in fixed income securities as well as interest expense related to our equipment financings.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9804" w:type="dxa"/>
        <w:jc w:val="left"/>
        <w:tblInd w:w="0" w:type="dxa"/>
        <w:tblLayout w:type="fixed"/>
        <w:tblCellMar>
          <w:top w:w="28" w:type="dxa"/>
          <w:left w:w="28" w:type="dxa"/>
          <w:bottom w:w="28" w:type="dxa"/>
          <w:right w:w="28" w:type="dxa"/>
        </w:tblCellMar>
      </w:tblPr>
      <w:tblGrid>
        <w:gridCol w:w="5106"/>
        <w:gridCol w:w="146"/>
        <w:gridCol w:w="234"/>
        <w:gridCol w:w="934"/>
        <w:gridCol w:w="184"/>
        <w:gridCol w:w="162"/>
        <w:gridCol w:w="234"/>
        <w:gridCol w:w="934"/>
        <w:gridCol w:w="166"/>
        <w:gridCol w:w="146"/>
        <w:gridCol w:w="211"/>
        <w:gridCol w:w="736"/>
        <w:gridCol w:w="611"/>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(112,728</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License and collaboration 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License and collaboration revenue was $9.7 million and $14.3 million for the three months ended September 30, 2025 and 2024, respectively. The decrease in revenue of $4.6 million is due to a decreased level of research activities on our license and collaboration programs. License and collaboration revenue represents revenue recorded under each of the Pfizer, Apellis and Orbital Agreements.</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were $109.8 million and $94.3 million for the three months ended September 30, 2025 and 2024, respectively. The following table summarizes our research and development expenses for the three months ended September 30, 2025 and 2024 (in thousands):</w:t>
      </w:r>
    </w:p>
    <w:tbl>
      <w:tblPr>
        <w:tblW w:w="8696" w:type="dxa"/>
        <w:jc w:val="left"/>
        <w:tblInd w:w="0" w:type="dxa"/>
        <w:tblLayout w:type="fixed"/>
        <w:tblCellMar>
          <w:top w:w="28" w:type="dxa"/>
          <w:left w:w="28" w:type="dxa"/>
          <w:bottom w:w="28" w:type="dxa"/>
          <w:right w:w="28" w:type="dxa"/>
        </w:tblCellMar>
      </w:tblPr>
      <w:tblGrid>
        <w:gridCol w:w="4456"/>
        <w:gridCol w:w="146"/>
        <w:gridCol w:w="261"/>
        <w:gridCol w:w="966"/>
        <w:gridCol w:w="180"/>
        <w:gridCol w:w="180"/>
        <w:gridCol w:w="261"/>
        <w:gridCol w:w="836"/>
        <w:gridCol w:w="166"/>
        <w:gridCol w:w="146"/>
        <w:gridCol w:w="211"/>
        <w:gridCol w:w="676"/>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information technology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increase of $15.5 million was primarily due to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increase of $14.5 million due to a one-time in-process research and development charge associated with assets acquired from our acquisition of an early-stage life sciences company during the three months ended September 30, 2025 that were determined to have no alternative future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$3.7 million of employee related expenses due to the increase in research and development employees from 374 as of September 30, 2024 to 397 as of September 30,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other expenses of $1.1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$0.6 million in facility and information technology related expenses, including depreciation, related to our leased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$0.1 million in external research and development expenses driven by an increase of $1.5 million in outsourced services, primarily due to manufacturing and clinical activities, offset by a decrease in lab supply expenses of $1.4 million due to a decrease in research activities when compared to the prior year.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was partially offset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$4.5 million in stock-based compensation driven by the decline in our stock price and additional stock awards granted to employees in 2024.</w:t>
      </w:r>
    </w:p>
    <w:p>
      <w:pPr>
        <w:pStyle w:val="TextBody"/>
        <w:bidi w:val="0"/>
        <w:spacing w:before="120" w:after="12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were $26.7 million and $26.5 million for the three months ended September 30, 2025 and 2024, respectively. The increase of $0.2 million was primarily due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of $2.2 million in employee related costs due to the growth in general and administrative employees from 98 as of September 30, 2024 to 113 as of September 30, 2025;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of $0.3 million in other expenses.</w:t>
      </w:r>
    </w:p>
    <w:p>
      <w:pPr>
        <w:pStyle w:val="TextBody"/>
        <w:bidi w:val="0"/>
        <w:jc w:val="left"/>
        <w:rPr>
          <w:rFonts w:ascii="Times New Roman" w:hAnsi="Times New Roman"/>
          <w:color w:val="000000"/>
          <w:sz w:val="20"/>
        </w:rPr>
      </w:pPr>
      <w:r>
        <w:rPr>
          <w:rFonts w:ascii="Times New Roman" w:hAnsi="Times New Roman"/>
          <w:color w:val="000000"/>
          <w:sz w:val="20"/>
        </w:rPr>
        <w:t>The increase in general and administrative expenses was partially offset by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decrease of $2.3 million in stock-based compensation driven by the decline in our stock price and additional stock awards granted to employees in 2024. </w:t>
      </w:r>
    </w:p>
    <w:p>
      <w:pPr>
        <w:pStyle w:val="TextBody"/>
        <w:bidi w:val="0"/>
        <w:spacing w:before="0" w:after="120"/>
        <w:jc w:val="left"/>
        <w:rPr>
          <w:rFonts w:ascii="Times New Roman" w:hAnsi="Times New Roman"/>
          <w:sz w:val="20"/>
        </w:rPr>
      </w:pPr>
      <w:r>
        <w:rPr>
          <w:rFonts w:ascii="Times New Roman" w:hAnsi="Times New Roman"/>
          <w:i/>
          <w:color w:val="000000"/>
          <w:sz w:val="20"/>
        </w:rPr>
        <w:t>Change in fair value of derivative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September 30, 2025 and 2024, we recorded $2.8 million and $0.2 million of expense, respectively, primarily related to the change in fair value of success payment liabilities due to changes in the price of our common stock over the related periods as well as changes in our settlement liability. A portion of the success payment obligations was paid in June 2021; the remaining success payment obligations are still outstanding as of September 30, 2025 and will continue to be revalued at each reporting period.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non-controlling equity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September 30, 2025 and 2024, we recorded $4.9 million of other income and $2.1 million of other expense, respectively, as a result of changes in the fair value of our investment in Prime common stock and the sale of our investment in Verve's common stock.</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contingent consideration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September 30, 2025 and 2024, we recorded $1.0 million of other income and less than $0.1 million of other expense, respectively, related to the change in fair value of the milestone payments related to our contingent consideration liabilities.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and other income (expense), net was $10.9 million and $12.1 million for the three months ended September 30, 2025 and 2024, respectively. The change was primarily due to a decline in interest rates during the three months ended September 30, 2025 compared to the three months ended September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9714" w:type="dxa"/>
        <w:jc w:val="left"/>
        <w:tblInd w:w="0" w:type="dxa"/>
        <w:tblLayout w:type="fixed"/>
        <w:tblCellMar>
          <w:top w:w="28" w:type="dxa"/>
          <w:left w:w="28" w:type="dxa"/>
          <w:bottom w:w="28" w:type="dxa"/>
          <w:right w:w="28" w:type="dxa"/>
        </w:tblCellMar>
      </w:tblPr>
      <w:tblGrid>
        <w:gridCol w:w="5106"/>
        <w:gridCol w:w="146"/>
        <w:gridCol w:w="226"/>
        <w:gridCol w:w="903"/>
        <w:gridCol w:w="178"/>
        <w:gridCol w:w="156"/>
        <w:gridCol w:w="226"/>
        <w:gridCol w:w="903"/>
        <w:gridCol w:w="166"/>
        <w:gridCol w:w="146"/>
        <w:gridCol w:w="211"/>
        <w:gridCol w:w="736"/>
        <w:gridCol w:w="611"/>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310,343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License and collaboration 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License and collaboration revenue was $25.6 million and $33.5 million for the nine months ended September 30, 2025 and 2024, respectively. The decrease in revenue of $7.8 million is due to a decreased level of research activities on our license and collaboration programs. License and collaboration revenue represents revenue recorded under each of the Pfizer, Apellis and Orbital Agreements.</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were $310.3 million and $266.1 million for the nine months ended September 30, 2025 and 2024, respectively. The following table summarizes our research and development expenses for the nine months ended September 30, 2025 and 2024 (in thousands):</w:t>
      </w:r>
    </w:p>
    <w:tbl>
      <w:tblPr>
        <w:tblW w:w="8644" w:type="dxa"/>
        <w:jc w:val="left"/>
        <w:tblInd w:w="0" w:type="dxa"/>
        <w:tblLayout w:type="fixed"/>
        <w:tblCellMar>
          <w:top w:w="28" w:type="dxa"/>
          <w:left w:w="28" w:type="dxa"/>
          <w:bottom w:w="28" w:type="dxa"/>
          <w:right w:w="28" w:type="dxa"/>
        </w:tblCellMar>
      </w:tblPr>
      <w:tblGrid>
        <w:gridCol w:w="4456"/>
        <w:gridCol w:w="146"/>
        <w:gridCol w:w="240"/>
        <w:gridCol w:w="890"/>
        <w:gridCol w:w="166"/>
        <w:gridCol w:w="166"/>
        <w:gridCol w:w="240"/>
        <w:gridCol w:w="890"/>
        <w:gridCol w:w="146"/>
        <w:gridCol w:w="146"/>
        <w:gridCol w:w="211"/>
        <w:gridCol w:w="736"/>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information technology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increase of $44.2 million was primarily due to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increase of $25.4 million in external research and development expenses driven by $26.0 million in outsourced services, primarily due to manufacturing and clinical activities, partially offset by a decrease in lab supply expenses of $0.6 million due to decreased research activities when compared to the prior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$14.5 million due to a one-time in-process research and development charge associated with assets acquired from our acquisition of an early-stage life sciences company during the nine months ended September 30, 2025 that were determined to have no alternative future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$13.0 million of employee related expenses due to the increase in research and development employees from 374 as of September 30, 2024 to 397 as of September 30,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$2.0 million in facility and information technology related expenses, including depreciation, related to our leased 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was partially offset by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$10.4 million in stock-based compensation driven by the decline in our stock price and additional stock awards granted to employees in 2024;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decrease in other expenses of $0.3 million.</w:t>
      </w:r>
    </w:p>
    <w:p>
      <w:pPr>
        <w:pStyle w:val="TextBody"/>
        <w:bidi w:val="0"/>
        <w:spacing w:before="0" w:after="12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were $81.5 million and $82.9 million for the nine months ended September 30, 2025 and 2024, respectively. The decrease of $1.3 million was primarily due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decrease of $6.2 million in stock-based compensation driven by the decline in our stock price and additional stock awards granted to employees in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decrease of $0.4 million in legal expenses;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decrease of $0.4 million in other expenses.</w:t>
      </w:r>
    </w:p>
    <w:p>
      <w:pPr>
        <w:pStyle w:val="TextBody"/>
        <w:bidi w:val="0"/>
        <w:jc w:val="left"/>
        <w:rPr>
          <w:rFonts w:ascii="Times New Roman" w:hAnsi="Times New Roman"/>
          <w:color w:val="000000"/>
          <w:sz w:val="20"/>
        </w:rPr>
      </w:pPr>
      <w:r>
        <w:rPr>
          <w:rFonts w:ascii="Times New Roman" w:hAnsi="Times New Roman"/>
          <w:color w:val="000000"/>
          <w:sz w:val="20"/>
        </w:rPr>
        <w:t>The decrease in general and administrative expenses was partially offset by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 increase of $5.7 million in employee related costs due to the growth in general and administrative employees from 98 as of September 30, 2024 to 113 as of September 30, 2025.</w:t>
      </w:r>
    </w:p>
    <w:p>
      <w:pPr>
        <w:pStyle w:val="TextBody"/>
        <w:bidi w:val="0"/>
        <w:spacing w:before="0" w:after="120"/>
        <w:jc w:val="left"/>
        <w:rPr>
          <w:rFonts w:ascii="Times New Roman" w:hAnsi="Times New Roman"/>
          <w:sz w:val="20"/>
        </w:rPr>
      </w:pPr>
      <w:r>
        <w:rPr>
          <w:rFonts w:ascii="Times New Roman" w:hAnsi="Times New Roman"/>
          <w:i/>
          <w:color w:val="000000"/>
          <w:sz w:val="20"/>
        </w:rPr>
        <w:t>Change in fair value of derivative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nine months ended September 30, 2025 and 2024, we recorded $0.7 million and $2.4 million of other income, respectively, primarily related to the change in fair value of success payment liabilities due to changes in the price of our common stock over the related periods as well as changes in our settlement liability. A portion of the success payment obligations was paid in June 2021; the remaining success payment obligations are still outstanding as of September 30, 2025 and will continue to be revalued at each reporting period.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non-controlling equity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nine months ended September 30, 2025 and 2024, we recorded $7.3 million of other income and $13.0 million of other expense, respectively, as a result of changes in the fair value of our investment in Prime's common stock and the sale of our investment in Verve's common stock.</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contingent consideration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each of the nine months ended September 30, 2025 and 2024, we recorded $0.9 million and $1.6 million of other income, respectively, related to the change in fair value of the milestone payments related to our contingent consideration liabilities.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and other income (expense), net was $33.1 million and $38.2 million for the nine months ended September 30, 2025 and 2024, respectively. The change was primarily due to lower interest rates as of September 30, 2025 compared to September 30, 2024 and one-time credits received during the nine months ended September 30, 2024. </w:t>
      </w:r>
    </w:p>
    <w:p>
      <w:pPr>
        <w:pStyle w:val="TextBody"/>
        <w:bidi w:val="0"/>
        <w:spacing w:before="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clinical development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February 2024, we filed a universal automatic shelf registration statement on Form S-3 with the SEC, to register for sale an indeterminate amount of our common stock, preferred stock, debt securities, warrants and/or units in one or more offerings, which became effective upon filing with the SEC (File No. 333-277427).</w:t>
      </w:r>
    </w:p>
    <w:p>
      <w:pPr>
        <w:pStyle w:val="TextBody"/>
        <w:bidi w:val="0"/>
        <w:spacing w:before="0" w:after="120"/>
        <w:jc w:val="left"/>
        <w:rPr>
          <w:rFonts w:ascii="Times New Roman" w:hAnsi="Times New Roman"/>
          <w:sz w:val="20"/>
        </w:rPr>
      </w:pPr>
      <w:r>
        <w:rPr>
          <w:rFonts w:ascii="Times New Roman" w:hAnsi="Times New Roman"/>
          <w:color w:val="000000"/>
          <w:sz w:val="20"/>
        </w:rPr>
        <w:t>In March 2025, we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w:t>
      </w:r>
      <w:r>
        <w:rPr>
          <w:rFonts w:ascii="Times New Roman" w:hAnsi="Times New Roman"/>
          <w:color w:val="FF0000"/>
          <w:sz w:val="20"/>
        </w:rPr>
        <w:t xml:space="preserve"> </w:t>
      </w:r>
      <w:r>
        <w:rPr>
          <w:rFonts w:ascii="Times New Roman" w:hAnsi="Times New Roman"/>
          <w:color w:val="000000"/>
          <w:sz w:val="20"/>
        </w:rPr>
        <w:t>million related to legal, accounting and other fees in connection with the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entered into the Sales Agreement with Jefferies pursuant to which we are entitled to offer and sell, from time to time at prevailing market prices, shares of our common stock having aggregate gross proceeds of up to $1.1 billion. We agreed to pay Jefferies a commission of up to 3.0% of the aggregate gross sale proceeds of any shares sold by Jefferies under the Sales Agreement. As of September 30, 2025, we have sold 13,769,001 shares of common stock under the Sales Agreement at an average price of $62.75 per share for aggregate gross proceeds of $864.0 million, before deducting commissions and offering expenses payable by us. There were no shares sold under the Sales Agreement during the nine months ended September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September 30, 2025, we had $1.1 billion in cash, cash equivalents, and marketable securities, which we expect will enable us to fund our current and planned operating expenses and capital expenditures for at least the next 12 months from the date of issuance of our accompanying condensed consolidated financial statements. We have based these estimates on assumptions that may prove to be imprecise, and we may exhaust our available capital resources sooner that we currently expect. </w:t>
      </w:r>
    </w:p>
    <w:p>
      <w:pPr>
        <w:pStyle w:val="TextBody"/>
        <w:bidi w:val="0"/>
        <w:jc w:val="left"/>
        <w:rPr>
          <w:rFonts w:ascii="Times New Roman" w:hAnsi="Times New Roman"/>
          <w:color w:val="000000"/>
          <w:sz w:val="20"/>
        </w:rPr>
      </w:pPr>
      <w:r>
        <w:rPr>
          <w:rFonts w:ascii="Times New Roman" w:hAnsi="Times New Roman"/>
          <w:color w:val="000000"/>
          <w:sz w:val="20"/>
        </w:rPr>
        <w:t>We are required to make success payments to Harvard and Broad Institute based on increases in the per share fair market value of our common stock. The amounts due may be settled in cash or shares of our common stock, at our discretion. We may owe Harvard and Broad Institute future success payments of up to $90.0 million each.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not yet commercialized any of our product candidates, and we do not expect to generate revenue from the sale of our product candidates for the foreseeable future. We anticipate that we may need to raise additional capital in order to continue to fund our research and development, including our planned preclinical studies and clinical trials, maintaining and operating our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(in thousands): </w:t>
      </w:r>
    </w:p>
    <w:tbl>
      <w:tblPr>
        <w:tblW w:w="7965" w:type="dxa"/>
        <w:jc w:val="left"/>
        <w:tblInd w:w="0" w:type="dxa"/>
        <w:tblLayout w:type="fixed"/>
        <w:tblCellMar>
          <w:top w:w="28" w:type="dxa"/>
          <w:left w:w="28" w:type="dxa"/>
          <w:bottom w:w="28" w:type="dxa"/>
          <w:right w:w="28" w:type="dxa"/>
        </w:tblCellMar>
      </w:tblPr>
      <w:tblGrid>
        <w:gridCol w:w="4836"/>
        <w:gridCol w:w="146"/>
        <w:gridCol w:w="226"/>
        <w:gridCol w:w="903"/>
        <w:gridCol w:w="178"/>
        <w:gridCol w:w="156"/>
        <w:gridCol w:w="226"/>
        <w:gridCol w:w="903"/>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(261,813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2025 was $261.8 million, including our net loss of $324.3 million, decreases in accrued expenses and other liabilities of $6.6 million, deferred revenue of $21.6 million, operating lease liabilities totaling $10.0 million and a decrease in other long-term liabilities of $0.2 million. In addition, noncash items, including the amortization of investment premiums of $12.7 million, a net decrease in the fair value of derivative liabilities of $0.7 million, a net increase of $0.9 million in the fair value of our contingent consideration liabilities and an increase in the fair value of non-controlling equity investments of $7.3 million also contributed to net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uses of cash were partially offset by an increase in accounts payable of $4.8 million and a decrease of $4.5 million in prepaid expenses and other current assets. In addition, we recorded noncash items consisting of in-process research and development charges of $14.5 million, stock-based compensation expense of $73.8 million, depreciation and amortization expense of $16.6 million, a decrease in operating lease right-of-use, or ROU, assets of $7.9 million and a realized loss of $0.4 million on our sale of marketable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2024 was $270.9 million, including our net loss of $286.4 million, decreases in accrued expenses and other liabilities of $53.6 million, deferred revenue of $31.5 million, operating lease liabilities totaling $9.7 million and an increase of prepaid expenses and other current assets of $2.5 million. In addition, noncash items, including the amortization of investment premiums of $18.1 million, a decrease in the fair value of derivative liabilities of $2.4 million and a decrease of $1.6 million in the fair value of our contingent consideration liabilities also contributed to net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uses of cash were partially offset by an increase in accounts payable of $2.4 million and other long-term liabilities of $0.5 million. In addition, we recorded noncash items consisting of stock-based compensation expense of $90.4 million, depreciation and amortization expense of $16.5 million, a decrease in the fair value of non-controlling equity investments of $13.0 million and a decrease in operating lease ROU assets of $7.2 million.</w:t>
      </w:r>
    </w:p>
    <w:p>
      <w:pPr>
        <w:pStyle w:val="TextBody"/>
        <w:bidi w:val="0"/>
        <w:spacing w:before="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nine months ended September 30, 2025, cash used in investing activities consisted of net purchases of marketable securities of $224.3 million, purchases of property and equipment of $11.2 million, proceeds from sales of marketable securities of $5.7 million and the payment of $0.1 million of equity issuance costs associated with our acquisition of an early-stage life sciences company.</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September 30, 2024, cash provided by investing activities consisted of net maturities of marketable securities of $64.7 million, partially offset by purchases of property and equipment of $6.0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2025 consisted of $470.5 million of proceeds from the March 2025 issuance of common stock and pre-funded warrants, $2.8 million of proceeds from the issuance of common stock under our Employee Stock Purchase Plan, or ESPP, and $2.9 million of proceeds from the exercise of stock options.</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2024 consisted of $2.6 million of proceeds from the issuance of common stock under our ESPP and $2.2 million of proceeds from the exercise of stock options, offset in part by repayments of equipment financing liabilities of $0.5 million.</w:t>
      </w:r>
    </w:p>
    <w:p>
      <w:pPr>
        <w:pStyle w:val="TextBody"/>
        <w:bidi w:val="0"/>
        <w:spacing w:before="12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expect our operating expenses to increase over the next twelve months, as we expect increases in costs related to continued and expected clinical-stage development of our lead product candidates and increases in biologics license application readiness activities related to the potential commercial launch of clinical products,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expenses depend on a number of factors, including the extent to which we undertake the following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programs and our preclinical development of product candidates from our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research programs and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preclinical studies and clinical trials for additional product candidates we identify and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medicines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enforce, defend, and protect our intellectual property portfolio and provide reimbursement of third-party expenses related to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 our base editing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hire additional personnel including research and development, clinical and commercial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products, intellectual property, medicines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operate a commercial-scale cGMP manufacturing facility.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expect that our cash, cash equivalents and marketable securities at September 30, 2025 will enable us to fund our current and planned operating expenses and capital expenditures for at least the next 12 months from the date of issuance of our accompanying condensed consolidated financial statements.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continuing to build our base editing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licenses for the delivery modalities that will be used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discovery, preclinical development, laboratory testing, manufacturing and clinical trials for the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and proprietary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the product candidates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future activities, including product sales, medical affairs, marketing, manufacturing, distribution, coverage and reimbursement for any product candidates for which we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license agreements and our collaborations;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additional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any collaboration agreements we are a party to or may become a party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of success liabilities to Harvard and Broad Institute pursuant to the respective terms of the Harvard License Agreement and the Broad License Agreement, should we choose to pay in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products,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and expanding our manufacturing capacity;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of macro-economic conditions, as well as the prevailing level of macro-economic, business, and operational uncertainty, including as a result of geopolitical events, the imposition of new or revised global trade tariffs or other global or regional events.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We have historically relied on equity issuances to fund our capital needs and will likely rely on equity issuances in the future.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our calculations of contractual obligations and commitments.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lease certain assets under noncancelable operating and finance leases. The leases relate primarily to office space and laboratory space. As of September 30, 2025, aggregate future minimum commitments under these office and laboratory leases are $210.4 million, of which 7.0 million will be payable in 2025. These minimum lease payments exclude our share of the facility operating expenses, real-estate taxes and other costs that are reimbursable to the landlord under the leases.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September 30, 2025, there were no material changes to our contractual obligations and commitments described under Management’s Discussion and Analysis of Financial Condition and Results of Operations in the 2024 Form 10-K.</w:t>
      </w:r>
    </w:p>
    <w:p>
      <w:pPr>
        <w:pStyle w:val="TextBody"/>
        <w:bidi w:val="0"/>
        <w:spacing w:before="120" w:after="120"/>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exposed to market risk related to changes in interest rates. As of September 30, 2025, we had cash, cash equivalents, and marketable securities of $1.1 billion, which consisted of cash, money market funds, commercial paper and corporate and government securities. Our cash and cash equivalents are primarily maintained in accounts with multiple financial institutions in the United States. At times, we may maintain cash and cash equivalent balances in excess of Federal Deposit Insurance Corporation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Inflation generally affects us by increasing our cost of labor and research, manufacturing and development costs. We believe that inflation has not had a material effect on our financial statements included elsewhere in this Quarterly Report on Form 10-Q. However, our operations may be adversely affected by inflation in the future.</w:t>
      </w:r>
    </w:p>
    <w:p>
      <w:pPr>
        <w:pStyle w:val="TextBody"/>
        <w:bidi w:val="0"/>
        <w:spacing w:before="0" w:after="120"/>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officer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the evaluation of our disclosure controls and procedures as of September 30, 2025, our principal executive officer and principal financial officer concluded that our disclosure controls and procedures as of such date are effective at the reasonable assurance level.</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20" w:after="12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not currently subject to any material legal proceedings.</w:t>
      </w:r>
    </w:p>
    <w:p>
      <w:pPr>
        <w:pStyle w:val="TextBody"/>
        <w:bidi w:val="0"/>
        <w:spacing w:before="120" w:after="12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i/>
          <w:color w:val="000000"/>
          <w:sz w:val="20"/>
        </w:rPr>
        <w:t>In addition to the other information set forth in this Quarterly Report on Form 10-Q, you should carefully consider the factors discussed in the sections titled sections titled “Risk Factors Summary” and “Item 1A. Risk Factors” in the 2024 Form 10-K, which could materially affect our business, financial condition or future results. The risk factors disclosure in the 2024 Form 10-K is qualified by the information in this Quarterly Report on Form 10-Q. The risks described in the 2024 Form 10–K are not our only risks. Additional risks and uncertainties not currently known to us or that we currently deem to be immaterial also may materially adversely affect our business, financial condition or future results.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risk factors set forth below represent new risk factors or those containing changes to the similarly titled risk factor included in “Item 1.A Risk Factors” of the 2024 Form 10-K.</w:t>
      </w:r>
    </w:p>
    <w:p>
      <w:pPr>
        <w:pStyle w:val="TextBody"/>
        <w:bidi w:val="0"/>
        <w:spacing w:before="120" w:after="120"/>
        <w:jc w:val="left"/>
        <w:rPr>
          <w:rFonts w:ascii="Times New Roman" w:hAnsi="Times New Roman"/>
          <w:sz w:val="20"/>
        </w:rPr>
      </w:pPr>
      <w:r>
        <w:rPr>
          <w:rFonts w:ascii="Times New Roman" w:hAnsi="Times New Roman"/>
          <w:b/>
          <w:i/>
          <w:color w:val="000000"/>
          <w:sz w:val="20"/>
        </w:rPr>
        <w:t>Disruptions at the U.S. Food and Drug Administration, or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FDA and comparable regulatory agencies in foreign jurisdictions, such as the European Medicines Agency and its Committee for Medicinal Products for Human Use, play a critical role in the development of our product candidates by providing guidance on our clinical development programs and reviewing and approving our regulatory submissions, including investigational new drug applications, or INDs, requests for special designations, and marketing applications. If these oversight and review activities are disrupted or delayed, then correspondingly our ability to develop and secure timely approval of our product candidates could be impacted in a negative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example, the recent loss and retirement of FDA leadership and personnel could lead to disruptions and delays in FDA guidance, review, and approval of our product candidates. Pursuant to President Trump’s E.O. 14210, “Implementing the President’s ‘Department of Government Efficiency’ Workforce Optimization Initiative,” the Secretary of the U.S. Department of Health and Human Services, or HHS, announced on March 27, 2025, a reorganization and reduction in force, or RIF, across HHS of approximately 20,000 employees (82,000 to 62,000), with the FDA’s workforce of approximately 20,000 to decrease by 3,500 full-time employees. Subsequently, the FDA indicated that roughly a quarter of those employees who received RIF notices had been reinstated. On July 14, 2025, following litigation reaching the U.S. Supreme Court, the administration began to carry out these layoffs across HHS, including the FDA. There are also ongoing deliberations within the administration and Congress over potentially substantial proposed cuts to the overall budget for HHS and funding of the FDA for the 2026 federal fiscal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while the FDA’s review of marketing applications and other activities for new drugs and biologics is largely funded through the user fee program established under the Prescription Drug User Fee Act, or PDUFA, it remains unclear how the administration’s RIF and budget cuts will impact this program and the ability of the FDA to provide guidance and review our product candidates in a timely manner. For example, while the RIF reportedly did not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 new drug application due to heavy workload and limited resources. In addition, while currently unclear, there is a risk that the RIF and budget cutbacks could threaten the integrity of the PDUFA program itself, because for the FDA to obligate user fees collected under PDUFA in the first place, a certain amount of non-user fee appropriations must be spent on the process for the review of applications plus certain other costs during the same fiscal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is also substantial uncertainty as to how regulatory reform measures being implemented by the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to deny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FDA, SEC and other government employees and stop critical activities. For example, the federal government shut down on October 1, 2025, and as of November 3, 2025, it has not reopened. On October 1, 2025, the FDA issued a public notice stating that agency operations would continue to the extent permitted by law, such as activities necessary to address imminent threats to the safety of human life and activities funded by carryover user fee funds. At the same time, the FDA declared that, during the shutdown period, it does not have legal authority to accept user fees assessed for fiscal 2026 until a fiscal 2026 appropriation or continuing resolution for the FDA is enacted. As a result, the FDA will not be able to accept any regulatory submissions for fiscal 2026 that require a fee payment and that are submitted during the lapse period. If the current government shutdown continues for an extended period, or if in the future a prolonged government shutdown occurs, it could significantly impact the ability of the FDA to timely review and process our regulatory submissions and the ability of the SEC to timely review our public filings, to the extent such review is necessary, and our ability to access the public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FDA’s review and processing of our regulatory submissions, including INDs and new drug applications or biologics license applications,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U.S. trade policy could have a material adverse impact on our business, financial condition and results of operations</w:t>
      </w:r>
    </w:p>
    <w:p>
      <w:pPr>
        <w:pStyle w:val="TextBody"/>
        <w:bidi w:val="0"/>
        <w:jc w:val="left"/>
        <w:rPr>
          <w:rFonts w:ascii="Times New Roman" w:hAnsi="Times New Roman"/>
          <w:sz w:val="20"/>
        </w:rPr>
      </w:pPr>
      <w:r>
        <w:rPr>
          <w:rFonts w:ascii="Times New Roman" w:hAnsi="Times New Roman"/>
          <w:color w:val="000000"/>
          <w:sz w:val="20"/>
        </w:rPr>
        <w:t>The new U.S. administration has initiated a series of tariff-related actions against U.S. trading partners. On April 2, 2025, an executive order issued by the new administration announced a “baseline” reciprocal tariff of 10% on all U.S. trading partners effective April 5, 2025, and higher individualized reciprocal tariffs on 57 countries (with certain product exemptions for pharmaceutical-related imports, among others)</w:t>
      </w:r>
      <w:r>
        <w:rPr>
          <w:rFonts w:ascii="Times New Roman" w:hAnsi="Times New Roman"/>
          <w:color w:val="000000"/>
          <w:sz w:val="13"/>
        </w:rPr>
        <w:t>.</w:t>
      </w:r>
      <w:r>
        <w:rPr>
          <w:rFonts w:ascii="Times New Roman" w:hAnsi="Times New Roman"/>
          <w:color w:val="000000"/>
          <w:sz w:val="20"/>
        </w:rPr>
        <w:t>Earlier the administration imposed a 25% tariff on Canada and Mexico for goods not covered by the United States-Mexico-Canada Agreement, or USMCA, and tariffs equaling 20% on China. In response, several countries threatened retaliatory measures including Canada and China, which then imposed retaliatory tariffs. Prior to when the country-specific reciprocal tariffs were scheduled to take effect, the United States delayed the effective date of such tariffs for all countries except China. Later, the U.S. and China reached a framework agreement that ultimately resulted in the suspension of the higher reciprocal tariffs on China until November 11, 2025. Since the April 2025 announcement, several countries have also reached deals with the U.S. that include reduced tariff rates and other measures. On July 31, 2025, the U.S. administration issued an executive order detailing new reciprocal tariff rates for individual countries that took effect on August 7, 2025. The new reciprocal rates, which are consistent with the rates reflected in the trade deals already announced, range from 10% to 41%. The new rates do not apply to Canada, China, Mexico and a few other countries. For China, the 10% baseline reciprocal tariff announced in April 2025 remains in effect, in addition to a minimum of an additional 20%. Regarding Canada and Mexico, the rate remains 25% for goods that are not covered by the USMCA for Mexico and, effective August 1, 2025, was increased to 35% on imports from Canada that are not covered by the USMCA. Certain countries have reached agreements with the United States that cap pharmaceutical tariffs at 15%. These include the European Union, Japan, South Korea and the United Kingdom.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key starting materials,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derivative products of those items. On September 25, 2025, the U.S. administration announced that, beginning October 1, 2025, all branded or patented drugs imported into the U.S. would face a 100% tariff. At the same time, the U.S. administration indicated that these tariffs could be avoided by building pharmaceutical manufacturing facilities in the United States. Thereafter, the U.S. administration delayed the October 1, 2025 effective date of the tariffs on branded or patented pharmaceutical products, announcing that the administration had “begun preparing” tariffs on manufacturers that don’t build in the United States or enter into a most-favored-nation drug pricing agreement with the U.S. administration.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extent and duration of increased tariffs and trade restrictions and the resulting impact on general economic conditions and on our business are uncertain and depend on various factors. If we are unable to mitigate these risks through supply chain adjustments or other measures, our business, financial condition and results of operations could be materially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could adversely affect our business and financial condition.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or the IRA, was signed into law in August 2022, and the One Big Beautiful Bill Act, or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pStyle w:val="TextBody"/>
        <w:bidi w:val="0"/>
        <w:jc w:val="left"/>
        <w:rPr>
          <w:rFonts w:ascii="Times New Roman" w:hAnsi="Times New Roman"/>
          <w:sz w:val="20"/>
        </w:rPr>
      </w:pPr>
      <w:r>
        <w:rPr>
          <w:rFonts w:ascii="Times New Roman" w:hAnsi="Times New Roman"/>
          <w:b/>
          <w:i/>
          <w:color w:val="000000"/>
          <w:sz w:val="20"/>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fused or covalently linked RNA and the use thereof in eukaryotic cells. On February 28, 2022, the PTAB issued a decision that the Boston Licensing Parties have priority of invention over University of California with respect to a single RNA CRISPR-Cas9 system that functions in eukaryotic cells. On May 12, 2025, the CAFC affirmed-in-part and vacated-in-part the PTAB’s decision and remanded it back to the PTAB for further review. We cannot predict with any certainty when a decision will be made.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On September 28, 2022, the PTAB issued an order suspending proceedings in the priority phase of the interference.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On December 14, 2022, the PTAB issued an order suspending proceedings in the priority phase of the interference. We cannot predict with any certainty when a decision will be made.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i/>
          <w:color w:val="000000"/>
          <w:sz w:val="20"/>
        </w:rPr>
      </w:pPr>
      <w:r>
        <w:rPr>
          <w:rFonts w:ascii="Times New Roman" w:hAnsi="Times New Roman"/>
          <w:b/>
          <w:i/>
          <w:color w:val="000000"/>
          <w:sz w:val="20"/>
        </w:rPr>
        <w:t>Director and Officer Trading Arrangements</w:t>
      </w:r>
    </w:p>
    <w:p>
      <w:pPr>
        <w:pStyle w:val="TextBody"/>
        <w:bidi w:val="0"/>
        <w:jc w:val="left"/>
        <w:rPr>
          <w:rFonts w:ascii="Times New Roman" w:hAnsi="Times New Roman"/>
          <w:color w:val="000000"/>
          <w:sz w:val="20"/>
        </w:rPr>
      </w:pPr>
      <w:r>
        <w:rPr>
          <w:rFonts w:ascii="Times New Roman" w:hAnsi="Times New Roman"/>
          <w:color w:val="000000"/>
          <w:sz w:val="20"/>
        </w:rPr>
        <w:t>The following table describes for the quarterly period covered by this report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7"/>
        <w:gridCol w:w="1252"/>
        <w:gridCol w:w="1511"/>
        <w:gridCol w:w="1524"/>
        <w:gridCol w:w="2671"/>
        <w:gridCol w:w="1580"/>
      </w:tblGrid>
      <w:tr>
        <w:trPr/>
        <w:tc>
          <w:tcPr>
            <w:tcW w:w="166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667" w:type="dxa"/>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Name </w:t>
            </w:r>
            <w:r>
              <w:rPr>
                <w:rFonts w:ascii="Times New Roman" w:hAnsi="Times New Roman"/>
                <w:b/>
                <w:i/>
                <w:color w:val="000000"/>
                <w:sz w:val="20"/>
              </w:rPr>
              <w:t>(Title)</w:t>
            </w:r>
          </w:p>
        </w:tc>
        <w:tc>
          <w:tcPr>
            <w:tcW w:w="1252"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Action Taken </w:t>
            </w:r>
            <w:r>
              <w:rPr>
                <w:rFonts w:ascii="Times New Roman" w:hAnsi="Times New Roman"/>
                <w:b/>
                <w:i/>
                <w:color w:val="000000"/>
                <w:sz w:val="20"/>
              </w:rPr>
              <w:t>(Date of Action)</w:t>
            </w:r>
          </w:p>
        </w:tc>
        <w:tc>
          <w:tcPr>
            <w:tcW w:w="1511"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Trading Arrangement</w:t>
            </w:r>
          </w:p>
        </w:tc>
        <w:tc>
          <w:tcPr>
            <w:tcW w:w="1524"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Nature of Trading Arrangement</w:t>
            </w:r>
            <w:r>
              <w:rPr>
                <w:rFonts w:ascii="Times New Roman" w:hAnsi="Times New Roman"/>
                <w:color w:val="000000"/>
                <w:sz w:val="20"/>
              </w:rPr>
              <w:t xml:space="preserve"> </w:t>
            </w:r>
          </w:p>
        </w:tc>
        <w:tc>
          <w:tcPr>
            <w:tcW w:w="2671"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Duration of Trading Arrangement</w:t>
            </w:r>
          </w:p>
        </w:tc>
        <w:tc>
          <w:tcPr>
            <w:tcW w:w="1580"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Aggregate Number of Securities</w:t>
            </w:r>
            <w:r>
              <w:rPr>
                <w:rFonts w:ascii="Times New Roman" w:hAnsi="Times New Roman"/>
                <w:color w:val="000000"/>
                <w:sz w:val="20"/>
              </w:rPr>
              <w:t xml:space="preserve"> </w:t>
            </w:r>
          </w:p>
        </w:tc>
      </w:tr>
      <w:tr>
        <w:trPr/>
        <w:tc>
          <w:tcPr>
            <w:tcW w:w="16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Giuseppe Ciaramella (</w:t>
            </w:r>
            <w:r>
              <w:rPr>
                <w:rFonts w:ascii="Times New Roman" w:hAnsi="Times New Roman"/>
                <w:i/>
                <w:color w:val="000000"/>
                <w:sz w:val="20"/>
              </w:rPr>
              <w:t>President</w:t>
            </w:r>
            <w:r>
              <w:rPr>
                <w:rFonts w:ascii="Times New Roman" w:hAnsi="Times New Roman"/>
                <w:color w:val="000000"/>
                <w:sz w:val="20"/>
              </w:rPr>
              <w:t>)</w:t>
            </w:r>
          </w:p>
        </w:tc>
        <w:tc>
          <w:tcPr>
            <w:tcW w:w="1252"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Adoption</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September 30, 2025</w:t>
            </w:r>
            <w:r>
              <w:rPr>
                <w:rFonts w:ascii="Times New Roman" w:hAnsi="Times New Roman"/>
                <w:color w:val="000000"/>
                <w:sz w:val="20"/>
              </w:rPr>
              <w:t>)</w:t>
            </w:r>
          </w:p>
        </w:tc>
        <w:tc>
          <w:tcPr>
            <w:tcW w:w="1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5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26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Until September 30, 2026, or such earlier date upon which all transactions are completed or expire without execution.</w:t>
            </w:r>
          </w:p>
        </w:tc>
        <w:tc>
          <w:tcPr>
            <w:tcW w:w="15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Up to 35,000 shares</w:t>
            </w:r>
            <w:r>
              <w:rPr>
                <w:rFonts w:ascii="Times New Roman" w:hAnsi="Times New Roman"/>
                <w:color w:val="000000"/>
                <w:sz w:val="13"/>
              </w:rPr>
              <w:t>(1)</w:t>
            </w:r>
          </w:p>
        </w:tc>
      </w:tr>
      <w:tr>
        <w:trPr/>
        <w:tc>
          <w:tcPr>
            <w:tcW w:w="16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Christine Bellon (</w:t>
            </w:r>
            <w:r>
              <w:rPr>
                <w:rFonts w:ascii="Times New Roman" w:hAnsi="Times New Roman"/>
                <w:i/>
                <w:color w:val="000000"/>
                <w:sz w:val="20"/>
              </w:rPr>
              <w:t>Chief Legal Officer</w:t>
            </w:r>
            <w:r>
              <w:rPr>
                <w:rFonts w:ascii="Times New Roman" w:hAnsi="Times New Roman"/>
                <w:color w:val="000000"/>
                <w:sz w:val="20"/>
              </w:rPr>
              <w:t>)</w:t>
            </w:r>
          </w:p>
        </w:tc>
        <w:tc>
          <w:tcPr>
            <w:tcW w:w="1252"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Adoption</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September 16, 2025)</w:t>
            </w:r>
          </w:p>
        </w:tc>
        <w:tc>
          <w:tcPr>
            <w:tcW w:w="1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5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26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Until September 16, 2026, or such earlier date upon which all transactions are completed or expire without execution.</w:t>
            </w:r>
          </w:p>
        </w:tc>
        <w:tc>
          <w:tcPr>
            <w:tcW w:w="15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20,000 shares</w:t>
            </w:r>
          </w:p>
        </w:tc>
      </w:tr>
      <w:tr>
        <w:trPr/>
        <w:tc>
          <w:tcPr>
            <w:tcW w:w="16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Bethany Cavanagh (</w:t>
            </w:r>
            <w:r>
              <w:rPr>
                <w:rFonts w:ascii="Times New Roman" w:hAnsi="Times New Roman"/>
                <w:i/>
                <w:color w:val="000000"/>
                <w:sz w:val="20"/>
              </w:rPr>
              <w:t>Senior Vice President, Finance</w:t>
            </w:r>
            <w:r>
              <w:rPr>
                <w:rFonts w:ascii="Times New Roman" w:hAnsi="Times New Roman"/>
                <w:color w:val="000000"/>
                <w:sz w:val="20"/>
              </w:rPr>
              <w:t>)</w:t>
            </w:r>
          </w:p>
        </w:tc>
        <w:tc>
          <w:tcPr>
            <w:tcW w:w="125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Adoption (</w:t>
            </w:r>
            <w:r>
              <w:rPr>
                <w:rFonts w:ascii="Times New Roman" w:hAnsi="Times New Roman"/>
                <w:i/>
                <w:color w:val="000000"/>
                <w:sz w:val="20"/>
              </w:rPr>
              <w:t>September 19, 2025</w:t>
            </w:r>
            <w:r>
              <w:rPr>
                <w:rFonts w:ascii="Times New Roman" w:hAnsi="Times New Roman"/>
                <w:color w:val="000000"/>
                <w:sz w:val="20"/>
              </w:rPr>
              <w:t>)</w:t>
            </w:r>
          </w:p>
        </w:tc>
        <w:tc>
          <w:tcPr>
            <w:tcW w:w="15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5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26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Until September 19, 2026, or such earlier date upon which all transactions are completed or expire without execution</w:t>
            </w:r>
          </w:p>
        </w:tc>
        <w:tc>
          <w:tcPr>
            <w:tcW w:w="15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15,386 shares</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35,000 shares issuable upon exercise of options to purchase the Company’s common stock pursuant to the Rule 10b-5-1 trading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75"/>
        <w:gridCol w:w="290"/>
        <w:gridCol w:w="4961"/>
        <w:gridCol w:w="146"/>
        <w:gridCol w:w="511"/>
        <w:gridCol w:w="146"/>
        <w:gridCol w:w="765"/>
        <w:gridCol w:w="146"/>
        <w:gridCol w:w="654"/>
        <w:gridCol w:w="146"/>
        <w:gridCol w:w="691"/>
        <w:gridCol w:w="146"/>
        <w:gridCol w:w="828"/>
      </w:tblGrid>
      <w:tr>
        <w:trPr/>
        <w:tc>
          <w:tcPr>
            <w:tcW w:w="7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5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75"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Certificate of Incorporation of Beam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02/11/2020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of Beam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02/28/2023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17" w:name="signatures"/>
      <w:bookmarkEnd w:id="1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069" w:type="dxa"/>
        <w:jc w:val="left"/>
        <w:tblInd w:w="0" w:type="dxa"/>
        <w:tblLayout w:type="fixed"/>
        <w:tblCellMar>
          <w:top w:w="28" w:type="dxa"/>
          <w:left w:w="28" w:type="dxa"/>
          <w:bottom w:w="28" w:type="dxa"/>
          <w:right w:w="28" w:type="dxa"/>
        </w:tblCellMar>
      </w:tblPr>
      <w:tblGrid>
        <w:gridCol w:w="2101"/>
        <w:gridCol w:w="146"/>
        <w:gridCol w:w="40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Evans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Evans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tbl>
      <w:tblPr>
        <w:tblW w:w="4994" w:type="dxa"/>
        <w:jc w:val="left"/>
        <w:tblInd w:w="0" w:type="dxa"/>
        <w:tblLayout w:type="fixed"/>
        <w:tblCellMar>
          <w:top w:w="28" w:type="dxa"/>
          <w:left w:w="28" w:type="dxa"/>
          <w:bottom w:w="28" w:type="dxa"/>
          <w:right w:w="28" w:type="dxa"/>
        </w:tblCellMar>
      </w:tblPr>
      <w:tblGrid>
        <w:gridCol w:w="2101"/>
        <w:gridCol w:w="146"/>
        <w:gridCol w:w="406"/>
        <w:gridCol w:w="23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Sravan Emany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Sravan Emany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bookmarkStart w:id="18" w:name="beam-ex31_1.htm"/>
      <w:bookmarkStart w:id="19" w:name="ksbeamex31_1"/>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John Evans,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Beam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2341"/>
        <w:gridCol w:w="646"/>
        <w:gridCol w:w="386"/>
        <w:gridCol w:w="2506"/>
      </w:tblGrid>
      <w:tr>
        <w:trPr/>
        <w:tc>
          <w:tcPr>
            <w:tcW w:w="23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November 4,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Evans</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Evans</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bookmarkStart w:id="20" w:name="beam-ex31_2.htm"/>
      <w:bookmarkStart w:id="21" w:name="ksbeamex31_2"/>
      <w:bookmarkEnd w:id="20"/>
      <w:bookmarkEnd w:id="21"/>
      <w:r>
        <w:rPr>
          <w:rFonts w:ascii="Times New Roman" w:hAnsi="Times New Roman"/>
          <w:b/>
          <w:color w:val="000000"/>
          <w:sz w:val="20"/>
        </w:rPr>
        <w:t>CERTIFICATION PURSUANT TO</w:t>
        <w:br/>
        <w:t>RULES 13a-14(a) AND 15d-14(a) UNDER THE SECURITIES EXCHANGE ACT OF 1934,</w:t>
        <w:br/>
        <w:t>AS ADOPTED PURSUANT TO SECTION 302 OF THE SARBANES-OXLEY ACT OF 2002</w:t>
      </w:r>
      <w:r>
        <w:br w:type="page"/>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Sravan Emany, certify that: </w:t>
      </w:r>
    </w:p>
    <w:tbl>
      <w:tblPr>
        <w:tblW w:w="6887" w:type="dxa"/>
        <w:jc w:val="left"/>
        <w:tblInd w:w="0" w:type="dxa"/>
        <w:tblLayout w:type="fixed"/>
        <w:tblCellMar>
          <w:top w:w="28" w:type="dxa"/>
          <w:left w:w="28" w:type="dxa"/>
          <w:bottom w:w="28" w:type="dxa"/>
          <w:right w:w="28" w:type="dxa"/>
        </w:tblCellMar>
      </w:tblPr>
      <w:tblGrid>
        <w:gridCol w:w="271"/>
        <w:gridCol w:w="6616"/>
      </w:tblGrid>
      <w:tr>
        <w:trPr/>
        <w:tc>
          <w:tcPr>
            <w:tcW w:w="271"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66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Beam Therapeutics Inc.;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4"/>
        <w:gridCol w:w="9770"/>
      </w:tblGrid>
      <w:tr>
        <w:trPr/>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w:t>
            </w:r>
          </w:p>
        </w:tc>
        <w:tc>
          <w:tcPr>
            <w:tcW w:w="977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w:t>
            </w:r>
          </w:p>
        </w:tc>
        <w:tc>
          <w:tcPr>
            <w:tcW w:w="975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6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w:t>
            </w:r>
          </w:p>
        </w:tc>
        <w:tc>
          <w:tcPr>
            <w:tcW w:w="976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76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w:t>
            </w:r>
          </w:p>
        </w:tc>
        <w:tc>
          <w:tcPr>
            <w:tcW w:w="976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1"/>
        <w:gridCol w:w="9733"/>
      </w:tblGrid>
      <w:tr>
        <w:trPr/>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3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w:t>
            </w:r>
          </w:p>
        </w:tc>
        <w:tc>
          <w:tcPr>
            <w:tcW w:w="973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33" w:type="dxa"/>
            <w:tcBorders/>
            <w:tcMar>
              <w:top w:w="0" w:type="dxa"/>
              <w:left w:w="0" w:type="dxa"/>
              <w:bottom w:w="0" w:type="dxa"/>
              <w:right w:w="0" w:type="dxa"/>
            </w:tcMar>
            <w:vAlign w:val="center"/>
          </w:tcPr>
          <w:p>
            <w:pPr>
              <w:pStyle w:val="TableContents"/>
              <w:bidi w:val="0"/>
              <w:spacing w:before="120" w:after="283"/>
              <w:jc w:val="left"/>
              <w:rPr/>
            </w:pPr>
            <w:r>
              <w:rPr/>
              <w:t> </w:t>
            </w:r>
          </w:p>
        </w:tc>
      </w:tr>
    </w:tbl>
    <w:p>
      <w:pPr>
        <w:pStyle w:val="TextBody"/>
        <w:bidi w:val="0"/>
        <w:jc w:val="left"/>
        <w:rPr/>
      </w:pPr>
      <w:r>
        <w:rPr/>
        <w:t> </w:t>
      </w:r>
    </w:p>
    <w:tbl>
      <w:tblPr>
        <w:tblW w:w="4214" w:type="dxa"/>
        <w:jc w:val="left"/>
        <w:tblInd w:w="0" w:type="dxa"/>
        <w:tblLayout w:type="fixed"/>
        <w:tblCellMar>
          <w:top w:w="28" w:type="dxa"/>
          <w:left w:w="28" w:type="dxa"/>
          <w:bottom w:w="28" w:type="dxa"/>
          <w:right w:w="28" w:type="dxa"/>
        </w:tblCellMar>
      </w:tblPr>
      <w:tblGrid>
        <w:gridCol w:w="2101"/>
        <w:gridCol w:w="406"/>
        <w:gridCol w:w="146"/>
        <w:gridCol w:w="156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Sravan Emany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Sravan Emany</w:t>
            </w:r>
          </w:p>
        </w:tc>
      </w:tr>
    </w:tbl>
    <w:p>
      <w:pPr>
        <w:pStyle w:val="HorizontalLine"/>
        <w:pBdr>
          <w:bottom w:val="double" w:sz="2" w:space="0" w:color="808080"/>
        </w:pBdr>
        <w:bidi w:val="0"/>
        <w:spacing w:before="0" w:after="283"/>
        <w:jc w:val="left"/>
        <w:rPr/>
      </w:pPr>
      <w:r>
        <w:rPr/>
      </w:r>
    </w:p>
    <w:tbl>
      <w:tblPr>
        <w:tblW w:w="2914" w:type="dxa"/>
        <w:jc w:val="left"/>
        <w:tblInd w:w="0" w:type="dxa"/>
        <w:tblLayout w:type="fixed"/>
        <w:tblCellMar>
          <w:top w:w="28" w:type="dxa"/>
          <w:left w:w="28" w:type="dxa"/>
          <w:bottom w:w="28" w:type="dxa"/>
          <w:right w:w="28" w:type="dxa"/>
        </w:tblCellMar>
      </w:tblPr>
      <w:tblGrid>
        <w:gridCol w:w="161"/>
        <w:gridCol w:w="146"/>
        <w:gridCol w:w="146"/>
        <w:gridCol w:w="24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left"/>
        <w:rPr/>
      </w:pPr>
      <w:bookmarkStart w:id="22" w:name="beam-ex32_1.htm"/>
      <w:bookmarkStart w:id="23" w:name="ksbeamex32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Quarterly Report of Beam Therapeutics Inc. (the “Company”) on Form 10-Q for the period ending September 30, 2025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159" w:type="dxa"/>
        <w:jc w:val="left"/>
        <w:tblInd w:w="0" w:type="dxa"/>
        <w:tblLayout w:type="fixed"/>
        <w:tblCellMar>
          <w:top w:w="28" w:type="dxa"/>
          <w:left w:w="28" w:type="dxa"/>
          <w:bottom w:w="28" w:type="dxa"/>
          <w:right w:w="28" w:type="dxa"/>
        </w:tblCellMar>
      </w:tblPr>
      <w:tblGrid>
        <w:gridCol w:w="2101"/>
        <w:gridCol w:w="406"/>
        <w:gridCol w:w="146"/>
        <w:gridCol w:w="250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Evans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Evans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bookmarkStart w:id="24" w:name="beam-ex32_2.htm"/>
      <w:bookmarkStart w:id="25" w:name="ksbeamex32_2"/>
      <w:bookmarkEnd w:id="24"/>
      <w:bookmarkEnd w:id="25"/>
      <w:r>
        <w:rPr>
          <w:rFonts w:ascii="Times New Roman" w:hAnsi="Times New Roman"/>
          <w:b/>
          <w:color w:val="000000"/>
          <w:sz w:val="20"/>
        </w:rPr>
        <w:t>CERTIFICATION PURSUANT TO</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Quarterly Report of Beam Therapeutics Inc. (the “Company”) on Form 10-Q for the period ended September 30, 2025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2101"/>
        <w:gridCol w:w="406"/>
        <w:gridCol w:w="146"/>
        <w:gridCol w:w="246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Sravan Emany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Sravan Emany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5999/000119312520031290/d842502dex31.htm" TargetMode="External"/><Relationship Id="rId3" Type="http://schemas.openxmlformats.org/officeDocument/2006/relationships/hyperlink" Target="https://www.sec.gov/Archives/edgar/data/1745999/000095017023004866/beam-ex3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29533</Words>
  <Characters>165038</Characters>
  <CharactersWithSpaces>195885</CharactersWithSpaces>
  <Paragraphs>6457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