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eam-20250604.htm"/>
      <w:bookmarkStart w:id="1" w:name="ksbeam202506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04,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Beam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001-39208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81-5238376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238 Main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857</w:t>
            </w:r>
            <w:r>
              <w:rPr>
                <w:rFonts w:ascii="Times New Roman" w:hAnsi="Times New Roman"/>
                <w:color w:val="000000"/>
                <w:sz w:val="20"/>
              </w:rPr>
              <w:t xml:space="preserve"> </w:t>
            </w:r>
            <w:r>
              <w:rPr>
                <w:rFonts w:ascii="Times New Roman" w:hAnsi="Times New Roman"/>
                <w:b/>
                <w:color w:val="000000"/>
                <w:sz w:val="20"/>
              </w:rPr>
              <w:t>327-8775</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BEAM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On June 4, 2025, Beam Therapeutics Inc. (the “Company”) held its 2025 annual meeting of stockholders (the “Annual Meeting”). The following are the voting results for the proposals considered and voted upon at the Annual Meeting, all of which were described in the Company’s Definitive Proxy Statement filed with the U.S. Securities and Exchange Commission on April 18,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Proposal 1 – The following nominees were elected as Class II directors to serve on the Company’s board of directors until the Company’s 2028 annual meeting of stockholders, and until his or her successor has been duly elected and qualified, based on the following votes:</w:t>
      </w:r>
    </w:p>
    <w:p>
      <w:pPr>
        <w:pStyle w:val="TextBody"/>
        <w:bidi w:val="0"/>
        <w:jc w:val="left"/>
        <w:rPr/>
      </w:pPr>
      <w:r>
        <w:rPr/>
        <w:t> </w:t>
      </w:r>
    </w:p>
    <w:tbl>
      <w:tblPr>
        <w:tblW w:w="8079" w:type="dxa"/>
        <w:jc w:val="left"/>
        <w:tblInd w:w="0" w:type="dxa"/>
        <w:tblLayout w:type="fixed"/>
        <w:tblCellMar>
          <w:top w:w="28" w:type="dxa"/>
          <w:left w:w="28" w:type="dxa"/>
          <w:bottom w:w="28" w:type="dxa"/>
          <w:right w:w="28" w:type="dxa"/>
        </w:tblCellMar>
      </w:tblPr>
      <w:tblGrid>
        <w:gridCol w:w="1786"/>
        <w:gridCol w:w="146"/>
        <w:gridCol w:w="146"/>
        <w:gridCol w:w="1036"/>
        <w:gridCol w:w="146"/>
        <w:gridCol w:w="146"/>
        <w:gridCol w:w="146"/>
        <w:gridCol w:w="1036"/>
        <w:gridCol w:w="146"/>
        <w:gridCol w:w="146"/>
        <w:gridCol w:w="192"/>
        <w:gridCol w:w="889"/>
        <w:gridCol w:w="146"/>
        <w:gridCol w:w="146"/>
        <w:gridCol w:w="202"/>
        <w:gridCol w:w="1433"/>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Nominee</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c>
          <w:tcPr>
            <w:tcW w:w="19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Fishman,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61,949,019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10,285,110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12,201,172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Carole Ho,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71,720,651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12,201,172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Kathleen Walsh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71,888,413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12,201,172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Proposal 2 – The appointment of Deloitte &amp; Touche LLP as the Company’s independent registered public accounting firm for the Company’s fiscal year ending December 31, 2025 was ratified, based on the following votes:</w:t>
      </w:r>
    </w:p>
    <w:p>
      <w:pPr>
        <w:pStyle w:val="TextBody"/>
        <w:bidi w:val="0"/>
        <w:jc w:val="left"/>
        <w:rPr/>
      </w:pPr>
      <w:r>
        <w:rPr/>
        <w:t> </w:t>
      </w:r>
    </w:p>
    <w:tbl>
      <w:tblPr>
        <w:tblW w:w="3867" w:type="dxa"/>
        <w:jc w:val="left"/>
        <w:tblInd w:w="0" w:type="dxa"/>
        <w:tblLayout w:type="fixed"/>
        <w:tblCellMar>
          <w:top w:w="28" w:type="dxa"/>
          <w:left w:w="28" w:type="dxa"/>
          <w:bottom w:w="28" w:type="dxa"/>
          <w:right w:w="28" w:type="dxa"/>
        </w:tblCellMar>
      </w:tblPr>
      <w:tblGrid>
        <w:gridCol w:w="124"/>
        <w:gridCol w:w="1036"/>
        <w:gridCol w:w="109"/>
        <w:gridCol w:w="109"/>
        <w:gridCol w:w="109"/>
        <w:gridCol w:w="781"/>
        <w:gridCol w:w="109"/>
        <w:gridCol w:w="109"/>
        <w:gridCol w:w="150"/>
        <w:gridCol w:w="931"/>
        <w:gridCol w:w="109"/>
        <w:gridCol w:w="191"/>
      </w:tblGrid>
      <w:tr>
        <w:trPr/>
        <w:tc>
          <w:tcPr>
            <w:tcW w:w="1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60" w:type="dxa"/>
            <w:gridSpan w:val="2"/>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84,281,031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Proposal 3 – The compensation of the Company’s named executive officers was approved, on an advisory basis, based on the following votes:</w:t>
      </w:r>
    </w:p>
    <w:p>
      <w:pPr>
        <w:pStyle w:val="TextBody"/>
        <w:bidi w:val="0"/>
        <w:jc w:val="left"/>
        <w:rPr/>
      </w:pPr>
      <w:r>
        <w:rPr/>
        <w:t> </w:t>
      </w:r>
    </w:p>
    <w:tbl>
      <w:tblPr>
        <w:tblW w:w="5574" w:type="dxa"/>
        <w:jc w:val="left"/>
        <w:tblInd w:w="0" w:type="dxa"/>
        <w:tblLayout w:type="fixed"/>
        <w:tblCellMar>
          <w:top w:w="28" w:type="dxa"/>
          <w:left w:w="28" w:type="dxa"/>
          <w:bottom w:w="28" w:type="dxa"/>
          <w:right w:w="28" w:type="dxa"/>
        </w:tblCellMar>
      </w:tblPr>
      <w:tblGrid>
        <w:gridCol w:w="124"/>
        <w:gridCol w:w="1036"/>
        <w:gridCol w:w="109"/>
        <w:gridCol w:w="109"/>
        <w:gridCol w:w="109"/>
        <w:gridCol w:w="781"/>
        <w:gridCol w:w="109"/>
        <w:gridCol w:w="109"/>
        <w:gridCol w:w="150"/>
        <w:gridCol w:w="931"/>
        <w:gridCol w:w="109"/>
        <w:gridCol w:w="109"/>
        <w:gridCol w:w="155"/>
        <w:gridCol w:w="1480"/>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0" w:type="dxa"/>
            <w:gridSpan w:val="2"/>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Abstentions</w:t>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c>
          <w:tcPr>
            <w:tcW w:w="154"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71,701,062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562,871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12,201,172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19" w:type="dxa"/>
        <w:jc w:val="left"/>
        <w:tblInd w:w="0" w:type="dxa"/>
        <w:tblLayout w:type="fixed"/>
        <w:tblCellMar>
          <w:top w:w="28" w:type="dxa"/>
          <w:left w:w="28" w:type="dxa"/>
          <w:bottom w:w="28" w:type="dxa"/>
          <w:right w:w="28" w:type="dxa"/>
        </w:tblCellMar>
      </w:tblPr>
      <w:tblGrid>
        <w:gridCol w:w="556"/>
        <w:gridCol w:w="1141"/>
        <w:gridCol w:w="451"/>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color w:val="000000"/>
                <w:sz w:val="20"/>
              </w:rPr>
            </w:pPr>
            <w:r>
              <w:rPr>
                <w:rFonts w:ascii="Times New Roman" w:hAnsi="Times New Roman"/>
                <w:color w:val="000000"/>
                <w:sz w:val="20"/>
              </w:rPr>
              <w:t>Beam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June 6,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7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John Evans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John Evans</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553</Words>
  <Characters>3098</Characters>
  <CharactersWithSpaces>3645</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