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Simon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BEAM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Beam Therapeutics Inc.</w:t>
              </w:r>
            </w:hyperlink>
            <w:r>
              <w:rPr/>
              <w:t xml:space="preserve"> [ </w:t>
            </w:r>
            <w:r>
              <w:rPr>
                <w:rFonts w:ascii="Times;serif" w:hAnsi="Times;serif"/>
                <w:color w:val="0000FF"/>
                <w:sz w:val="24"/>
                <w:shd w:fill="FFFFFF" w:val="clear"/>
              </w:rPr>
              <w:t>BEAM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34.73</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102,363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in a non-discretionary transaction by the Reporting Person in order to cover tax withholding obligations upon the vesting of certain restricted stock units granted to the Reporting Person under the Beam Therapeutics Inc. ("BEAM") 2019 Equity Incentive Plan on June 30, 2022. The sales were effected pursuant to a Rule 10b5-1 trading plan adopted by the Reporting Person on May 19,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Christine Bellon,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879" TargetMode="External"/><Relationship Id="rId5" Type="http://schemas.openxmlformats.org/officeDocument/2006/relationships/hyperlink" Target="http://www.sec.gov/cgi-bin/browse-edgar?action=getcompany&amp;CIK=0001745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3444</Characters>
  <CharactersWithSpaces>4018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