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am-20260630.htm"/>
      <w:bookmarkStart w:id="1" w:name="ksbeam202606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Commission File Number 001-39208</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Beam Therapeutics Inc.</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307" w:type="dxa"/>
        <w:jc w:val="left"/>
        <w:tblInd w:w="0" w:type="dxa"/>
        <w:tblLayout w:type="fixed"/>
        <w:tblCellMar>
          <w:top w:w="28" w:type="dxa"/>
          <w:left w:w="28" w:type="dxa"/>
          <w:bottom w:w="28" w:type="dxa"/>
          <w:right w:w="28" w:type="dxa"/>
        </w:tblCellMar>
      </w:tblPr>
      <w:tblGrid>
        <w:gridCol w:w="2851"/>
        <w:gridCol w:w="1456"/>
      </w:tblGrid>
      <w:tr>
        <w:trPr/>
        <w:tc>
          <w:tcPr>
            <w:tcW w:w="28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81-5238376</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State or other jurisdiction of</w:t>
            </w:r>
          </w:p>
          <w:p>
            <w:pPr>
              <w:pStyle w:val="TableContents"/>
              <w:bidi w:val="0"/>
              <w:spacing w:before="0" w:after="20"/>
              <w:jc w:val="center"/>
              <w:rPr>
                <w:rFonts w:ascii="Times New Roman" w:hAnsi="Times New Roman"/>
                <w:sz w:val="16"/>
              </w:rPr>
            </w:pPr>
            <w:r>
              <w:rPr>
                <w:rFonts w:ascii="Times New Roman" w:hAnsi="Times New Roman"/>
                <w:b/>
                <w:i/>
                <w:color w:val="000000"/>
                <w:sz w:val="16"/>
              </w:rPr>
              <w:t>incorporation or organization</w:t>
            </w:r>
            <w:r>
              <w:rPr>
                <w:rFonts w:ascii="Times New Roman" w:hAnsi="Times New Roman"/>
                <w:b/>
                <w:color w:val="000000"/>
                <w:sz w:val="16"/>
              </w:rPr>
              <w:t>)</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I.R.S. Employer</w:t>
            </w:r>
          </w:p>
          <w:p>
            <w:pPr>
              <w:pStyle w:val="TableContents"/>
              <w:bidi w:val="0"/>
              <w:spacing w:before="0" w:after="20"/>
              <w:jc w:val="center"/>
              <w:rPr>
                <w:rFonts w:ascii="Times New Roman" w:hAnsi="Times New Roman"/>
                <w:sz w:val="16"/>
              </w:rPr>
            </w:pPr>
            <w:r>
              <w:rPr>
                <w:rFonts w:ascii="Times New Roman" w:hAnsi="Times New Roman"/>
                <w:b/>
                <w:i/>
                <w:color w:val="000000"/>
                <w:sz w:val="16"/>
              </w:rPr>
              <w:t>Identification No.</w:t>
            </w:r>
            <w:r>
              <w:rPr>
                <w:rFonts w:ascii="Times New Roman" w:hAnsi="Times New Roman"/>
                <w:b/>
                <w:color w:val="000000"/>
                <w:sz w:val="16"/>
              </w:rPr>
              <w:t>)</w:t>
            </w:r>
          </w:p>
        </w:tc>
      </w:tr>
      <w:tr>
        <w:trPr/>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238 Main Street</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Cambridge, MA</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02142</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Address of principal executive offices</w:t>
            </w:r>
            <w:r>
              <w:rPr>
                <w:rFonts w:ascii="Times New Roman" w:hAnsi="Times New Roman"/>
                <w:b/>
                <w:color w:val="000000"/>
                <w:sz w:val="16"/>
              </w:rPr>
              <w:t>)</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i/>
                <w:color w:val="000000"/>
                <w:sz w:val="16"/>
              </w:rPr>
              <w:t>Zip Code</w:t>
            </w:r>
            <w:r>
              <w:rPr>
                <w:rFonts w:ascii="Times New Roman" w:hAnsi="Times New Roman"/>
                <w:b/>
                <w:color w:val="000000"/>
                <w:sz w:val="16"/>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(857) 327-8775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3346"/>
        <w:gridCol w:w="826"/>
        <w:gridCol w:w="2401"/>
      </w:tblGrid>
      <w:tr>
        <w:trPr/>
        <w:tc>
          <w:tcPr>
            <w:tcW w:w="3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24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3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BEAM</w:t>
            </w:r>
          </w:p>
        </w:tc>
        <w:tc>
          <w:tcPr>
            <w:tcW w:w="24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number of shares of registrant’s common stock outstanding as of July 28, 2026 was 103,287,665.</w:t>
      </w:r>
      <w:r>
        <w:rPr>
          <w:rFonts w:ascii="Times New Roman" w:hAnsi="Times New Roman"/>
          <w:color w:val="000000"/>
          <w:sz w:val="20"/>
        </w:rPr>
        <w:t xml:space="preserve"> </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Such forward-looking statements reflect,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expectations and anticipated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progress and results of our clinical trials, including our Phase 1/2 clinical trial designed to assess the safety and efficacy of risto-cel for the treatment of sickle cell disease, our Phase 1/2 clinical trial designed to assess the safety and efficacy of BEAM-302 for the treatment of alpha-1 antitrypsin deficiency, our Phase 1/2 clinical trial designed to assess the safety and efficacy of BEAM-301 for the treatment of glycogen storage disease type 1a, our Phase 1 healthy volunteer clinical trial of BEAM-103 and our anticipated Phase 1/2 clinical trial designed to assess the safety and efficacy of BEAM-304 for the treatment of phenylketonuria;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file a biologics license application within a certain time period, and to demonstrate to applicable regulators that our product candidates are safe and effective and that their benefits outweigh known and potential risks for the intended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initiation, timing, progress and results of our research and development programs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anticipated launch of risto-cel;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an accelerated approval path for BEAM-302;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maintain a sustainable portfolio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life-long, curative, precision genetic medicines for patients through base editing;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create a hub for partnering with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preclinical studies for product candidates in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any product candidates that we may develop and successfully complete any clinical trials or preclinical studies, including the manufacture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pursue a broad suite of clinically validated delivery modalities;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expected timing, progress and success of our collaborations with third parties, including any future payments we may receive under our collaboration and license agreements,</w:t>
      </w:r>
      <w:r>
        <w:rPr>
          <w:color w:val="000000"/>
        </w:rPr>
        <w:t xml:space="preserve"> </w:t>
      </w:r>
      <w:r>
        <w:rPr>
          <w:rFonts w:ascii="Times New Roman" w:hAnsi="Times New Roman"/>
          <w:color w:val="000000"/>
          <w:sz w:val="20"/>
        </w:rPr>
        <w:t>and 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base editing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develop our delivery modalities and obtain and maintain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maintain a commercial-scale current Good Manufacturing Practice, or cGMP,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strategic and other potential benefits of our acquisition of any additional technologies, as well as the potential of contingent payments in connection with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period over which we believe that our existing cash, cash equivalents and marketable securities will be sufficient to fund our operating expenses and capital expenditure requirements;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macro-economic conditions, as well as the prevailing level of macro-economic, business, and operational uncertainty, including as a result of geopolitical events, federal government shutdowns, the imposition of new or revised global trade tariffs or other global or regional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these statements are subject to known and unknown important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Quarterly Report on Form 10-Q and “Risk Factors Summary” and “Risk Factors” in Part I, Item 1A of our Annual Report on Form 10-K for the fiscal year ended December 31, 2025, or the 2025 Form 10-K. Unless legally required, we assume no obligation to update any such forward-looking information to reflect actual results or changes in the factors affecting such forward-looking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use the terms “Beam,” the “Company,” “we,” “us” or “our” in this Quarterly Report on Form 10-Q, we mean Beam Therapeutics Inc. and its subsidiaries on a consolidated basis, unless the context indicates otherwise.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1021"/>
        <w:gridCol w:w="7366"/>
        <w:gridCol w:w="511"/>
      </w:tblGrid>
      <w:tr>
        <w:trPr/>
        <w:tc>
          <w:tcPr>
            <w:tcW w:w="102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or_co">
              <w:r>
                <w:rPr>
                  <w:rStyle w:val="InternetLink"/>
                  <w:rFonts w:ascii="Times New Roman" w:hAnsi="Times New Roman"/>
                  <w:color w:val="0000FF"/>
                  <w:sz w:val="20"/>
                  <w:u w:val="single"/>
                </w:rPr>
                <w:t>Condensed Consolidated Statements of Operations and Other Comprehensive Loss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redeemable_conve">
              <w:r>
                <w:rPr>
                  <w:rStyle w:val="InternetLink"/>
                  <w:rFonts w:ascii="Times New Roman" w:hAnsi="Times New Roman"/>
                  <w:color w:val="0000FF"/>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120"/>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 (Unaudited)</w:t>
      </w:r>
    </w:p>
    <w:p>
      <w:pPr>
        <w:pStyle w:val="TextBody"/>
        <w:bidi w:val="0"/>
        <w:spacing w:before="120" w:after="283"/>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11"/>
        <w:gridCol w:w="991"/>
        <w:gridCol w:w="166"/>
        <w:gridCol w:w="146"/>
        <w:gridCol w:w="211"/>
        <w:gridCol w:w="991"/>
        <w:gridCol w:w="611"/>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1,481,177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contingent consideration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Commitments and contingencies (See Note 7, </w:t>
            </w:r>
            <w:r>
              <w:rPr>
                <w:rFonts w:ascii="Times New Roman" w:hAnsi="Times New Roman"/>
                <w:i/>
                <w:color w:val="000000"/>
                <w:sz w:val="20"/>
              </w:rPr>
              <w:t xml:space="preserve">License and other agreements </w:t>
            </w:r>
            <w:r>
              <w:rPr>
                <w:rFonts w:ascii="Times New Roman" w:hAnsi="Times New Roman"/>
                <w:color w:val="000000"/>
                <w:sz w:val="20"/>
              </w:rPr>
              <w:t>and Note 8, </w:t>
            </w:r>
            <w:r>
              <w:rPr>
                <w:rFonts w:ascii="Times New Roman" w:hAnsi="Times New Roman"/>
                <w:i/>
                <w:color w:val="000000"/>
                <w:sz w:val="20"/>
              </w:rPr>
              <w:t>Collaboration agreements</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25,000,000 shares authorized, and no shares issued or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250,000,000 shares authorized, 103,264,636 and 101,748,962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2,877,449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1,238,358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1,481,177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perations_or_co"/>
      <w:bookmarkEnd w:id="5"/>
      <w:r>
        <w:rPr>
          <w:rFonts w:ascii="Times New Roman" w:hAnsi="Times New Roman"/>
          <w:b/>
          <w:color w:val="000000"/>
          <w:sz w:val="20"/>
        </w:rPr>
        <w:t>Condensed Consolidated Statements of Operations and Other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9"/>
        <w:gridCol w:w="546"/>
        <w:gridCol w:w="211"/>
        <w:gridCol w:w="1141"/>
        <w:gridCol w:w="166"/>
        <w:gridCol w:w="146"/>
        <w:gridCol w:w="211"/>
        <w:gridCol w:w="1141"/>
        <w:gridCol w:w="166"/>
        <w:gridCol w:w="146"/>
        <w:gridCol w:w="211"/>
        <w:gridCol w:w="1141"/>
        <w:gridCol w:w="166"/>
        <w:gridCol w:w="146"/>
        <w:gridCol w:w="211"/>
        <w:gridCol w:w="1036"/>
        <w:gridCol w:w="591"/>
      </w:tblGrid>
      <w:tr>
        <w:trPr/>
        <w:tc>
          <w:tcPr>
            <w:tcW w:w="282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104,326,669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101,995,184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103,797,276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95,023,977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jc w:val="center"/>
        <w:rPr>
          <w:rFonts w:ascii="Times New Roman" w:hAnsi="Times New Roman"/>
          <w:sz w:val="20"/>
        </w:rPr>
      </w:pPr>
      <w:bookmarkStart w:id="6" w:name="consolidated_statements_redeemable_conve"/>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47"/>
        <w:gridCol w:w="146"/>
        <w:gridCol w:w="146"/>
        <w:gridCol w:w="1006"/>
        <w:gridCol w:w="146"/>
        <w:gridCol w:w="146"/>
        <w:gridCol w:w="196"/>
        <w:gridCol w:w="511"/>
        <w:gridCol w:w="146"/>
        <w:gridCol w:w="146"/>
        <w:gridCol w:w="196"/>
        <w:gridCol w:w="826"/>
        <w:gridCol w:w="166"/>
        <w:gridCol w:w="146"/>
        <w:gridCol w:w="339"/>
        <w:gridCol w:w="757"/>
        <w:gridCol w:w="166"/>
        <w:gridCol w:w="146"/>
        <w:gridCol w:w="196"/>
        <w:gridCol w:w="886"/>
        <w:gridCol w:w="166"/>
        <w:gridCol w:w="146"/>
        <w:gridCol w:w="196"/>
        <w:gridCol w:w="826"/>
        <w:gridCol w:w="411"/>
      </w:tblGrid>
      <w:tr>
        <w:trP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733,545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Cumulative effect of adoption of ASU 2025-07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and pre-funded warrants, net of issuance costs of $30.8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100,557,094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1,129,480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and pre-funded warrants, net of issuance costs of $30.8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100,758,748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1,053,310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 - Continued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47"/>
        <w:gridCol w:w="146"/>
        <w:gridCol w:w="146"/>
        <w:gridCol w:w="1006"/>
        <w:gridCol w:w="146"/>
        <w:gridCol w:w="146"/>
        <w:gridCol w:w="196"/>
        <w:gridCol w:w="511"/>
        <w:gridCol w:w="146"/>
        <w:gridCol w:w="146"/>
        <w:gridCol w:w="196"/>
        <w:gridCol w:w="826"/>
        <w:gridCol w:w="166"/>
        <w:gridCol w:w="146"/>
        <w:gridCol w:w="280"/>
        <w:gridCol w:w="816"/>
        <w:gridCol w:w="166"/>
        <w:gridCol w:w="146"/>
        <w:gridCol w:w="196"/>
        <w:gridCol w:w="886"/>
        <w:gridCol w:w="166"/>
        <w:gridCol w:w="146"/>
        <w:gridCol w:w="196"/>
        <w:gridCol w:w="826"/>
        <w:gridCol w:w="411"/>
      </w:tblGrid>
      <w:tr>
        <w:trP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101,748,962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1,238,358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102,741,848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(1,735,537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103,264,636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1,067,442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841"/>
        <w:gridCol w:w="166"/>
        <w:gridCol w:w="146"/>
        <w:gridCol w:w="211"/>
        <w:gridCol w:w="841"/>
        <w:gridCol w:w="10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investment discount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shares and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issuances of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debt, net of fees paid to lender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474,488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288,765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Beam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 Continued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Unaudited</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9153" w:type="dxa"/>
        <w:jc w:val="left"/>
        <w:tblInd w:w="0" w:type="dxa"/>
        <w:tblLayout w:type="fixed"/>
        <w:tblCellMar>
          <w:top w:w="28" w:type="dxa"/>
          <w:left w:w="28" w:type="dxa"/>
          <w:bottom w:w="28" w:type="dxa"/>
          <w:right w:w="28" w:type="dxa"/>
        </w:tblCellMar>
      </w:tblPr>
      <w:tblGrid>
        <w:gridCol w:w="6546"/>
        <w:gridCol w:w="146"/>
        <w:gridCol w:w="256"/>
        <w:gridCol w:w="693"/>
        <w:gridCol w:w="177"/>
        <w:gridCol w:w="177"/>
        <w:gridCol w:w="256"/>
        <w:gridCol w:w="511"/>
        <w:gridCol w:w="391"/>
      </w:tblGrid>
      <w:tr>
        <w:trPr/>
        <w:tc>
          <w:tcPr>
            <w:tcW w:w="6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additions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Inc.</w:t>
      </w:r>
    </w:p>
    <w:p>
      <w:pPr>
        <w:pStyle w:val="TextBody"/>
        <w:bidi w:val="0"/>
        <w:spacing w:before="0" w:after="12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 (</w:t>
      </w:r>
      <w:r>
        <w:rPr>
          <w:rFonts w:ascii="Times New Roman" w:hAnsi="Times New Roman"/>
          <w:b/>
          <w:i/>
          <w:color w:val="000000"/>
          <w:sz w:val="20"/>
        </w:rPr>
        <w:t>Unaudited</w:t>
      </w:r>
      <w:r>
        <w:rPr>
          <w:rFonts w:ascii="Times New Roman" w:hAnsi="Times New Roman"/>
          <w:b/>
          <w:color w:val="000000"/>
          <w:sz w:val="20"/>
        </w:rPr>
        <w:t>)</w:t>
      </w:r>
    </w:p>
    <w:p>
      <w:pPr>
        <w:pStyle w:val="TextBody"/>
        <w:bidi w:val="0"/>
        <w:spacing w:before="120" w:after="120"/>
        <w:jc w:val="left"/>
        <w:rPr>
          <w:rFonts w:ascii="Times New Roman" w:hAnsi="Times New Roman"/>
          <w:sz w:val="20"/>
        </w:rPr>
      </w:pPr>
      <w:r>
        <w:rPr>
          <w:rFonts w:ascii="Times New Roman" w:hAnsi="Times New Roman"/>
          <w:b/>
          <w:caps/>
          <w:color w:val="000000"/>
          <w:sz w:val="20"/>
        </w:rPr>
        <w:t xml:space="preserve">1. </w:t>
      </w:r>
      <w:r>
        <w:rPr>
          <w:rFonts w:ascii="Times New Roman" w:hAnsi="Times New Roman"/>
          <w:b/>
          <w:color w:val="000000"/>
          <w:sz w:val="20"/>
        </w:rPr>
        <w:t>Nature of the business and 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left"/>
        <w:rPr>
          <w:rFonts w:ascii="Times New Roman" w:hAnsi="Times New Roman"/>
          <w:color w:val="000000"/>
          <w:sz w:val="20"/>
        </w:rPr>
      </w:pPr>
      <w:r>
        <w:rPr>
          <w:rFonts w:ascii="Times New Roman" w:hAnsi="Times New Roman"/>
          <w:color w:val="000000"/>
          <w:sz w:val="20"/>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continuing to invest in its internal manufacturing capabilities and making arrangements to conduct manufacturing activities with contract manufacturing organizations, conducting clinical trials, building a commercial function, organizing and staffing the Company, maintaining its facilities and new facility build-outs, business planning, raising capital and providing general and administrative support for these operations. The Company is subject to risks and uncertainties common to clinical-stage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an at the market sales agreement, or the Sales Agreement, with Jefferies LLC, or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June 30, 2026, the Company has sold 13,769,001 shares of its common stock under the Sales Agreement at an average price of $62.75 per share for aggregate gross proceeds of $864.0 million, before deducting commissions and offering expenses payable by the Company. There were no shares sold under the Sales Agreement during the three and six months ended June 30, 2026.</w:t>
      </w:r>
    </w:p>
    <w:p>
      <w:pPr>
        <w:pStyle w:val="TextBody"/>
        <w:bidi w:val="0"/>
        <w:spacing w:before="120" w:after="120"/>
        <w:jc w:val="left"/>
        <w:rPr>
          <w:rFonts w:ascii="Times New Roman" w:hAnsi="Times New Roman"/>
          <w:sz w:val="20"/>
        </w:rPr>
      </w:pPr>
      <w:r>
        <w:rPr>
          <w:rFonts w:ascii="Times New Roman" w:hAnsi="Times New Roman"/>
          <w:color w:val="000000"/>
          <w:sz w:val="20"/>
        </w:rPr>
        <w:t>In March 2025, the Company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w:t>
      </w:r>
      <w:r>
        <w:rPr>
          <w:rFonts w:ascii="Times New Roman" w:hAnsi="Times New Roman"/>
          <w:color w:val="FF0000"/>
          <w:sz w:val="20"/>
        </w:rPr>
        <w:t xml:space="preserve"> </w:t>
      </w:r>
      <w:r>
        <w:rPr>
          <w:rFonts w:ascii="Times New Roman" w:hAnsi="Times New Roman"/>
          <w:color w:val="000000"/>
          <w:sz w:val="20"/>
        </w:rPr>
        <w:t xml:space="preserve">million related to legal, accounting and other fees in connection with the offering. Refer to Note 9, </w:t>
      </w:r>
      <w:r>
        <w:rPr>
          <w:rFonts w:ascii="Times New Roman" w:hAnsi="Times New Roman"/>
          <w:i/>
          <w:color w:val="000000"/>
          <w:sz w:val="20"/>
        </w:rPr>
        <w:t>Common stock and pre-funded common stock warrants</w:t>
      </w:r>
      <w:r>
        <w:rPr>
          <w:rFonts w:ascii="Times New Roman" w:hAnsi="Times New Roman"/>
          <w:color w:val="000000"/>
          <w:sz w:val="20"/>
        </w:rPr>
        <w:t>, for further information.</w:t>
      </w:r>
    </w:p>
    <w:p>
      <w:pPr>
        <w:pStyle w:val="TextBody"/>
        <w:bidi w:val="0"/>
        <w:jc w:val="left"/>
        <w:rPr>
          <w:rFonts w:ascii="Times New Roman" w:hAnsi="Times New Roman"/>
          <w:color w:val="000000"/>
          <w:sz w:val="20"/>
        </w:rPr>
      </w:pPr>
      <w:r>
        <w:rPr>
          <w:rFonts w:ascii="Times New Roman" w:hAnsi="Times New Roman"/>
          <w:color w:val="000000"/>
          <w:sz w:val="20"/>
        </w:rPr>
        <w:t>In December 2025, Bristol-Myers Squibb Company completed an acquisition, or the Acquisition, of Orbital Therapeutics, Inc., or Orbital. At the closing of the Acquisition, the Company held 75 million shares of Orbital common stock, which were cancelled and converted into $255.1 million in closing cash consideration, plus the right to receive up to approximately $26.3 million in additional cash consideration upon the release, if any, of certain escrows. During the three months ended June 30, 2026, the Company received an additional $0.5 million related to the release of a portion of the escrow associated with the Acquisition. The Company may receive additional cash consideration in future periods upon the release of the remaining escrow amounts, if any, in accordance with the terms of the Acquisition.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February 2026, the Company entered into a financing agreement with certain lenders and Sixth Street Lending Partners which provides for a credit facility, or the Credit Facility, consisting of an initial draw of $100.0 million on the closing date; up to $300 million available upon the achievement of certain clinical, regulatory and commercial milestones for risto-cel; and an additional $100 million available at the Company’s option, subject to mutual agreement between the parties, during the seven-year term of the agreement. The Credit Facility matures on February 24, 2033 and bears interest at an annual rate equal to the 3-month Secured Overnight Financing Rate (SOFR) plus 6.5% (subject to a 1.00% floor). Certain additional commitment, administrative, undrawn amount and facility fees are also payable in connection with the Credit Facility.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its inception, the Company has incurred substantial losses and had an accumulated deficit of $1.9 billion as of June 30, 2026. The Company expects to generate operating losses and negative operating cash flows for the foreseeable future.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expects that its cash, cash equivalents, and marketable securities as of June 30, 2026 of $1.2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 </w:t>
      </w:r>
    </w:p>
    <w:p>
      <w:pPr>
        <w:pStyle w:val="TextBody"/>
        <w:bidi w:val="0"/>
        <w:spacing w:before="0" w:after="120"/>
        <w:jc w:val="left"/>
        <w:rPr>
          <w:rFonts w:ascii="Times New Roman" w:hAnsi="Times New Roman"/>
          <w:sz w:val="20"/>
        </w:rPr>
      </w:pPr>
      <w:r>
        <w:rPr>
          <w:rFonts w:ascii="Times New Roman" w:hAnsi="Times New Roman"/>
          <w:b/>
          <w:caps/>
          <w:color w:val="000000"/>
          <w:sz w:val="20"/>
        </w:rPr>
        <w:t>2. S</w:t>
      </w:r>
      <w:r>
        <w:rPr>
          <w:rFonts w:ascii="Times New Roman" w:hAnsi="Times New Roman"/>
          <w:b/>
          <w:color w:val="000000"/>
          <w:sz w:val="20"/>
        </w:rPr>
        <w:t>ummary of significant accounting policies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the SEC, on February 24, 2026, or the 2025 Form 10-K. Since the date of those financial statements, except as set forth below under “Debt,” there have been no material changes to the Company's significant accounting policies.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Debt</w:t>
      </w:r>
    </w:p>
    <w:p>
      <w:pPr>
        <w:pStyle w:val="TextBody"/>
        <w:bidi w:val="0"/>
        <w:jc w:val="left"/>
        <w:rPr>
          <w:rFonts w:ascii="Times New Roman" w:hAnsi="Times New Roman"/>
          <w:sz w:val="20"/>
        </w:rPr>
      </w:pPr>
      <w:r>
        <w:rPr>
          <w:rFonts w:ascii="Times New Roman" w:hAnsi="Times New Roman"/>
          <w:color w:val="000000"/>
          <w:sz w:val="20"/>
        </w:rPr>
        <w:t xml:space="preserve">The Company accounts for debt instruments in accordance with Accounting Standards Codification, or ASC, No. 470, </w:t>
      </w:r>
      <w:r>
        <w:rPr>
          <w:rFonts w:ascii="Times New Roman" w:hAnsi="Times New Roman"/>
          <w:i/>
          <w:color w:val="000000"/>
          <w:sz w:val="20"/>
        </w:rPr>
        <w:t>Debt</w:t>
      </w:r>
      <w:r>
        <w:rPr>
          <w:rFonts w:ascii="Times New Roman" w:hAnsi="Times New Roman"/>
          <w:color w:val="000000"/>
          <w:sz w:val="20"/>
        </w:rPr>
        <w:t>. Debt is initially recorded at the amount of cash proceeds received, adjusted for debt discounts, premiums, and issuance costs, and is subsequently measured at amortized cost using the effective interest method. Debt is classified as current or noncurrent based on the contractual maturity date and the absence or presence of conditions that would require repayment within twelve months of the balance sheet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financing arrangements may include non</w:t>
        <w:noBreakHyphen/>
        <w:t>revolving delayed draw commitments. Fees paid in connection with obtaining such commitments are deferred and recorded as a loan commitment asset, which represents the Company’s contractual right to access future financing. The loan commitment asset is initially measured at fair value and is assessed for impairment at each reporting period. Upon the funding of a delayed draw term loan, the Company derecognizes the associated portion of the loan commitment asset and records it as a discount to the funded debt, which is amortized to interest expense over the term of the related loan using the effective interest method. If it becomes probable that all or a portion of a loan commitment will not be drawn, the related portion of the loan commitment asset is expensed immediately.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Debt arrangements are evaluated for embedded features that may require bifurcation and separate accounting under ASC 815, </w:t>
      </w:r>
      <w:r>
        <w:rPr>
          <w:rFonts w:ascii="Times New Roman" w:hAnsi="Times New Roman"/>
          <w:i/>
          <w:color w:val="000000"/>
          <w:sz w:val="20"/>
        </w:rPr>
        <w:t>Derivatives and Hedging</w:t>
      </w:r>
      <w:r>
        <w:rPr>
          <w:rFonts w:ascii="Times New Roman" w:hAnsi="Times New Roman"/>
          <w:color w:val="000000"/>
          <w:sz w:val="20"/>
        </w:rPr>
        <w:t>. Embedded features that meet the definition of a derivative and are not clearly and closely related to the debt host are bifurcated unless a scope exception applies. If bifurcation is required, embedded derivatives are initially and subsequently measured at fair value, with changes in fair value recognized in earnings.</w:t>
      </w:r>
    </w:p>
    <w:p>
      <w:pPr>
        <w:pStyle w:val="TextBody"/>
        <w:bidi w:val="0"/>
        <w:spacing w:before="120" w:after="12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United States generally accepted accounting principles, or GAAP. Any reference in these notes to applicable guidance is meant to refer to the authoritative GAAP as found in the ASC and Accounting Standards Update, or ASU, of the Financial Accounting Standards Board, or FASB. </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results of operations of the Company and its wholly-owned subsidiaries. All intercompany transactions and balances have been eliminated in consolidation.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incremental borrowing rate used in the calculation of lease liabilities, research and development expenses, stock-based compensation, contingent consideration liabilities, success payments and certain judgments regarding revenue recognition. Actual results could differ from these estimates.</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Company early adopted ASU No. 2025-07, </w:t>
      </w:r>
      <w:r>
        <w:rPr>
          <w:rFonts w:ascii="Times New Roman" w:hAnsi="Times New Roman"/>
          <w:i/>
          <w:color w:val="000000"/>
          <w:sz w:val="20"/>
        </w:rPr>
        <w:t>Derivatives and Hedging (Topic 815) and Revenue from Contracts with Customers (Topic 606): Scope Refinements and Scope Clarification for Share-Based Noncash Consideration from a Customer in a Revenue Contract</w:t>
      </w:r>
      <w:r>
        <w:rPr>
          <w:rFonts w:ascii="Times New Roman" w:hAnsi="Times New Roman"/>
          <w:color w:val="000000"/>
          <w:sz w:val="20"/>
        </w:rPr>
        <w:t xml:space="preserve">, or ASU 2025-07, in the fourth quarter of 2025 using a modified retrospective approach. The new guidance modifies Accounting Standards Codification Topic 815, </w:t>
      </w:r>
      <w:r>
        <w:rPr>
          <w:rFonts w:ascii="Times New Roman" w:hAnsi="Times New Roman"/>
          <w:i/>
          <w:color w:val="000000"/>
          <w:sz w:val="20"/>
        </w:rPr>
        <w:t>Derivatives and Hedging, or</w:t>
      </w:r>
      <w:r>
        <w:rPr>
          <w:rFonts w:ascii="Times New Roman" w:hAnsi="Times New Roman"/>
          <w:color w:val="000000"/>
          <w:sz w:val="20"/>
        </w:rPr>
        <w:t xml:space="preserve"> Topic 815, to add a scope exclusion for contracts that are not traded on an exchange if the underlying on which the settlement is based relates to operations or activities specific to one of the parties to the contract. As a result, an existing contract that includes a settlement feature based on the Company’s operations or activities is now excluded from Topic 815 and will now be accounted for in accordance with ASC 450, </w:t>
      </w:r>
      <w:r>
        <w:rPr>
          <w:rFonts w:ascii="Times New Roman" w:hAnsi="Times New Roman"/>
          <w:i/>
          <w:color w:val="000000"/>
          <w:sz w:val="20"/>
        </w:rPr>
        <w:t>Contingencies</w:t>
      </w:r>
      <w:r>
        <w:rPr>
          <w:rFonts w:ascii="Times New Roman" w:hAnsi="Times New Roman"/>
          <w:color w:val="000000"/>
          <w:sz w:val="20"/>
        </w:rPr>
        <w:t xml:space="preserve">, or ASC 450, whereby any settlements will be recognized as such obligations become probable and estimable. The adoption of ASU 2025-07 using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modified retrospective approach required the Company to adopt the standard as of January 1, 2025. Upon adoption, the Company recognized a cumulative-effect adjustment to remove the previously recognized derivative liability as of January 1, 2025, reducing the long-term portion of derivative liabilities by $5.4 million, with an offsetting adjustment to accumulated deficit. The previously reported statement of operations and comprehensive loss for the three and six months ended June 30, 2025 has been adjusted to reflect this guidance, resulting in reducing the previously reported net loss for the three and six months ended June 30, 2025 by $0.2 million and $1.1 million, respectively, which had no impact per share for the three months ended June 30, 2025 and an impact of $0.02 per share for the six months ended June 30, 2025. The adjustment had no impact on previously reported cash flows from operating, investing, or financing activities within the Company's condensed consolidated statements of cash flows. In accordance with ASC 450, no liability has been recognized for the contingent payments under the contract through June 30, 2026.</w:t>
      </w:r>
    </w:p>
    <w:p>
      <w:pPr>
        <w:pStyle w:val="TextBody"/>
        <w:bidi w:val="0"/>
        <w:jc w:val="left"/>
        <w:rPr>
          <w:rFonts w:ascii="Times New Roman" w:hAnsi="Times New Roman"/>
          <w:b/>
          <w:i/>
          <w:color w:val="000000"/>
          <w:sz w:val="20"/>
        </w:rPr>
      </w:pPr>
      <w:r>
        <w:rPr>
          <w:rFonts w:ascii="Times New Roman" w:hAnsi="Times New Roman"/>
          <w:b/>
          <w:i/>
          <w:color w:val="000000"/>
          <w:sz w:val="20"/>
        </w:rPr>
        <w:t>Recently announced accounting pronouncements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disclosure of specified information about certain costs and expenses in the footnotes to the financial statements. This ASU is effective for annual periods beginning after December 15, 2026 and is applicable to the Company’s fiscal year beginning January 1, 2027, with early application permitted. The Company has not early adopted this ASU and is currently evaluating the impact of this new standard on its consolidated financial statements and related disclosures.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This standard is intended to modernize the accounting for internal-use software. Under the new standard, the Company will capitalize eligible costs when (i) management has authorized and committed to funding the software project, and (ii) it is probable that the project will be completed and the software will be used to perform the function intended. The standard is effective for fiscal years, and interim periods within those fiscal years, beginning after December 15, 2027, with early adoption permitted as of the beginning of a fiscal year. The standard may be applied prospectively, retrospectively or using a modified transition approach. The Company is currently evaluating the impact that this standard will have on the Company’s consolidated operating results, cash flows, financial condition and related disclosures.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facilities.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reconciles cash, cash equivalents, and restricted cash reported within the Company’s condensed consolidated balance sheets to the total of the amounts shown in the condensed consolidated statements of cash flows (in thousands):</w:t>
      </w:r>
    </w:p>
    <w:tbl>
      <w:tblPr>
        <w:tblW w:w="7004" w:type="dxa"/>
        <w:jc w:val="left"/>
        <w:tblInd w:w="0" w:type="dxa"/>
        <w:tblLayout w:type="fixed"/>
        <w:tblCellMar>
          <w:top w:w="28" w:type="dxa"/>
          <w:left w:w="28" w:type="dxa"/>
          <w:bottom w:w="28" w:type="dxa"/>
          <w:right w:w="28" w:type="dxa"/>
        </w:tblCellMar>
      </w:tblPr>
      <w:tblGrid>
        <w:gridCol w:w="4191"/>
        <w:gridCol w:w="146"/>
        <w:gridCol w:w="211"/>
        <w:gridCol w:w="781"/>
        <w:gridCol w:w="146"/>
        <w:gridCol w:w="146"/>
        <w:gridCol w:w="211"/>
        <w:gridCol w:w="781"/>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b/>
          <w:caps/>
          <w:color w:val="000000"/>
          <w:sz w:val="20"/>
        </w:rPr>
        <w:t>3. P</w:t>
      </w:r>
      <w:r>
        <w:rPr>
          <w:rFonts w:ascii="Times New Roman" w:hAnsi="Times New Roman"/>
          <w:b/>
          <w:color w:val="000000"/>
          <w:sz w:val="20"/>
        </w:rPr>
        <w:t>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5767" w:type="dxa"/>
        <w:jc w:val="left"/>
        <w:tblInd w:w="0" w:type="dxa"/>
        <w:tblLayout w:type="fixed"/>
        <w:tblCellMar>
          <w:top w:w="28" w:type="dxa"/>
          <w:left w:w="28" w:type="dxa"/>
          <w:bottom w:w="28" w:type="dxa"/>
          <w:right w:w="28" w:type="dxa"/>
        </w:tblCellMar>
      </w:tblPr>
      <w:tblGrid>
        <w:gridCol w:w="2751"/>
        <w:gridCol w:w="146"/>
        <w:gridCol w:w="211"/>
        <w:gridCol w:w="841"/>
        <w:gridCol w:w="166"/>
        <w:gridCol w:w="146"/>
        <w:gridCol w:w="233"/>
        <w:gridCol w:w="862"/>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depreciation expense incurred (in thousands):</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876"/>
        <w:gridCol w:w="146"/>
        <w:gridCol w:w="257"/>
        <w:gridCol w:w="697"/>
        <w:gridCol w:w="178"/>
        <w:gridCol w:w="178"/>
        <w:gridCol w:w="257"/>
        <w:gridCol w:w="697"/>
        <w:gridCol w:w="146"/>
        <w:gridCol w:w="146"/>
        <w:gridCol w:w="211"/>
        <w:gridCol w:w="677"/>
        <w:gridCol w:w="146"/>
        <w:gridCol w:w="146"/>
        <w:gridCol w:w="211"/>
        <w:gridCol w:w="677"/>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4. f</w:t>
      </w:r>
      <w:r>
        <w:rPr>
          <w:rFonts w:ascii="Times New Roman" w:hAnsi="Times New Roman"/>
          <w:b/>
          <w:color w:val="000000"/>
          <w:sz w:val="20"/>
        </w:rPr>
        <w:t>air value of financial instruments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cash equivalents, marketable securities, corporate equity securities, contingent consideration liabilities related to acquisitions, and success payment derivative liabilities pursuant to the license agreement, or the Harvard License Agreement, between President and Fellows of Harvard University, or Harvard, and the Company, as well as the license agreement, or the Broad License Agreement, between The Broad Institute, Inc., or Broad Institute, and the Company.</w:t>
      </w:r>
    </w:p>
    <w:p>
      <w:pPr>
        <w:pStyle w:val="TextBody"/>
        <w:bidi w:val="0"/>
        <w:jc w:val="left"/>
        <w:rPr>
          <w:rFonts w:ascii="Times New Roman" w:hAnsi="Times New Roman"/>
          <w:color w:val="000000"/>
          <w:sz w:val="20"/>
        </w:rPr>
      </w:pPr>
      <w:r>
        <w:rPr>
          <w:rFonts w:ascii="Times New Roman" w:hAnsi="Times New Roman"/>
          <w:color w:val="000000"/>
          <w:sz w:val="20"/>
        </w:rPr>
        <w:t>The following tables set forth the fair value of the Company’s financial assets and liabilities by level within the fair value hierarchy at June 30, 2026 (in thousands):</w:t>
      </w:r>
    </w:p>
    <w:tbl>
      <w:tblPr>
        <w:tblW w:w="10205" w:type="dxa"/>
        <w:jc w:val="left"/>
        <w:tblInd w:w="0" w:type="dxa"/>
        <w:tblLayout w:type="fixed"/>
        <w:tblCellMar>
          <w:top w:w="28" w:type="dxa"/>
          <w:left w:w="28" w:type="dxa"/>
          <w:bottom w:w="28" w:type="dxa"/>
          <w:right w:w="28" w:type="dxa"/>
        </w:tblCellMar>
      </w:tblPr>
      <w:tblGrid>
        <w:gridCol w:w="3145"/>
        <w:gridCol w:w="146"/>
        <w:gridCol w:w="211"/>
        <w:gridCol w:w="931"/>
        <w:gridCol w:w="146"/>
        <w:gridCol w:w="146"/>
        <w:gridCol w:w="211"/>
        <w:gridCol w:w="931"/>
        <w:gridCol w:w="146"/>
        <w:gridCol w:w="146"/>
        <w:gridCol w:w="211"/>
        <w:gridCol w:w="781"/>
        <w:gridCol w:w="146"/>
        <w:gridCol w:w="146"/>
        <w:gridCol w:w="211"/>
        <w:gridCol w:w="781"/>
        <w:gridCol w:w="146"/>
        <w:gridCol w:w="146"/>
        <w:gridCol w:w="211"/>
        <w:gridCol w:w="676"/>
        <w:gridCol w:w="591"/>
      </w:tblGrid>
      <w:tr>
        <w:trPr/>
        <w:tc>
          <w:tcPr>
            <w:tcW w:w="3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 backed repurchase</w:t>
              <w:br/>
              <w:t>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Harvard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Broad Institute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set forth the fair value of the Company’s financial assets and liabilities by level within the fair value hierarchy at December 31, 2025 (in thousands): </w:t>
      </w:r>
    </w:p>
    <w:tbl>
      <w:tblPr>
        <w:tblW w:w="10205" w:type="dxa"/>
        <w:jc w:val="left"/>
        <w:tblInd w:w="0" w:type="dxa"/>
        <w:tblLayout w:type="fixed"/>
        <w:tblCellMar>
          <w:top w:w="28" w:type="dxa"/>
          <w:left w:w="28" w:type="dxa"/>
          <w:bottom w:w="28" w:type="dxa"/>
          <w:right w:w="28" w:type="dxa"/>
        </w:tblCellMar>
      </w:tblPr>
      <w:tblGrid>
        <w:gridCol w:w="3145"/>
        <w:gridCol w:w="146"/>
        <w:gridCol w:w="211"/>
        <w:gridCol w:w="931"/>
        <w:gridCol w:w="146"/>
        <w:gridCol w:w="146"/>
        <w:gridCol w:w="211"/>
        <w:gridCol w:w="931"/>
        <w:gridCol w:w="146"/>
        <w:gridCol w:w="146"/>
        <w:gridCol w:w="211"/>
        <w:gridCol w:w="781"/>
        <w:gridCol w:w="146"/>
        <w:gridCol w:w="146"/>
        <w:gridCol w:w="211"/>
        <w:gridCol w:w="781"/>
        <w:gridCol w:w="146"/>
        <w:gridCol w:w="146"/>
        <w:gridCol w:w="211"/>
        <w:gridCol w:w="676"/>
        <w:gridCol w:w="591"/>
      </w:tblGrid>
      <w:tr>
        <w:trPr/>
        <w:tc>
          <w:tcPr>
            <w:tcW w:w="3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 backed repurchase</w:t>
              <w:br/>
              <w:t>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Harvard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Success payment liability – Broad Institute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liability milestones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Cash equivalents </w:t>
      </w:r>
      <w:r>
        <w:rPr>
          <w:rFonts w:ascii="Times New Roman" w:hAnsi="Times New Roman"/>
          <w:color w:val="000000"/>
          <w:sz w:val="20"/>
        </w:rPr>
        <w:t>– Money market funds included within cash equivalents are classified within Level 1 of the fair value hierarchy because they are valued using quoted market prices in active markets and repurchase agreements backed by U.S. Treasury securities that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Marketable securities </w:t>
      </w:r>
      <w:r>
        <w:rPr>
          <w:rFonts w:ascii="Times New Roman" w:hAnsi="Times New Roman"/>
          <w:color w:val="000000"/>
          <w:sz w:val="20"/>
        </w:rPr>
        <w:t xml:space="preserve">– Marketable securities, excluding corporate equity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the Company holds an investment in Prime Medicine, Inc., or Prime, consisting of 1,608,337 shares of Prime's common stock valued at $5.9 million, which is included in marketable securities in the condensed consolidated balance sheet.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Pursuant to ASC 825, </w:t>
      </w:r>
      <w:r>
        <w:rPr>
          <w:rFonts w:ascii="Times New Roman" w:hAnsi="Times New Roman"/>
          <w:i/>
          <w:color w:val="000000"/>
          <w:sz w:val="20"/>
        </w:rPr>
        <w:t>Financial instruments</w:t>
      </w:r>
      <w:r>
        <w:rPr>
          <w:rFonts w:ascii="Times New Roman" w:hAnsi="Times New Roman"/>
          <w:color w:val="000000"/>
          <w:sz w:val="20"/>
        </w:rPr>
        <w:t>, the Company records changes in the fair value of its investments in equity securities to other income (expense), in the Company’s condensed consolidated statements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other income (expense) recorded due to changes in the fair value of corporate equity securities held (in thousands):</w:t>
      </w:r>
    </w:p>
    <w:tbl>
      <w:tblPr>
        <w:tblW w:w="7003" w:type="dxa"/>
        <w:jc w:val="left"/>
        <w:tblInd w:w="0" w:type="dxa"/>
        <w:tblLayout w:type="fixed"/>
        <w:tblCellMar>
          <w:top w:w="28" w:type="dxa"/>
          <w:left w:w="28" w:type="dxa"/>
          <w:bottom w:w="28" w:type="dxa"/>
          <w:right w:w="28" w:type="dxa"/>
        </w:tblCellMar>
      </w:tblPr>
      <w:tblGrid>
        <w:gridCol w:w="2041"/>
        <w:gridCol w:w="146"/>
        <w:gridCol w:w="280"/>
        <w:gridCol w:w="559"/>
        <w:gridCol w:w="193"/>
        <w:gridCol w:w="193"/>
        <w:gridCol w:w="280"/>
        <w:gridCol w:w="758"/>
        <w:gridCol w:w="146"/>
        <w:gridCol w:w="146"/>
        <w:gridCol w:w="256"/>
        <w:gridCol w:w="511"/>
        <w:gridCol w:w="177"/>
        <w:gridCol w:w="177"/>
        <w:gridCol w:w="256"/>
        <w:gridCol w:w="693"/>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20"/>
        </w:rPr>
        <w:t>Success payment liabilities</w:t>
      </w:r>
      <w:r>
        <w:rPr>
          <w:rFonts w:ascii="Times New Roman" w:hAnsi="Times New Roman"/>
          <w:color w:val="000000"/>
          <w:sz w:val="20"/>
        </w:rPr>
        <w:t xml:space="preserve"> – As discussed further in Note 7, </w:t>
      </w:r>
      <w:r>
        <w:rPr>
          <w:rFonts w:ascii="Times New Roman" w:hAnsi="Times New Roman"/>
          <w:i/>
          <w:color w:val="000000"/>
          <w:sz w:val="20"/>
        </w:rPr>
        <w:t>License and other agreements</w:t>
      </w:r>
      <w:r>
        <w:rPr>
          <w:rFonts w:ascii="Times New Roman" w:hAnsi="Times New Roman"/>
          <w:color w:val="000000"/>
          <w:sz w:val="20"/>
        </w:rPr>
        <w:t>, the Company is required to make payments to Harvard and Broad Institute based upon the achievement of specified multiples of the market value of the Company's common stock, at specified valuation dates. The Company’s liability for the share-based success payments under the Harvard License Agreement and the Broad License Agreement is carried at fair value. To determine the estimated fair value of the success payment liability, the Company uses a Monte Carlo simulation methodology, which models the future movement of stock prices based on several key variables.</w:t>
      </w:r>
    </w:p>
    <w:p>
      <w:pPr>
        <w:pStyle w:val="TextBody"/>
        <w:bidi w:val="0"/>
        <w:jc w:val="left"/>
        <w:rPr>
          <w:rFonts w:ascii="Times New Roman" w:hAnsi="Times New Roman"/>
          <w:color w:val="000000"/>
          <w:sz w:val="20"/>
        </w:rPr>
      </w:pPr>
      <w:r>
        <w:rPr>
          <w:rFonts w:ascii="Times New Roman" w:hAnsi="Times New Roman"/>
          <w:color w:val="000000"/>
          <w:sz w:val="20"/>
        </w:rPr>
        <w:t>The following variables were incorporated in the calculation of the estimated fair value of the Harvard and Broad Institute success payment liabilities:</w:t>
      </w:r>
    </w:p>
    <w:p>
      <w:pPr>
        <w:pStyle w:val="TextBody"/>
        <w:bidi w:val="0"/>
        <w:jc w:val="left"/>
        <w:rPr/>
      </w:pPr>
      <w:r>
        <w:rPr/>
        <w:t> </w:t>
      </w:r>
    </w:p>
    <w:tbl>
      <w:tblPr>
        <w:tblW w:w="8929" w:type="dxa"/>
        <w:jc w:val="left"/>
        <w:tblInd w:w="0" w:type="dxa"/>
        <w:tblLayout w:type="fixed"/>
        <w:tblCellMar>
          <w:top w:w="28" w:type="dxa"/>
          <w:left w:w="28" w:type="dxa"/>
          <w:bottom w:w="28" w:type="dxa"/>
          <w:right w:w="28" w:type="dxa"/>
        </w:tblCellMar>
      </w:tblPr>
      <w:tblGrid>
        <w:gridCol w:w="3256"/>
        <w:gridCol w:w="146"/>
        <w:gridCol w:w="239"/>
        <w:gridCol w:w="646"/>
        <w:gridCol w:w="271"/>
        <w:gridCol w:w="146"/>
        <w:gridCol w:w="294"/>
        <w:gridCol w:w="801"/>
        <w:gridCol w:w="271"/>
        <w:gridCol w:w="146"/>
        <w:gridCol w:w="239"/>
        <w:gridCol w:w="646"/>
        <w:gridCol w:w="271"/>
        <w:gridCol w:w="146"/>
        <w:gridCol w:w="294"/>
        <w:gridCol w:w="801"/>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 Institute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0.24-2.99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0.01-3.49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0.24-3.86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computation of expected volatility was estimated using available information about the historical volatility of stocks of similar publicly traded companies in addition to the Company's own data for a period matching the expected term assumption. In addition, the Company incorporated the estimated number, timing, and probability of valuation measurement dates in the calculation of the success payment liability.</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the change in the fair value of success payment liabilities based on Level 3 inputs (in thousands):</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324"/>
        <w:gridCol w:w="876"/>
        <w:gridCol w:w="146"/>
        <w:gridCol w:w="146"/>
        <w:gridCol w:w="211"/>
        <w:gridCol w:w="571"/>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Harvard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 Institute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Contingent consideration liabilities</w:t>
      </w:r>
      <w:r>
        <w:rPr>
          <w:rFonts w:ascii="Times New Roman" w:hAnsi="Times New Roman"/>
          <w:color w:val="000000"/>
          <w:sz w:val="20"/>
        </w:rPr>
        <w:t xml:space="preserve"> – On July 1, 2025, the Company acquired an early-stage life sciences company. The total consideration paid was $14.5 million, which is comprised of an upfront payment of 403,128 shares of the Company’s common stock valued at $6.7 million, contingent consideration payments based on the achievement of certain development, clinical and commercial milestones initially valued at $7.7 million and $0.1 million of seller transaction expenses. The maximum amount of the milestone payments is $89.0 million. The primary asset acquired included in-process research and development valued at $14.5 million upon acquisition. As no alternative future use was identified for the acquired in-process research and development, the Company expensed the full fair value of the asset as research and development expense upon acquisition.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Milestone payments are payable at the Company’s sole discretion in cash or in shares of the Company's common stock (valued using a volume-weighted average price). As these milestones are payable with a variable number of shares of the Company’s common stock, the milestone payments result in liability classification under ASC 480, </w:t>
      </w:r>
      <w:r>
        <w:rPr>
          <w:rFonts w:ascii="Times New Roman" w:hAnsi="Times New Roman"/>
          <w:i/>
          <w:color w:val="000000"/>
          <w:sz w:val="20"/>
        </w:rPr>
        <w:t>Distinguishing Liabilities from Equity</w:t>
      </w:r>
      <w:r>
        <w:rPr>
          <w:rFonts w:ascii="Times New Roman" w:hAnsi="Times New Roman"/>
          <w:color w:val="000000"/>
          <w:sz w:val="20"/>
        </w:rPr>
        <w:t xml:space="preserve">. These contingent consideration liabilities are carried at fair value which was estimated by applying a probability-based model, which utilized inputs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timing of achievement that were unobservable in the market. These contingent consideration liabilities are classified within Level 3 of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variables were incorporated in the calculation of the estimated fair value of the contingent consideration liabilities:</w:t>
      </w:r>
    </w:p>
    <w:tbl>
      <w:tblPr>
        <w:tblW w:w="6342" w:type="dxa"/>
        <w:jc w:val="left"/>
        <w:tblInd w:w="0" w:type="dxa"/>
        <w:tblLayout w:type="fixed"/>
        <w:tblCellMar>
          <w:top w:w="28" w:type="dxa"/>
          <w:left w:w="28" w:type="dxa"/>
          <w:bottom w:w="28" w:type="dxa"/>
          <w:right w:w="28" w:type="dxa"/>
        </w:tblCellMar>
      </w:tblPr>
      <w:tblGrid>
        <w:gridCol w:w="2566"/>
        <w:gridCol w:w="146"/>
        <w:gridCol w:w="277"/>
        <w:gridCol w:w="1084"/>
        <w:gridCol w:w="514"/>
        <w:gridCol w:w="277"/>
        <w:gridCol w:w="277"/>
        <w:gridCol w:w="885"/>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 liability milestones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year of achievement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2026-2037</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2026-2037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the change in fair value of the contingent consideration liabilities based on level 3 inputs (in thousands):</w:t>
      </w:r>
    </w:p>
    <w:tbl>
      <w:tblPr>
        <w:tblW w:w="6448" w:type="dxa"/>
        <w:jc w:val="left"/>
        <w:tblInd w:w="0" w:type="dxa"/>
        <w:tblLayout w:type="fixed"/>
        <w:tblCellMar>
          <w:top w:w="28" w:type="dxa"/>
          <w:left w:w="28" w:type="dxa"/>
          <w:bottom w:w="28" w:type="dxa"/>
          <w:right w:w="28" w:type="dxa"/>
        </w:tblCellMar>
      </w:tblPr>
      <w:tblGrid>
        <w:gridCol w:w="2596"/>
        <w:gridCol w:w="146"/>
        <w:gridCol w:w="892"/>
        <w:gridCol w:w="2423"/>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consideration liability milestones</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aps/>
          <w:color w:val="000000"/>
          <w:sz w:val="20"/>
        </w:rPr>
        <w:t xml:space="preserve">5. </w:t>
      </w:r>
      <w:r>
        <w:rPr>
          <w:rFonts w:ascii="Times New Roman" w:hAnsi="Times New Roman"/>
          <w:b/>
          <w:color w:val="000000"/>
          <w:sz w:val="20"/>
        </w:rPr>
        <w:t>Marketable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Company’s marketable securities held at June 30, 2026 (in thousands):</w:t>
      </w:r>
    </w:p>
    <w:tbl>
      <w:tblPr>
        <w:tblW w:w="7753" w:type="dxa"/>
        <w:jc w:val="left"/>
        <w:tblInd w:w="0" w:type="dxa"/>
        <w:tblLayout w:type="fixed"/>
        <w:tblCellMar>
          <w:top w:w="28" w:type="dxa"/>
          <w:left w:w="28" w:type="dxa"/>
          <w:bottom w:w="28" w:type="dxa"/>
          <w:right w:w="28" w:type="dxa"/>
        </w:tblCellMar>
      </w:tblPr>
      <w:tblGrid>
        <w:gridCol w:w="2311"/>
        <w:gridCol w:w="146"/>
        <w:gridCol w:w="265"/>
        <w:gridCol w:w="980"/>
        <w:gridCol w:w="146"/>
        <w:gridCol w:w="146"/>
        <w:gridCol w:w="335"/>
        <w:gridCol w:w="551"/>
        <w:gridCol w:w="146"/>
        <w:gridCol w:w="146"/>
        <w:gridCol w:w="222"/>
        <w:gridCol w:w="664"/>
        <w:gridCol w:w="16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marketable securities held at December 31, 2025 (in thousands):</w:t>
      </w:r>
    </w:p>
    <w:tbl>
      <w:tblPr>
        <w:tblW w:w="7753" w:type="dxa"/>
        <w:jc w:val="left"/>
        <w:tblInd w:w="0" w:type="dxa"/>
        <w:tblLayout w:type="fixed"/>
        <w:tblCellMar>
          <w:top w:w="28" w:type="dxa"/>
          <w:left w:w="28" w:type="dxa"/>
          <w:bottom w:w="28" w:type="dxa"/>
          <w:right w:w="28" w:type="dxa"/>
        </w:tblCellMar>
      </w:tblPr>
      <w:tblGrid>
        <w:gridCol w:w="2311"/>
        <w:gridCol w:w="146"/>
        <w:gridCol w:w="265"/>
        <w:gridCol w:w="980"/>
        <w:gridCol w:w="146"/>
        <w:gridCol w:w="146"/>
        <w:gridCol w:w="239"/>
        <w:gridCol w:w="647"/>
        <w:gridCol w:w="146"/>
        <w:gridCol w:w="146"/>
        <w:gridCol w:w="318"/>
        <w:gridCol w:w="568"/>
        <w:gridCol w:w="16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amortized cost of marketable debt securities is adjusted for amortization of premiums and accretion of discounts to maturity. At June 30, 2026 and December 31, 2025, the balance in accumulated other comprehensive (loss) income was comprised solely of activity related to marketable debt securities. There were no realized gains or losses recognized on the sale or maturity of marketable securities for the three or six months ended June 30, 2026 or 2025 and, as a result, the Company did not reclassify any amounts out of accumulated other comprehensive (loss) income for either period.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any of its debt securities. The contractual maturity dates of all the investments are less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aps/>
          <w:color w:val="000000"/>
          <w:sz w:val="20"/>
        </w:rPr>
        <w:t xml:space="preserve">6. </w:t>
      </w:r>
      <w:r>
        <w:rPr>
          <w:rFonts w:ascii="Times New Roman" w:hAnsi="Times New Roman"/>
          <w:b/>
          <w:color w:val="000000"/>
          <w:sz w:val="20"/>
        </w:rPr>
        <w:t>Accrued expenses and 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tbl>
      <w:tblPr>
        <w:tblW w:w="6667" w:type="dxa"/>
        <w:jc w:val="left"/>
        <w:tblInd w:w="0" w:type="dxa"/>
        <w:tblLayout w:type="fixed"/>
        <w:tblCellMar>
          <w:top w:w="28" w:type="dxa"/>
          <w:left w:w="28" w:type="dxa"/>
          <w:bottom w:w="28" w:type="dxa"/>
          <w:right w:w="28" w:type="dxa"/>
        </w:tblCellMar>
      </w:tblPr>
      <w:tblGrid>
        <w:gridCol w:w="3856"/>
        <w:gridCol w:w="146"/>
        <w:gridCol w:w="211"/>
        <w:gridCol w:w="676"/>
        <w:gridCol w:w="146"/>
        <w:gridCol w:w="146"/>
        <w:gridCol w:w="260"/>
        <w:gridCol w:w="835"/>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 development and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 xml:space="preserve">7. </w:t>
      </w:r>
      <w:r>
        <w:rPr>
          <w:rFonts w:ascii="Times New Roman" w:hAnsi="Times New Roman"/>
          <w:b/>
          <w:color w:val="000000"/>
          <w:sz w:val="20"/>
        </w:rPr>
        <w:t>License and other agreements</w:t>
      </w:r>
    </w:p>
    <w:p>
      <w:pPr>
        <w:pStyle w:val="TextBody"/>
        <w:bidi w:val="0"/>
        <w:jc w:val="left"/>
        <w:rPr>
          <w:rFonts w:ascii="Times New Roman" w:hAnsi="Times New Roman"/>
          <w:color w:val="000000"/>
          <w:sz w:val="20"/>
        </w:rPr>
      </w:pPr>
      <w:r>
        <w:rPr>
          <w:rFonts w:ascii="Times New Roman" w:hAnsi="Times New Roman"/>
          <w:color w:val="000000"/>
          <w:sz w:val="20"/>
        </w:rPr>
        <w:t>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is recognized in a separate line item in the statement of operations and comprehensive loss, as discussed further below. The total contingent obligations and non-royalty sublicense fees included in research and development expenses in the statement of operations and comprehensive loss for the six months ended June 30, 2026 was $5.0 million. There were no contingent obligations and non-royalty sublicense fees included in research and development expenses in the statement of operations and comprehensive loss for the three and six months ended June 30,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 </w:t>
      </w:r>
    </w:p>
    <w:p>
      <w:pPr>
        <w:pStyle w:val="TextBody"/>
        <w:bidi w:val="0"/>
        <w:jc w:val="left"/>
        <w:rPr>
          <w:rFonts w:ascii="Times New Roman" w:hAnsi="Times New Roman"/>
          <w:sz w:val="20"/>
        </w:rPr>
      </w:pPr>
      <w:r>
        <w:rPr>
          <w:rFonts w:ascii="Times New Roman" w:hAnsi="Times New Roman"/>
          <w:b/>
          <w:i/>
          <w:color w:val="000000"/>
          <w:sz w:val="20"/>
        </w:rPr>
        <w:t>Harvard license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Under the Harvard License Agreement, Harvard is entitled to receive success payments, in cash or shares of Company stock, 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initial public offering, or IPO, the amount of success payments is based on the market value of the Company's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IPO.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 As of June 30, 2026, no success payments were due to Harvard.</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success payment liability for Harvard (in thousands):</w:t>
      </w:r>
    </w:p>
    <w:p>
      <w:pPr>
        <w:pStyle w:val="TextBody"/>
        <w:bidi w:val="0"/>
        <w:jc w:val="left"/>
        <w:rPr/>
      </w:pPr>
      <w:r>
        <w:rPr/>
        <w:t> </w:t>
      </w:r>
    </w:p>
    <w:tbl>
      <w:tblPr>
        <w:tblW w:w="5372"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94"/>
        <w:gridCol w:w="80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Harvard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expense (income) resulting from the change in the fair value of the success payment liability for Harvard (in thousands):</w:t>
      </w:r>
    </w:p>
    <w:p>
      <w:pPr>
        <w:pStyle w:val="TextBody"/>
        <w:bidi w:val="0"/>
        <w:jc w:val="left"/>
        <w:rPr/>
      </w:pPr>
      <w:r>
        <w:rPr/>
        <w:t> </w:t>
      </w:r>
    </w:p>
    <w:tbl>
      <w:tblPr>
        <w:tblW w:w="9772" w:type="dxa"/>
        <w:jc w:val="left"/>
        <w:tblInd w:w="0" w:type="dxa"/>
        <w:tblLayout w:type="fixed"/>
        <w:tblCellMar>
          <w:top w:w="28" w:type="dxa"/>
          <w:left w:w="28" w:type="dxa"/>
          <w:bottom w:w="28" w:type="dxa"/>
          <w:right w:w="28" w:type="dxa"/>
        </w:tblCellMar>
      </w:tblPr>
      <w:tblGrid>
        <w:gridCol w:w="4771"/>
        <w:gridCol w:w="146"/>
        <w:gridCol w:w="270"/>
        <w:gridCol w:w="732"/>
        <w:gridCol w:w="187"/>
        <w:gridCol w:w="187"/>
        <w:gridCol w:w="270"/>
        <w:gridCol w:w="617"/>
        <w:gridCol w:w="166"/>
        <w:gridCol w:w="146"/>
        <w:gridCol w:w="228"/>
        <w:gridCol w:w="617"/>
        <w:gridCol w:w="157"/>
        <w:gridCol w:w="157"/>
        <w:gridCol w:w="228"/>
        <w:gridCol w:w="682"/>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Harvard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b/>
          <w:i/>
          <w:color w:val="000000"/>
          <w:sz w:val="20"/>
        </w:rPr>
        <w:t>Broad 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Broad License Agreement, Broad Institute is entitled to receive success payments, in cash or shares of Company common 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IPO, the amount of success payments is based on the market value of the Company’s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IPO. </w:t>
      </w:r>
    </w:p>
    <w:p>
      <w:pPr>
        <w:pStyle w:val="TextBody"/>
        <w:bidi w:val="0"/>
        <w:jc w:val="left"/>
        <w:rPr>
          <w:rFonts w:ascii="Times New Roman" w:hAnsi="Times New Roman"/>
          <w:color w:val="000000"/>
          <w:sz w:val="20"/>
        </w:rPr>
      </w:pPr>
      <w:r>
        <w:rPr>
          <w:rFonts w:ascii="Times New Roman" w:hAnsi="Times New Roman"/>
          <w:color w:val="000000"/>
          <w:sz w:val="20"/>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June 30, 2026, no success payments were due to Broad Institute.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success payment liability for Broad Institute (in thousands):</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3436"/>
        <w:gridCol w:w="146"/>
        <w:gridCol w:w="211"/>
        <w:gridCol w:w="571"/>
        <w:gridCol w:w="146"/>
        <w:gridCol w:w="146"/>
        <w:gridCol w:w="294"/>
        <w:gridCol w:w="80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 Institute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expense (income) resulting from the change in the fair value of the success payment liability for Broad Institute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5"/>
        <w:gridCol w:w="146"/>
        <w:gridCol w:w="268"/>
        <w:gridCol w:w="727"/>
        <w:gridCol w:w="185"/>
        <w:gridCol w:w="185"/>
        <w:gridCol w:w="268"/>
        <w:gridCol w:w="613"/>
        <w:gridCol w:w="166"/>
        <w:gridCol w:w="146"/>
        <w:gridCol w:w="246"/>
        <w:gridCol w:w="491"/>
        <w:gridCol w:w="170"/>
        <w:gridCol w:w="170"/>
        <w:gridCol w:w="246"/>
        <w:gridCol w:w="736"/>
        <w:gridCol w:w="217"/>
      </w:tblGrid>
      <w:tr>
        <w:trPr/>
        <w:tc>
          <w:tcPr>
            <w:tcW w:w="5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Broad Institute success payment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Settlement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19, 2024, the Company entered into a settlement agreement with a research institution pursuant to which, in exchange for a release of claims in its favor, the Company agreed, among other things, to pay the research institution an upfront payment of $15.0 million and to make additional payments contingent upon the development and commercialization of BEAM-102 and BEAM-302. These contingent payments consist of certain development, regulatory, and sales-based milestone payments, as well as a 1% royalty on net sales through 2038. Any amounts due must be settled in cash. The maximum amount of development and regulatory milestone payments under the settlement agreement is $15.0 million, and the maximum amount of sales milestone payments is $35.0 million per program. The Company paid the $15.0 million upfront payment during the year ended December 31, 2024. The Company determined that the recognition criteria under ASC 450, was not met as the likelihood of a loss is not considered probable and estimable as of June 30, 2026 and therefore no related liability is recorded as of June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8. Collaboration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Eli Lilly and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Through June 30, 2026, the Company has recognized a total of $50.0 million of milestone related revenue, including $25.0 million during the six months ended June 30, 2026. Through June 30, 2026, the Company has received $50.0 million of these milestone payments. There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 revenue recognized during the three and six months ended June 30, 2025. As of June 30, 2026, there was no deferred revenue remaining related to the Lilly Agreement.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Apellis Pharmaceuticals</w:t>
      </w:r>
    </w:p>
    <w:p>
      <w:pPr>
        <w:pStyle w:val="TextBody"/>
        <w:bidi w:val="0"/>
        <w:jc w:val="left"/>
        <w:rPr>
          <w:rFonts w:ascii="Times New Roman" w:hAnsi="Times New Roman"/>
          <w:color w:val="000000"/>
          <w:sz w:val="20"/>
        </w:rPr>
      </w:pPr>
      <w:r>
        <w:rPr>
          <w:rFonts w:ascii="Times New Roman" w:hAnsi="Times New Roman"/>
          <w:color w:val="000000"/>
          <w:sz w:val="20"/>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conducted preclinical research on six base editing programs that target specific genes within the complement system in various organs, including the eye, liver, and brain. Apellis had an exclusive option to license any or all of the six programs, or in each case, an Opt-In Right, and collectively, the Opt-In Rights, and would assume responsibility for subsequent development. In 2025, Apellis notified the Company of its decision to opt-in to one of the six base editing programs. As a result of Apellis' decision to opt-in to the program, the Company received a cash opt-in fee of $3.8 million which was recognized as revenue during the year ended December 31, 2025. The Company may elect to enter into a 50-50 U.S. co-development and co-commercialization agreement with Apellis with respect to one program licensed under the collaboration. The collaboration is managed on an overall basis by an alliance steering committee formed by an equal number of representatives from the Company and Apellis.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part of the collaboration, the Company received a total of $75.0 million in upfront and near-term milestones from Apellis, which was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is eligible to receive development, regulatory, and sales milestones from Apellis, as well as royalty payments on sales. The collaboration had an initial term of five years and could have been extended up to two years on a per year and program-by-program basis. Pursuant to the terms of the Apellis Agreement, the Company’s obligation to provide services concluded as of June 30, 2026 as Apellis did not elect to extend the agreement beyond the initial term.</w:t>
      </w:r>
    </w:p>
    <w:p>
      <w:pPr>
        <w:pStyle w:val="TextBody"/>
        <w:bidi w:val="0"/>
        <w:jc w:val="left"/>
        <w:rPr>
          <w:rFonts w:ascii="Times New Roman" w:hAnsi="Times New Roman"/>
          <w:sz w:val="20"/>
        </w:rPr>
      </w:pPr>
      <w:r>
        <w:rPr>
          <w:rFonts w:ascii="Times New Roman" w:hAnsi="Times New Roman"/>
          <w:color w:val="000000"/>
          <w:sz w:val="20"/>
        </w:rPr>
        <w:t xml:space="preserve">The Company accounts for the Apellis Agreement under ASC 606, </w:t>
      </w:r>
      <w:r>
        <w:rPr>
          <w:rFonts w:ascii="Times New Roman" w:hAnsi="Times New Roman"/>
          <w:i/>
          <w:color w:val="000000"/>
          <w:sz w:val="20"/>
        </w:rPr>
        <w:t>Revenue from Contracts with Customers</w:t>
      </w:r>
      <w:r>
        <w:rPr>
          <w:rFonts w:ascii="Times New Roman" w:hAnsi="Times New Roman"/>
          <w:color w:val="000000"/>
          <w:sz w:val="20"/>
        </w:rPr>
        <w:t xml:space="preserve">, or ASC 606, as it includes a customer-vendor relationship as defined under ASC 606 and meets the criteria to be considered a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overall transaction price as of the inception of the contract was determined to be $75.0 million, which is composed of the upfront payment of $50.0 million and the First Anniversary Payment of $25.0 million. The Company re-evaluates the transaction price in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selling price of each performance obligation was determined based on the Company’s estimated standalone selling price, or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for each performance obligation as it was satisfied over the five-year term using an input method. The Company allocated the transaction price of $75.0 million to each of the six performance obligations, which included each of the six base editing programs combined with the research and development service, licenses, substitution rights and governance participation, and was recognized using an input method based on the actual costs incurred as a percentage of total estimated costs towards satisfying the performance obligation as this method provided the most faithful depiction of the entity’s performance in transferring control of the goods and services promised to Apellis and represented the Company’s best estimate of the period of the obligation. The Company recognized $0.5 million and $7.2 million of revenue related to the Apellis Agreement during the three and six months ended June 30, 2026, respectively. For the three and six months ended June 30, 2025, the Company recognized $6.3 million and $11.7 million of revenue related to the Apellis Agreement, respectively. As of June 30, 2026, there was no remaining deferred revenue related to the Apellis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Biogen Inc. announced that it had completed its acquisition of Apellis.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 Common stock and pre-funded common stock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has entered into the Sales Agreement with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June 30, 2026, the Company has sold 13,769,001 shares of its common stock under the Sales Agreement at an average price of $62.75 per share for aggregate gross proceeds of $864.0 million, before deducting commissions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offering expenses payable by the Company. There were no shares sold under the Sales Agreement during the three and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March 2025, the Company closed an underwritten public offering of 16,151,686 shares of the Company’s common stock at a public offering price of $28.48 per share as well as pre-funded warrants to purchase 1,404,988 shares of the Company's common stock at a purchase price of $28.47 (representing the price of $28.48 per share minus the $0.01 per share exercise price of such pre-funded warrant). The pre-funded warrants are immediately exercisable, subject to certain beneficial ownership restrictions, at any time after their original issuance and will not expire. After underwriting discounts and commissions and offering expenses, the Company received net proceeds from the offering of $470.5 million. No pre-funded warrants have been exercised through June 30, 2026. </w:t>
      </w:r>
    </w:p>
    <w:p>
      <w:pPr>
        <w:pStyle w:val="TextBody"/>
        <w:bidi w:val="0"/>
        <w:spacing w:before="0" w:after="120"/>
        <w:jc w:val="left"/>
        <w:rPr>
          <w:rFonts w:ascii="Times New Roman" w:hAnsi="Times New Roman"/>
          <w:sz w:val="20"/>
        </w:rPr>
      </w:pPr>
      <w:r>
        <w:rPr>
          <w:rFonts w:ascii="Times New Roman" w:hAnsi="Times New Roman"/>
          <w:b/>
          <w:color w:val="000000"/>
          <w:sz w:val="20"/>
        </w:rPr>
        <w:t>10. Stock option and grant plan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the Company had 18,350,221 shares reserved including 2,359,298 shares available for future issuance, pursuant to the Beam Therapeutics Inc. 2019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Stock-based compensation expense recorded as research and development and general and administrative expenses in the condensed consolidated statements of operations and other comprehensive loss is as follows (in thousands):</w:t>
      </w:r>
    </w:p>
    <w:tbl>
      <w:tblPr>
        <w:tblW w:w="8612"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summary of stock option activity under the Company’s equity award plans:</w:t>
      </w:r>
    </w:p>
    <w:tbl>
      <w:tblPr>
        <w:tblW w:w="5768"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14"/>
        <w:gridCol w:w="582"/>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grant date fair value per share of stock options granted in the six months ended June 30, 2026 was $20.20. As of June 30, 2026, there was $90.9 million of unrecognized compensation expense related to unvested stock options, which is expected to be recognized over a weighted-average remaining vesting period of approximately 2.6 years.</w:t>
      </w:r>
    </w:p>
    <w:p>
      <w:pPr>
        <w:pStyle w:val="TextBody"/>
        <w:bidi w:val="0"/>
        <w:spacing w:before="0" w:after="120"/>
        <w:jc w:val="left"/>
        <w:rPr>
          <w:rFonts w:ascii="Times New Roman" w:hAnsi="Times New Roman"/>
          <w:sz w:val="20"/>
        </w:rPr>
      </w:pPr>
      <w:r>
        <w:rPr>
          <w:rFonts w:ascii="Times New Roman" w:hAnsi="Times New Roman"/>
          <w:b/>
          <w:i/>
          <w:color w:val="000000"/>
          <w:sz w:val="20"/>
        </w:rPr>
        <w:t>Restricted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issues shares of restricted common stock, including both restricted stock units and restricted stock awards. Restricted common stock issued generally vests over a period of two to four years.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the Company’s restricted stock activity: </w:t>
      </w:r>
    </w:p>
    <w:tbl>
      <w:tblPr>
        <w:tblW w:w="5992"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306"/>
        <w:gridCol w:w="834"/>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there was approximately $69.7 million of unrecognized stock-based compensation expense related to restricted stock that is expected to vest. These costs are expected to be recognized over a weighted-average remaining vesting period of approximately 3.0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2019 employee stock purchase plan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issued 74,518 and 90,436 shares under the Beam Therapeutics Inc. 2019 Employee Stock Purchase Plan, or ESPP, during the six months ended June 30, 2026 and 2025, respectively. As of June 30, 2026, the Company had 4,533,299 shares available for issuance under the ESPP.</w:t>
      </w:r>
    </w:p>
    <w:p>
      <w:pPr>
        <w:pStyle w:val="TextBody"/>
        <w:bidi w:val="0"/>
        <w:jc w:val="left"/>
        <w:rPr>
          <w:rFonts w:ascii="Times New Roman" w:hAnsi="Times New Roman"/>
          <w:color w:val="000000"/>
          <w:sz w:val="20"/>
        </w:rPr>
      </w:pPr>
      <w:r>
        <w:rPr>
          <w:rFonts w:ascii="Times New Roman" w:hAnsi="Times New Roman"/>
          <w:color w:val="000000"/>
          <w:sz w:val="20"/>
        </w:rPr>
        <w:t>Stock-based compensation recognized under the ESPP for the three and six months ended June 30, 2026 was $0.4 million and $0.8 million, respectively. The Company recognized stock-based compensation under the ESPP of $0.4 million and $0.7 million for the three and six months ended June 30, 2025, respectively.</w:t>
      </w:r>
    </w:p>
    <w:p>
      <w:pPr>
        <w:pStyle w:val="TextBody"/>
        <w:bidi w:val="0"/>
        <w:spacing w:before="120" w:after="120"/>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periods in which the Company reports a net loss,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Shares of the Company's common stock underlying pre-funded warrants are included in the calculation of the basic and diluted earnings per share. The Company excluded the following potential common shares, presented based on amounts outstanding at period end, from the computation of diluted net loss per share because including them would have had an anti-dilutive effect:</w:t>
      </w:r>
    </w:p>
    <w:tbl>
      <w:tblPr>
        <w:tblW w:w="7184" w:type="dxa"/>
        <w:jc w:val="left"/>
        <w:tblInd w:w="0" w:type="dxa"/>
        <w:tblLayout w:type="fixed"/>
        <w:tblCellMar>
          <w:top w:w="28" w:type="dxa"/>
          <w:left w:w="28" w:type="dxa"/>
          <w:bottom w:w="28" w:type="dxa"/>
          <w:right w:w="28" w:type="dxa"/>
        </w:tblCellMar>
      </w:tblPr>
      <w:tblGrid>
        <w:gridCol w:w="3991"/>
        <w:gridCol w:w="146"/>
        <w:gridCol w:w="146"/>
        <w:gridCol w:w="1036"/>
        <w:gridCol w:w="146"/>
        <w:gridCol w:w="146"/>
        <w:gridCol w:w="146"/>
        <w:gridCol w:w="1036"/>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2,885,312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12,628,958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11,616,771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16,065,440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14,634,136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per share of the Company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3429"/>
        <w:gridCol w:w="146"/>
        <w:gridCol w:w="211"/>
        <w:gridCol w:w="1141"/>
        <w:gridCol w:w="166"/>
        <w:gridCol w:w="146"/>
        <w:gridCol w:w="211"/>
        <w:gridCol w:w="1141"/>
        <w:gridCol w:w="166"/>
        <w:gridCol w:w="146"/>
        <w:gridCol w:w="211"/>
        <w:gridCol w:w="1141"/>
        <w:gridCol w:w="166"/>
        <w:gridCol w:w="146"/>
        <w:gridCol w:w="211"/>
        <w:gridCol w:w="1036"/>
        <w:gridCol w:w="391"/>
      </w:tblGrid>
      <w:tr>
        <w:trPr/>
        <w:tc>
          <w:tcPr>
            <w:tcW w:w="3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104,326,669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101,995,184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103,797,276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95,023,977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 xml:space="preserve">12.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2026 and 2025, the Company recorded a full valuation allowance on federal and state deferred tax assets since there is insufficient evidence that the deferred tax assets are more likely than not realizable. The Company did not have any tax provision or benefit for the six months ended June 30, 2026 or June 30, 2025.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13. Debt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Sixth Street Financing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24, 2026, or the Closing Date, the Company entered into a financing agreement, or the Financing Agreement, with certain of its subsidiaries as guarantors party thereto, the lenders party thereto, or the Lenders, and Sixth Street Lending Partners, as the administrative agent and collateral agent for the Lenders. The Financing Agreement provides for the Credit Facility, consisting of (i) an initial draw of $100 million on the Closing Date, (ii) a potential additional $100 million draw upon the acceptance by the U.S. Food and Drug Administration, or FDA, of the Company’s biologics license application, or BLA, submission for risto-cel prior to a certain date, or the Delayed Draw A, (iii) a potential additional $100 million draw at the Company’s option upon the FDA’s approval of the risto-cel BLA prior to a certain date, or the Delayed Draw B, (iv) a potential additional $100 million draw at the Company’s option upon achieving a revenue target from sales of risto-cel prior to a certain date and (v) a potential additional $100 million draw subject to agreement among the Company and the Lenders. The Credit Facility matures on February 24, 2033, or the Maturity Date, and bears interest at an annual rate equal to the 3-month Secured Overnight Financing Rate (SOFR) plus 6.50% (subject to a 1.00% floor) or permits interest on a base rate plus a margin. As of June 30, 2026, the effective interest rate was 10.5%. Certain additional commitment, administrative, undrawn amount and facility fees are also payable in connection with the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Facility requires quarterly interest payments, but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and licensing transactions,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condemnation events and extraordinary receipts, subject, in some cases, to reinvestment rights. Repayments are subject, in some cases, to prepayment premiums, ranging between 1% to 5%. At maturity (or upon prepayment or acceleration, as applicable), the Company is required to pay a facility fee equal to 4.0% of the original principal amount of the term loans. This amount is considered part of the stated redemption price at maturity and is accreted to interest expense over the term of the loan using the effective interest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obligations under the Financing Agreement will be secured on a first-priority basis, subject to certain exceptions, by security interests in substantially all assets of the Company and its material subsidiaries, including its intellectual property, and will be guaranteed by the Company's material subsidiaries, subject to certain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Financing Agreement contains customary covenants, including, without limitation, a financial covenant to maintain liquidity of at least $40 million (which shall increase to $80 million upon the draw of the Delayed Draw A and $125 million upon the draw of the Delayed Draw B) if the Company's market capitalization is below $1.75 billion, a covenant to use commercially reasonable efforts to develop and commercialize risto-cel and negative covenants that, subject to certain exceptions, restrict the Company's ability to incur additional indebtedness, grant liens, make investments (including acquisitions), effectuate mergers or consolidations, engage in asset sales and licensing transactions, pay dividends, modify material agreements, pay subordinated indebtedness, and undertake other matters customarily restricted in such agreements. Among other permissions, the Company is permitted, on terms and conditions set forth in the Financing Agreement, to have outstanding convertible unsecured notes in an amount not to exceed $400 million. The Company is subject to restrictions on sales and licensing transactions with respect to its core intellectual property, including risto-cel, subject to certain exceptions, including certain transactions related to areas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the Company and its subsidiaries, and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drew down the initial $100.0 million of gross proceeds and paid initial fees of $6.9 million, inclusive of fees paid to the lender out of the gross proceeds of approximately $6.1 million and third-party legal fees of approximately $0.8 million. Amounts paid to lenders were accounted for as a debt discount and recorded as a direct reduction to the carrying amount of the loan. Third</w:t>
        <w:noBreakHyphen/>
        <w:t xml:space="preserve">party legal fees were capitalized as debt issuance costs and similarly recorded as a reduction of the carrying amount of the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Financing Agreement contains certain embedded features requiring bifurcation under Topic 815, including contingent interest, mandatory prepayment provisions, and increased</w:t>
        <w:noBreakHyphen/>
        <w:t>cost and capital adequacy indemnification clauses. However, no embedded derivatives were recorded as the fair value of such features was deemed immaterial as of issuance and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delayed draw commitments, the Company recognized a loan commitment asset, or the Loan Commitment Asset, at its estimated fair value. The Loan Commitment Asset represents the Company’s contractual right to future financing and meets the definition of a financial asset. The fair value of the Loan Commitment Asset was included as part of the total proceeds allocated to the loan at issuance, resulting in a premium that is amortized as a reduction to interest expense over the life of the loan using the effective interest method. The Loan Commitment Asset of $7.1 million is classified as a noncurrent asset and is assessed for impairment at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Commitment fees on the undrawn delayed draw commitments accrue at a rate of 0.75% per annum on the undrawn amounts and are expensed as incurred as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carrying amount of the loan, net of unamortized debt discount and issuance costs, was approximately $100.3 million. No principal payments are due within the next five years as the principal balance is due on the February 24, 2033 Maturity Date. The loan is classified as a noncurrent liability, as no principal payments are due within the next twelve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outstanding debt liability (in thousands):</w:t>
      </w:r>
    </w:p>
    <w:tbl>
      <w:tblPr>
        <w:tblW w:w="5205" w:type="dxa"/>
        <w:jc w:val="left"/>
        <w:tblInd w:w="0" w:type="dxa"/>
        <w:tblLayout w:type="fixed"/>
        <w:tblCellMar>
          <w:top w:w="28" w:type="dxa"/>
          <w:left w:w="28" w:type="dxa"/>
          <w:bottom w:w="28" w:type="dxa"/>
          <w:right w:w="28" w:type="dxa"/>
        </w:tblCellMar>
      </w:tblPr>
      <w:tblGrid>
        <w:gridCol w:w="3856"/>
        <w:gridCol w:w="146"/>
        <w:gridCol w:w="211"/>
        <w:gridCol w:w="781"/>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Final payment fee on initial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components of the Company's debt related interest expense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85" w:type="dxa"/>
        <w:jc w:val="left"/>
        <w:tblInd w:w="0" w:type="dxa"/>
        <w:tblLayout w:type="fixed"/>
        <w:tblCellMar>
          <w:top w:w="28" w:type="dxa"/>
          <w:left w:w="28" w:type="dxa"/>
          <w:bottom w:w="28" w:type="dxa"/>
          <w:right w:w="28" w:type="dxa"/>
        </w:tblCellMar>
      </w:tblPr>
      <w:tblGrid>
        <w:gridCol w:w="3121"/>
        <w:gridCol w:w="146"/>
        <w:gridCol w:w="611"/>
        <w:gridCol w:w="1654"/>
        <w:gridCol w:w="146"/>
        <w:gridCol w:w="146"/>
        <w:gridCol w:w="558"/>
        <w:gridCol w:w="1512"/>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annual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related to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14. Segment Data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defines its segments on the basis of the way in which internally reported financial information is regularly reviewed by the chief operating decision maker, or CODM, to analyze financial performance, make decisions, and allocate resources. The Company’s CODM is John Evans, its Chief Executive Officer. The Company manages its operations as a single operating and reportable segment and the measure of segment profit or loss is consolidated net income (loss). The CODM uses net income (loss) in the budget and forecasting process and considers budget-to-actual variances on a quarterly basis when making decisions about the allocation of operating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internal reporting of significant segment expenses is based on the functional classification. External expenses include costs from external manufacturing, clinical and research organizations, supply chain and logistics costs, consultants, and other vendors. Employee related expenses include employee salaries and benefits costs, employee meal, travel and entertainment spend, along with payroll related taxes and other similar items. These functional costs exclude stock-based compensation, facility and information technology costs, depreciation and amortization, and other segment items.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table below provides information about the Company’s segment, including significant expenses, other segment items, certain other segment expenses, and a reconciliation to net income (loss) (in thousands): </w:t>
      </w:r>
    </w:p>
    <w:tbl>
      <w:tblPr>
        <w:tblW w:w="10142" w:type="dxa"/>
        <w:jc w:val="left"/>
        <w:tblInd w:w="0" w:type="dxa"/>
        <w:tblLayout w:type="fixed"/>
        <w:tblCellMar>
          <w:top w:w="28" w:type="dxa"/>
          <w:left w:w="28" w:type="dxa"/>
          <w:bottom w:w="28" w:type="dxa"/>
          <w:right w:w="28" w:type="dxa"/>
        </w:tblCellMar>
      </w:tblPr>
      <w:tblGrid>
        <w:gridCol w:w="4561"/>
        <w:gridCol w:w="146"/>
        <w:gridCol w:w="211"/>
        <w:gridCol w:w="841"/>
        <w:gridCol w:w="166"/>
        <w:gridCol w:w="146"/>
        <w:gridCol w:w="211"/>
        <w:gridCol w:w="841"/>
        <w:gridCol w:w="166"/>
        <w:gridCol w:w="146"/>
        <w:gridCol w:w="211"/>
        <w:gridCol w:w="841"/>
        <w:gridCol w:w="166"/>
        <w:gridCol w:w="146"/>
        <w:gridCol w:w="211"/>
        <w:gridCol w:w="841"/>
        <w:gridCol w:w="2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information technology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Denotes significant segment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derivative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non-controlling equity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and sublicenses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sale of equity method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important risks, uncertainties and assumptions. Our actual results may differ materially from those anticipated in these forward-looking statements as a result of many factors, including those discussed in “Risk Factors” in Part II, Item 1A. and elsewhere in this Quarterly Report on Form 10-Q, and in the “Risk Factors Summary” and Part I, Item 1A. “Risk Factors” section of our Annual Report on Form 10-K for the fiscal year ended December 31, 2025, or the 2025 Form 10-K. Some of the numbers included herein have been rounded for the convenience of presentation.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 (i) 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hAnsi="Times New Roman"/>
          <w:i/>
          <w:color w:val="000000"/>
          <w:sz w:val="20"/>
        </w:rPr>
        <w:t xml:space="preserve">ex vivo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 </w:t>
      </w:r>
    </w:p>
    <w:p>
      <w:pPr>
        <w:pStyle w:val="TextBody"/>
        <w:bidi w:val="0"/>
        <w:jc w:val="left"/>
        <w:rPr>
          <w:rFonts w:ascii="Times New Roman" w:hAnsi="Times New Roman"/>
          <w:color w:val="000000"/>
          <w:sz w:val="20"/>
        </w:rPr>
      </w:pPr>
      <w:r>
        <w:rPr>
          <w:rFonts w:ascii="Times New Roman" w:hAnsi="Times New Roman"/>
          <w:color w:val="000000"/>
          <w:sz w:val="20"/>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pStyle w:val="TextBody"/>
        <w:bidi w:val="0"/>
        <w:spacing w:before="120" w:after="120"/>
        <w:jc w:val="left"/>
        <w:rPr>
          <w:rFonts w:ascii="Times New Roman" w:hAnsi="Times New Roman"/>
          <w:sz w:val="20"/>
        </w:rPr>
      </w:pPr>
      <w:r>
        <w:rPr>
          <w:rFonts w:ascii="Times New Roman" w:hAnsi="Times New Roman"/>
          <w:b/>
          <w:color w:val="000000"/>
          <w:sz w:val="20"/>
        </w:rPr>
        <w:t>Hematology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We are pursuing a long-term, staged development strategy for our base editing approach to treat hematological diseases, such as sickle cell disease and beta-thalassemia. Our initial wave consists of </w:t>
      </w:r>
      <w:r>
        <w:rPr>
          <w:rFonts w:ascii="Times New Roman" w:hAnsi="Times New Roman"/>
          <w:i/>
          <w:color w:val="000000"/>
          <w:sz w:val="20"/>
        </w:rPr>
        <w:t xml:space="preserve">ex vivo </w:t>
      </w:r>
      <w:r>
        <w:rPr>
          <w:rFonts w:ascii="Times New Roman" w:hAnsi="Times New Roman"/>
          <w:color w:val="000000"/>
          <w:sz w:val="20"/>
        </w:rPr>
        <w:t xml:space="preserve">programs in which hematopoietic stem cells, or HSCs, are collected from a patient, edited using electroporation, and then infused back into the patient following a conditioning regimen, such as treatment with busulfan, the standard of care in HSC transplantation, or HSCTs, today. Once reinfused, the HSCs begin repopulating a portion of the bone marrow in a process known as engraftment. The engrafted, edited HSCs give rise to progenitor cell types with the corrected gene sequences. We are deploying this </w:t>
      </w:r>
      <w:r>
        <w:rPr>
          <w:rFonts w:ascii="Times New Roman" w:hAnsi="Times New Roman"/>
          <w:i/>
          <w:color w:val="000000"/>
          <w:sz w:val="20"/>
        </w:rPr>
        <w:t>ex vivo</w:t>
      </w:r>
      <w:r>
        <w:rPr>
          <w:rFonts w:ascii="Times New Roman" w:hAnsi="Times New Roman"/>
          <w:color w:val="000000"/>
          <w:sz w:val="20"/>
        </w:rPr>
        <w:t xml:space="preserve"> approach in our risto-cel program. We are also pursuing a next wave of </w:t>
      </w:r>
      <w:r>
        <w:rPr>
          <w:rFonts w:ascii="Times New Roman" w:hAnsi="Times New Roman"/>
          <w:i/>
          <w:color w:val="000000"/>
          <w:sz w:val="20"/>
        </w:rPr>
        <w:t>in vivo</w:t>
      </w:r>
      <w:r>
        <w:rPr>
          <w:rFonts w:ascii="Times New Roman" w:hAnsi="Times New Roman"/>
          <w:color w:val="000000"/>
          <w:sz w:val="20"/>
        </w:rPr>
        <w:t xml:space="preserve"> base editing with delivery directly into HSCs of patients via lipid nanoparticles, or LNPs. We believe this multi-wave strategy can maximize the potential applicability of our sickle cell disease programs to patients as well as create a platform for the treatment of many other severe genetic blood disorders.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Ex Vivo Base Editing via Autologous Transplant with risto-cel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using base editing to pursue the development of risto-cel for the treatment of sickle cell disease. Risto-cel is a patient-specific, autologous HSC investigational therapy designed to offer a potentially best-in-class profile, incorporating base edits that are intended to mimic single nucleotide polymorphisms seen in individuals with hereditary persistence of fetal hemoglobin, or HbF.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Risto-cel aims to alleviate the effects of sickle cell disease by increasing HbF, which is expected to increase functional hemoglobin production and, in the case of sickle cell disease, inhibit hemoglobins S, or HbS, polymerization.</w:t>
      </w:r>
    </w:p>
    <w:p>
      <w:pPr>
        <w:pStyle w:val="TextBody"/>
        <w:bidi w:val="0"/>
        <w:spacing w:before="0" w:after="120"/>
        <w:jc w:val="left"/>
        <w:rPr>
          <w:rFonts w:ascii="Times New Roman" w:hAnsi="Times New Roman"/>
          <w:sz w:val="20"/>
        </w:rPr>
      </w:pPr>
      <w:r>
        <w:rPr>
          <w:rFonts w:ascii="Times New Roman" w:hAnsi="Times New Roman"/>
          <w:color w:val="000000"/>
          <w:sz w:val="20"/>
        </w:rPr>
        <w:t>We are conducting a Phase 1/2 clinical trial designed to assess the safety and efficacy of risto-cel for the treatment of sickle cell disease, which we refer to as our BEACON trial. The BEACON trial includes approximately 50 adults and adolescents with severe sickle cell disease who have received prior treatment with at least one disease-modifying agent with inadequate response or intolerance. Following mobilization, conditioning and treatment with risto-cel,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w:t>
      </w:r>
      <w:r>
        <w:rPr>
          <w:rFonts w:ascii="Times New Roman" w:hAnsi="Times New Roman"/>
          <w:color w:val="212529"/>
          <w:sz w:val="20"/>
        </w:rPr>
        <w:t xml:space="preserve"> </w:t>
      </w:r>
      <w:r>
        <w:rPr>
          <w:rFonts w:ascii="Times New Roman" w:hAnsi="Times New Roman"/>
          <w:color w:val="000000"/>
          <w:sz w:val="20"/>
        </w:rPr>
        <w:t xml:space="preserve">Dosing in the BEACON trial is complete for all adult and adolescent patients. The U.S. Food and Drug Administration, or the FDA, has granted orphan drug designation and regenerative medicine advanced therapy designation to risto-cel. Risto-cel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also been accepted into the FDA’s Chemistry, Manufacturing, and Controls Development and Readiness pilot program. </w:t>
      </w:r>
    </w:p>
    <w:p>
      <w:pPr>
        <w:pStyle w:val="TextBody"/>
        <w:bidi w:val="0"/>
        <w:jc w:val="left"/>
        <w:rPr>
          <w:rFonts w:ascii="Times New Roman" w:hAnsi="Times New Roman"/>
          <w:color w:val="000000"/>
          <w:sz w:val="20"/>
        </w:rPr>
      </w:pPr>
      <w:r>
        <w:rPr>
          <w:rFonts w:ascii="Times New Roman" w:hAnsi="Times New Roman"/>
          <w:color w:val="000000"/>
          <w:sz w:val="20"/>
        </w:rPr>
        <w:t>Updated data from the BEACON trial were presented at the American Society of Hematology 2025 Annual Meeting, in December 2025 and subsequently published in the April 1, 2026 issue of the New England Journal of Medicine: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achieved mean HbF levels above 60% and a mean durable reduction in corresponding HbS below 40%. A pancellular distribution of HbF, reflecting expression across most of the circulating red blood cells, was observed, with mean per-cell HbF levels maintained above the sickling threshold throughout follow-up. Durable, high editing efficiency was observed in peripheral blood and bone marrow following treatment with risto-cel. Mean peripheral blood editing was 67.4% at Month 6 and 72.8% by Month 12.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required a median of one (range: 1-5) stem cell collection cycle, comprising a median of three (range: 1–13) total collection days for the risto-cel manufacturing process and back-up cell collection. The median time to neutrophil engraftment was 17.5 days (range: 12-30), with a median duration of severe neutropenia of seven days (range: 1-17). The median time to platelet engraftment was 19 days (range: 11-53). In addition, 29% of patients did not require any platelet transfusions following risto-cel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Hb levels increased rapidly with all patients experiencing resolution of anemia after elimination of the transfused blood. Key markers of hemolysis, including indirect bilirubin, haptoglobin, lactate dehydrogenase, and reticulocytes, normalized or improved in all patients following risto-cel treatment. Erythropoietin levels also trended toward normal, indicating significant improvement in oxygen delivery to tissues. Sickling parameters all decreased in the blood following risto-cel treatment to levels comparable to those seen in individuals with sickle cell trait.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initial safety profile of risto-cel was consistent with busulfan conditioning, autologous HSCT and underlying sickle cell disease. The most common treatment-emergent adverse events were consistent with busulfan conditioning, including febrile neutropenia, stomatitis and decreased appetite. As previously reported, one patient died four months after risto-cel infusion due to respiratory failure that was determined by the investigator to be likely related to busulfan conditioning and deemed unrelated to risto-cel. No patients experienced any investigator-reported severe vaso-occlusive crises post-engraftment.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report updated data for the BEACON clinical trial by year-end 2026, and expect to submit a biologics license application, or BLA, for risto-cel as early as year-end 2026.</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In Vivo </w:t>
      </w:r>
      <w:r>
        <w:rPr>
          <w:rFonts w:ascii="Times New Roman" w:hAnsi="Times New Roman"/>
          <w:b/>
          <w:i/>
          <w:color w:val="000000"/>
          <w:sz w:val="20"/>
        </w:rPr>
        <w:t>Base Editing via HSC-targeted LNPs</w:t>
      </w:r>
    </w:p>
    <w:p>
      <w:pPr>
        <w:pStyle w:val="TextBody"/>
        <w:bidi w:val="0"/>
        <w:jc w:val="left"/>
        <w:rPr>
          <w:rFonts w:ascii="Times New Roman" w:hAnsi="Times New Roman"/>
          <w:sz w:val="20"/>
        </w:rPr>
      </w:pPr>
      <w:r>
        <w:rPr>
          <w:rFonts w:ascii="Times New Roman" w:hAnsi="Times New Roman"/>
          <w:color w:val="000000"/>
          <w:sz w:val="20"/>
        </w:rPr>
        <w:t xml:space="preserve">We continue to develop targeted LNPs for the </w:t>
      </w:r>
      <w:r>
        <w:rPr>
          <w:rFonts w:ascii="Times New Roman" w:hAnsi="Times New Roman"/>
          <w:i/>
          <w:color w:val="000000"/>
          <w:sz w:val="20"/>
        </w:rPr>
        <w:t xml:space="preserve">in vivo </w:t>
      </w:r>
      <w:r>
        <w:rPr>
          <w:rFonts w:ascii="Times New Roman" w:hAnsi="Times New Roman"/>
          <w:color w:val="000000"/>
          <w:sz w:val="20"/>
        </w:rPr>
        <w:t xml:space="preserve">delivery of gene editing payloads to HSCs. Based on recent advancements in this technology, we are now prioritizing </w:t>
      </w:r>
      <w:r>
        <w:rPr>
          <w:rFonts w:ascii="Times New Roman" w:hAnsi="Times New Roman"/>
          <w:i/>
          <w:color w:val="000000"/>
          <w:sz w:val="20"/>
        </w:rPr>
        <w:t xml:space="preserve">in vivo </w:t>
      </w:r>
      <w:r>
        <w:rPr>
          <w:rFonts w:ascii="Times New Roman" w:hAnsi="Times New Roman"/>
          <w:color w:val="000000"/>
          <w:sz w:val="20"/>
        </w:rPr>
        <w:t xml:space="preserve">delivery for our next wave approach to treating sickle cell disease. We have identified targeted LNPs that have the potential for HSC delivery and are currently engaged in lead optimization. In parallel, we are also continuing development of our proprietary ESCAPE platform, which combines antibody-based conditioning with multiplex gene edited HSCs. ESCAPE has the potential to enable non-genotoxic treatment strategies that can be delivered either </w:t>
      </w:r>
      <w:r>
        <w:rPr>
          <w:rFonts w:ascii="Times New Roman" w:hAnsi="Times New Roman"/>
          <w:i/>
          <w:color w:val="000000"/>
          <w:sz w:val="20"/>
        </w:rPr>
        <w:t>ex vivo</w:t>
      </w:r>
      <w:r>
        <w:rPr>
          <w:rFonts w:ascii="Times New Roman" w:hAnsi="Times New Roman"/>
          <w:color w:val="000000"/>
          <w:sz w:val="20"/>
        </w:rPr>
        <w:t xml:space="preserve"> or </w:t>
      </w:r>
      <w:r>
        <w:rPr>
          <w:rFonts w:ascii="Times New Roman" w:hAnsi="Times New Roman"/>
          <w:i/>
          <w:color w:val="000000"/>
          <w:sz w:val="20"/>
        </w:rPr>
        <w:t>in vivo</w:t>
      </w:r>
      <w:r>
        <w:rPr>
          <w:rFonts w:ascii="Times New Roman" w:hAnsi="Times New Roman"/>
          <w:color w:val="000000"/>
          <w:sz w:val="20"/>
        </w:rPr>
        <w:t xml:space="preserve">, including as part of any future </w:t>
      </w:r>
      <w:r>
        <w:rPr>
          <w:rFonts w:ascii="Times New Roman" w:hAnsi="Times New Roman"/>
          <w:i/>
          <w:color w:val="000000"/>
          <w:sz w:val="20"/>
        </w:rPr>
        <w:t>in vivo</w:t>
      </w:r>
      <w:r>
        <w:rPr>
          <w:rFonts w:ascii="Times New Roman" w:hAnsi="Times New Roman"/>
          <w:color w:val="000000"/>
          <w:sz w:val="20"/>
        </w:rPr>
        <w:t xml:space="preserve"> program for sickle cell disease. We have completed enrollment and dosing in a Phase 1 healthy volunteer clinical trial of BEAM-103, an anti-CD117 monoclonal antibody designed to enable ESCAPE. Treatment with BEAM-103 was well tolerated across all doses tested.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Genetic diseases</w:t>
      </w:r>
    </w:p>
    <w:p>
      <w:pPr>
        <w:pStyle w:val="TextBody"/>
        <w:bidi w:val="0"/>
        <w:jc w:val="left"/>
        <w:rPr>
          <w:rFonts w:ascii="Times New Roman" w:hAnsi="Times New Roman"/>
          <w:sz w:val="20"/>
        </w:rPr>
      </w:pPr>
      <w:r>
        <w:rPr>
          <w:rFonts w:ascii="Times New Roman" w:hAnsi="Times New Roman"/>
          <w:color w:val="000000"/>
          <w:sz w:val="20"/>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hAnsi="Times New Roman"/>
          <w:i/>
          <w:color w:val="000000"/>
          <w:sz w:val="20"/>
        </w:rPr>
        <w:t>in vivo</w:t>
      </w:r>
      <w:r>
        <w:rPr>
          <w:rFonts w:ascii="Times New Roman" w:hAnsi="Times New Roman"/>
          <w:color w:val="000000"/>
          <w:sz w:val="20"/>
        </w:rPr>
        <w:t xml:space="preserve">. All of the components of the LNP, as well as the mRNA encoding the base editor, are well-defined and can be manufactured synthetically, providing the opportunity for scalable manufacturing. We are currently using LNPs to advance BEAM-302, BEAM-304 and BEAM-301.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BEAM-302: In vivo</w:t>
      </w:r>
      <w:r>
        <w:rPr>
          <w:rFonts w:ascii="Times New Roman" w:hAnsi="Times New Roman"/>
          <w:color w:val="000000"/>
          <w:sz w:val="20"/>
        </w:rPr>
        <w:t xml:space="preserve"> </w:t>
      </w:r>
      <w:r>
        <w:rPr>
          <w:rFonts w:ascii="Times New Roman" w:hAnsi="Times New Roman"/>
          <w:b/>
          <w:i/>
          <w:color w:val="000000"/>
          <w:sz w:val="20"/>
        </w:rPr>
        <w:t>LNP liver-targeting for AATD</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BEAM-302 is a liver-targeting LNP formulation of base editing reagents designed to offer a one-time treatment to correct the E342K point mutation (PiZZ genotype) predominantly responsible for the severe form of alpha-1 antitrypsin deficiency, or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protein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ultimately cause liver failure or cancer requiring patients to undergo a liver transplant. It is estimated that approximately 100,000 individuals in the United States have two copies of the Z allele. There are currently no curative treatments for patients with AATD.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conducting a Phase 1/2 open label, dose exploration and dose expansion clinical trial of BEAM-302 for the treatment of AATD. The trial will evaluate the safety, tolerability, pharmacodynamics, pharmacokinetics and efficacy of BEAM-302. Part A of the trial is designed to evaluate AATD patients with lung disease, and Part B will evaluate AATD patients with mild to moderate liver disease with or without lung disease.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March 2026, we announced updated safety and efficacy data from the trial. As of the February 10, 2026 data cutoff date, 29 patients had been treated with BEAM-302 in Part A (15 mg, n=3; 30 mg, n=3; 60 mg, n=6; 75 mg, n=9; 2x 60 mg, n=3) and Part B (30 mg, n=3; 60 mg, n=2) and followed for up to 18 months.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Data from 26 patients treated with a single-dose of BEAM-302 support a well-tolerated safety profile up to 75 mg that is consistent across Part A and Part B. Adverse events, or AEs, were mild to moderate, with no serious AEs reported and no dose-limiting toxicities as of the data cutoff. Transient Grade 1 and Grade 2 infusion-related reactions, or IRRs, and Grade 1 asymptomatic alanine transaminase, or ALT, and aspartate aminotransferase, or AST, elevations were observed. In the multi-dose cohort (n=3), following the second dose of BEAM-302, patients experienced Grade 2 IRRs, one patient had Grade 4 ALT and Grade 3 AST elevations, and one patient had a Grade 2 ALT elevation. All ALT/AST elevations were asymptomatic and did not require treatment. No bilirubin increases were observed in any patient.</w:t>
      </w:r>
    </w:p>
    <w:p>
      <w:pPr>
        <w:pStyle w:val="TextBody"/>
        <w:bidi w:val="0"/>
        <w:spacing w:before="0" w:after="120"/>
        <w:jc w:val="left"/>
        <w:rPr>
          <w:rFonts w:ascii="Times New Roman" w:hAnsi="Times New Roman"/>
          <w:sz w:val="20"/>
        </w:rPr>
      </w:pPr>
      <w:r>
        <w:rPr>
          <w:rFonts w:ascii="Times New Roman" w:hAnsi="Times New Roman"/>
          <w:color w:val="000000"/>
          <w:sz w:val="20"/>
        </w:rPr>
        <w:t>Treatment with BEAM-302 led to rapid and durable increases of total and functional AAT, decreases in mutant Z-AAT, and new production of corrected M-AAT. Key data from 28 efficacy evaluable patients</w:t>
      </w:r>
      <w:r>
        <w:rPr>
          <w:rFonts w:ascii="Times New Roman" w:hAnsi="Times New Roman"/>
          <w:color w:val="000000"/>
          <w:sz w:val="13"/>
        </w:rPr>
        <w:t>1</w:t>
      </w:r>
      <w:r>
        <w:rPr>
          <w:rFonts w:ascii="Times New Roman" w:hAnsi="Times New Roman"/>
          <w:color w:val="000000"/>
          <w:sz w:val="20"/>
        </w:rPr>
        <w:t xml:space="preserve"> include the following:</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After treatment with a single dose of BEAM-302 in Part A, the steady-state</w:t>
      </w:r>
      <w:r>
        <w:rPr>
          <w:rFonts w:ascii="Times New Roman" w:hAnsi="Times New Roman"/>
          <w:color w:val="000000"/>
          <w:sz w:val="13"/>
        </w:rPr>
        <w:t>2</w:t>
      </w:r>
      <w:r>
        <w:rPr>
          <w:color w:val="000000"/>
        </w:rPr>
        <w:t xml:space="preserve"> </w:t>
      </w:r>
      <w:r>
        <w:rPr>
          <w:rFonts w:ascii="Times New Roman" w:hAnsi="Times New Roman"/>
          <w:color w:val="000000"/>
          <w:sz w:val="20"/>
        </w:rPr>
        <w:t>circulating total AAT mean (LC-MS)</w:t>
      </w:r>
      <w:r>
        <w:rPr>
          <w:rFonts w:ascii="Times New Roman" w:hAnsi="Times New Roman"/>
          <w:color w:val="000000"/>
          <w:sz w:val="13"/>
        </w:rPr>
        <w:t>3</w:t>
      </w:r>
      <w:r>
        <w:rPr>
          <w:color w:val="000000"/>
        </w:rPr>
        <w:t xml:space="preserve"> </w:t>
      </w:r>
      <w:r>
        <w:rPr>
          <w:rFonts w:ascii="Times New Roman" w:hAnsi="Times New Roman"/>
          <w:color w:val="000000"/>
          <w:sz w:val="20"/>
        </w:rPr>
        <w:t xml:space="preserve">was 16.1 µM in the 60 mg cohort (follow-up ranging from 5-12 months) and 14.4 µM in the 75 mg cohort (follow-up ranging from 2-9 months). In the multi-dose cohort, patients achieved a mean of 16.5 µM total AAT at Day 84, 28 days after the second 60 mg dose.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Across all cohorts, increased total AAT in circulation was functional as demonstrated by a neutrophil elastase inhibition assay.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Mutant Z-AAT was durably and significantly reduced after treatment with BEAM-302. The steady-state mean reduction in Z-AAT was 84% in the 60 mg cohort and 79% in the 75 mg cohort. In the multi-dose cohort, the mean reduction in Z-AAT was 80% at Day 84.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Evidence of dynamic induction of AAT expression was observed during a respiratory infection around Month 8 in a patient in the 60 mg Part A cohort. During the infection, total AAT levels increased from steady-state levels of 15.9 µM to 29.5 µM while maintaining consistent AAT composition of 95% M-AAT.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treatment with BEAM-302, newly produced corrected M-AAT comprised the majority of AAT in circulation. The steady-state mean proportion of M-AAT was 94% in the 60 mg cohort and 91% in the 75 mg cohort. In the multi-dose cohort, the mean proportion of M-AAT was 93% at Day 84.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 B patients with AATD-associated liver disease, single doses of 30 mg and 60 mg BEAM-302 demonstrated consistent efficacy comparable to results observed in Part A patients without liver disease.</w:t>
      </w:r>
    </w:p>
    <w:p>
      <w:pPr>
        <w:pStyle w:val="TextBody"/>
        <w:bidi w:val="0"/>
        <w:spacing w:before="12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One patient dosed at 60 mg in Part B was not efficacy evaluable at the time of data cutoff.</w:t>
        <w:br/>
      </w:r>
      <w:r>
        <w:rPr>
          <w:rFonts w:ascii="Times New Roman" w:hAnsi="Times New Roman"/>
          <w:color w:val="000000"/>
          <w:sz w:val="13"/>
        </w:rPr>
        <w:t>2</w:t>
      </w:r>
      <w:r>
        <w:rPr>
          <w:rFonts w:ascii="Times New Roman" w:hAnsi="Times New Roman"/>
          <w:color w:val="000000"/>
          <w:sz w:val="20"/>
        </w:rPr>
        <w:t xml:space="preserve"> Steady state is defined as the period beginning on a patient's Day 28 visit and lasting until that patient's Month 12 visit (or until that patient's last visit, if earlier than twelve months).</w:t>
        <w:br/>
      </w:r>
      <w:r>
        <w:rPr>
          <w:rFonts w:ascii="Times New Roman" w:hAnsi="Times New Roman"/>
          <w:color w:val="000000"/>
          <w:sz w:val="13"/>
        </w:rPr>
        <w:t>3</w:t>
      </w:r>
      <w:r>
        <w:rPr>
          <w:rFonts w:ascii="Times New Roman" w:hAnsi="Times New Roman"/>
          <w:color w:val="000000"/>
          <w:sz w:val="20"/>
        </w:rPr>
        <w:t xml:space="preserve"> Circulating AAT levels were measured using a liquid chromatography–mass spectrometry, or LC–MS, assay. LC-MS is a quantitative method preferred by regulatory authorities to assess specificity of AAT detection.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feedback from the FDA, we intend to pursue an accelerated approval pathway for BEAM-302 based on a primary endpoint of AAT biomarkers evaluated over 12 months, with 60 mg as the selected dose. To support a future BLA submission, we anticipate enrolling approximately 50 additional patients with AATD-associated lung disease, with or without liver disease, in a pivotal expansion of the ongoing open-label Phase 1/2 trial. In July of 2026, we dosed the first patient in the pivotal cohort.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BEAM-304: In vivo LNP liver-targeting for PKU</w:t>
      </w:r>
    </w:p>
    <w:p>
      <w:pPr>
        <w:pStyle w:val="TextBody"/>
        <w:bidi w:val="0"/>
        <w:jc w:val="left"/>
        <w:rPr>
          <w:rFonts w:ascii="Times New Roman" w:hAnsi="Times New Roman"/>
          <w:color w:val="000000"/>
          <w:sz w:val="20"/>
        </w:rPr>
      </w:pPr>
      <w:r>
        <w:rPr>
          <w:rFonts w:ascii="Times New Roman" w:hAnsi="Times New Roman"/>
          <w:color w:val="000000"/>
          <w:sz w:val="20"/>
        </w:rPr>
        <w:t xml:space="preserve">BEAM-304 is a liver-targeting LNP formulation of base editing reagents designed to correct disease-causing mutations responsible for phenylketonuria, or PKU. PKU is an autosomal recessive disorder caused by mutations in the phenylalanine hydroxylase, or PAH, gene that prevents the body from metabolizing the amino acid phenylalanine, or Phe. Elevated levels of Phe may result in severe neurological and neurocognitive impairments. Patients are generally identified via newborn screening, with the standard of care involving a Phe-restricted diet, as well as medicines that manage Phe levels. Initially, we plan to develop BEAM-304 for the treatment of the two most prevalent variants found in PKU patients in the United States, with ongoing research effort to address the majority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remaining mutations. In preclinical studies, administration of BEAM-304 resulted in the normalization of Phe levels in mice at therapeutically relevant doses, even when consuming a standard diet. In June of 2026, we announced that the FDA cleared our investigational new drug (IND) application for BEAM-304, and we have initiated clinical start-up activities for an open-label, dose-ascending, Phase 1/2 trial. The trial will initially evaluate safety, tolerability, and reduction of blood Phe levels in PKU patients with the R408W mutation, one of the most prevalent disease-causing mutations among patients with PKU in the United States, with a goal of establishing clinical proof of concept for base editing in PKU. We believe that learnings from this trial have the potential to provide a predictable path to accelerated development of BEAM-304 for additional mutations, including as a result of novel FDA frameworks for platform medicines.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BEAM-301: In vivo LNP liver-targeting for GSDIa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BEAM-301 is a liver-targeting LNP formulation of base editing reagents designed to correct the R83C mutation, the most prevalent disease-causing mutation for, and the mutation which results in the most severe form of, glycogen storage disease Ia, or GSDIa. GSDIa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pStyle w:val="TextBody"/>
        <w:bidi w:val="0"/>
        <w:jc w:val="left"/>
        <w:rPr>
          <w:rFonts w:ascii="Times New Roman" w:hAnsi="Times New Roman"/>
          <w:color w:val="000000"/>
          <w:sz w:val="20"/>
        </w:rPr>
      </w:pPr>
      <w:r>
        <w:rPr>
          <w:rFonts w:ascii="Times New Roman" w:hAnsi="Times New Roman"/>
          <w:color w:val="000000"/>
          <w:sz w:val="20"/>
        </w:rPr>
        <w:t>We are conducting a Phase 1/2 clinical trial of BEAM-301 at a select number of sites in the United States. The trial is an open-label, multi-cohort, single-ascending dose evaluation of BEAM-301 for the treatment of GSDIa in patients with the R83C mutation. Key endpoints of the trial include safety and tolerability, time to hypoglycemia during fasting, and changes from baseline in corn starch supplementation. Dosing is complete in the first cohort, and dosing has been initiated in the second cohort. We expect to report initial data from the trial in 2026.</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Collaborations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Pfizer</w:t>
      </w:r>
    </w:p>
    <w:p>
      <w:pPr>
        <w:pStyle w:val="TextBody"/>
        <w:bidi w:val="0"/>
        <w:jc w:val="left"/>
        <w:rPr>
          <w:rFonts w:ascii="Times New Roman" w:hAnsi="Times New Roman"/>
          <w:color w:val="000000"/>
          <w:sz w:val="20"/>
        </w:rPr>
      </w:pPr>
      <w:r>
        <w:rPr>
          <w:rFonts w:ascii="Times New Roman" w:hAnsi="Times New Roman"/>
          <w:color w:val="000000"/>
          <w:sz w:val="20"/>
        </w:rPr>
        <w:t>We are party to a license agreement with Pfizer Inc., or Pfizer, granting Pfizer an exclusive, worldwide license to a liver-targeted development candidate that employs our proprietary LNP to deliver base editing reagents. Under the terms of the license, Pfizer is responsible for all development activities, as well as potential regulatory approvals, manufacturing and commercialization. We will be eligible for development, regulatory and commercial milestone payments and will have a right to opt in, at the end of Phase 1/2 clinical trials, upon the payment of an option exercise fee, to a global co-development and co-commercialization agreement pursuant to which we and Pfizer would share net profits as well as development and commercialization (including manufacturing) costs in a 35%/65% ratio (Beam/Pfizer).</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Apellis Pharmaceuticals</w:t>
      </w:r>
    </w:p>
    <w:p>
      <w:pPr>
        <w:pStyle w:val="TextBody"/>
        <w:bidi w:val="0"/>
        <w:jc w:val="left"/>
        <w:rPr>
          <w:rFonts w:ascii="Times New Roman" w:hAnsi="Times New Roman"/>
          <w:color w:val="000000"/>
          <w:sz w:val="20"/>
        </w:rPr>
      </w:pPr>
      <w:r>
        <w:rPr>
          <w:rFonts w:ascii="Times New Roman" w:hAnsi="Times New Roman"/>
          <w:color w:val="000000"/>
          <w:sz w:val="20"/>
        </w:rPr>
        <w:t>We were party to a research collaboration agreement, or the Apellis Agreement, with Apellis Pharmaceuticals, Inc., or Apellis, focused on the use of our base editing technology to discover new treatments for complement system-driven diseases. Under the terms of the Apellis Agreement, we conducted preclinical research on six base editing programs that target specific genes within the complement system in various organs, including the eye, liver, and brain. Apellis had an exclusive option to license any or all of the six programs and would assume responsibility for subsequent development. In 2025, Apellis notified us of its decision to opt-in to the base editing program directed to FcRN. As a result of Apellis' decision to opt-in to the program, we received a cash opt-in fee of $3.8 million during the year ended December 31, 2025. We may elect to enter into a 50-50 U.S. co-development and co-commercialization agreement with Apellis with respect to one program licensed under the collaboration. In May 2026, Biogen Inc. announced that it had completed its acquisition of Apellis.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Verve Therapeutics and Eli Lilly and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We are party to a license agreement, or the Verve Agreement, with Verve Therapeutics, Inc., or Verve, pursuant to which we granted Verve exclusive worldwide licenses under our base editing technologies for human therapeutic applications against a total of three liver-mediated, cardiovascular disease targets, which consist of PCSK9, ANGPTL3 and an undisclosed target. In October 2023, we entered into a transfer and delegation agreement, or the Lilly Agreement, with Eli Lilly and Company, or Lilly, pursuant to which Lilly acquired certain assets and other rights under the Verve Agreement, including our opt-in rights to co-develop and co-commercialize each of Verve’s base editing programs. In addition, Lilly acquired the right to receive any future milestone or royalty payments payable to us under the Verve Agreement. Under the terms of the Lilly Agreement, we received a $200.0 million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are eligible to receive up to $350.0 million in potential future development-stage payments upon the completion of certain clinical, regulatory and alliance events, of which $50.0 million has been received through June 30, 2026. The Company recognized $25.0 million of revenue related to the achievement of a milestone event during the six months ended June 30, 2026.</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Orbital Therapeutics and Bristol-Myers Squibb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We are party to a license agreement, or the Orbital Agreement, with Orbital Therapeutics, Inc., or Orbital, pursuant to which each of us have granted the other non-exclusive licenses to certain technology that is necessary or reasonably useful for the non-viral delivery or the design or manufacture of RNA for the prevention, treatment or diagnosis of human disease. Our license to Orbital is for all fields other than the Beam field, as described below, and also excludes the targets and substantially all of the indications that are the subject of our existing programs. The Beam field consists of all products and biologics that function in the process of gene editing or conditioning for use in cell transplantation, or that act in combination with any such products or biologics. Orbital’s license to us is for all fields other than the Orbital field, which consists of products and biologics that function as vaccines and also of therapeutic proteins, other than therapeutic proteins (i) that use gene editing, (ii) for use in conditioning, (iii) for use in regenerative medicine, (iv) for use as a CAR immune therapy that does not use circular RNA (v) for use as a T-cell receptor therapy that does not use circular RNA or (vi) that modulate certain immune responses.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Bristol-Myers Squibb Company completed an acquisition of Orbital, or the Acquisition. At the closing of the Acquisition, we received $255.1 million in closing cash consideration, plus the right to receive up to approximately $26.3 million in additional cash consideration upon the release, if any, of certain escrows. During the three months ended June 30, 2026, we received an additional $0.5 million related to the release of a portion of the escrow associated with the Acquisition. We may receive additional cash consideration in future periods upon the release of the remaining escrow amounts, if any, in accordance with the terms of the Acquisition.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we have prepared in accordance with U.S. generally accepted accounting principles. The preparation of our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leases and debt. There have been no significant changes to our existing critical accounting policies and significant judgments and estimates discussed in the 2025 Form 10-K since the date of those financial statements, except as set forth under "Debt" within Note 2, </w:t>
      </w:r>
      <w:r>
        <w:rPr>
          <w:rFonts w:ascii="Times New Roman" w:hAnsi="Times New Roman"/>
          <w:i/>
          <w:caps/>
          <w:color w:val="000000"/>
          <w:sz w:val="20"/>
        </w:rPr>
        <w:t>S</w:t>
      </w:r>
      <w:r>
        <w:rPr>
          <w:rFonts w:ascii="Times New Roman" w:hAnsi="Times New Roman"/>
          <w:i/>
          <w:color w:val="000000"/>
          <w:sz w:val="20"/>
        </w:rPr>
        <w:t>ummary of significant accounting policies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cGMP facility is designed to support manufacturing for our </w:t>
      </w:r>
      <w:r>
        <w:rPr>
          <w:rFonts w:ascii="Times New Roman" w:hAnsi="Times New Roman"/>
          <w:i/>
          <w:color w:val="000000"/>
          <w:sz w:val="20"/>
        </w:rPr>
        <w:t>ex vivo</w:t>
      </w:r>
      <w:r>
        <w:rPr>
          <w:rFonts w:ascii="Times New Roman" w:hAnsi="Times New Roman"/>
          <w:color w:val="000000"/>
          <w:sz w:val="20"/>
        </w:rPr>
        <w:t xml:space="preserve"> cell therapy programs in hematology and </w:t>
      </w:r>
      <w:r>
        <w:rPr>
          <w:rFonts w:ascii="Times New Roman" w:hAnsi="Times New Roman"/>
          <w:i/>
          <w:color w:val="000000"/>
          <w:sz w:val="20"/>
        </w:rPr>
        <w:t>in vivo</w:t>
      </w:r>
      <w:r>
        <w:rPr>
          <w:rFonts w:ascii="Times New Roman" w:hAnsi="Times New Roman"/>
          <w:color w:val="000000"/>
          <w:sz w:val="20"/>
        </w:rPr>
        <w:t xml:space="preserve"> non-viral delivery programs for liver and liver-mediated diseases, with the capability to scale-up to support potential commercial supply. For our current clinical trials, we are relying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conducting clinical trials, maintaining and expanding internal manufacturing capabilities, business planning, raising capital and providing general and administrative support for these operations. To date, we have financed our operations primarily through the sales of our redeemable convertible preferred stock, proceeds from offerings of our common stock, payments received under collaboration and license agreements, and our credit facility with Sixth Street Lending Partners, or the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clinical-stage company, and our programs are at a preclinical or clinical stage of development. To date, we have not generated any revenue from product sales and do not expect to generate revenue from the sale of products in the near future. Our revenue to date has been primarily derived from license and collaboration agreements with partners. Since inception we have incurred significant operating losses. Our net losses for the six months ended June 30, 2026 and 2025 were $217.0 million and $210.5 million, respectively. As of June 30, 2026, we had an accumulated deficit of $1.9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including our Credit Facility,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not generated any revenue to date from product sales and do not expect to do so in the near future. During the six months ended June 30, 2026 and 2025, we recognized $32.2 million and $15.9 million of license and collaboration revenue, respectively, which is primarily related to our collaboration and license agreements with Lilly and Apellis. </w:t>
      </w:r>
    </w:p>
    <w:p>
      <w:pPr>
        <w:pStyle w:val="TextBody"/>
        <w:bidi w:val="0"/>
        <w:spacing w:before="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performing research and development activities,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our clinical trials, including contract research organization costs and costs related to study preparation;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materials for use in our preclinical studies, our IND enabling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investments in delivery technology for our base editors;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research programs, including under agreements with third parties, such as consultants, contractors and contract research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bonuses, benefits and stock-based compensation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the building of our base editing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acquire in-process research and development with no alternative future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regulatory filings;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supplies and research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expenses which include direct and allocated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early phases of development, our research and development costs are often devoted to product platform and proof-of-concept preclinical studies that are not necessarily allocable to a specific target.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as we advance our programs through their planned preclinical and clinical development.</w:t>
      </w:r>
    </w:p>
    <w:p>
      <w:pPr>
        <w:pStyle w:val="TextBody"/>
        <w:bidi w:val="0"/>
        <w:spacing w:before="0" w:after="12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intellectual property, business development, commercial readiness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to support our increased research and development and commercial readiness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 </w:t>
      </w:r>
    </w:p>
    <w:p>
      <w:pPr>
        <w:pStyle w:val="TextBody"/>
        <w:bidi w:val="0"/>
        <w:spacing w:before="0" w:after="120"/>
        <w:jc w:val="left"/>
        <w:rPr>
          <w:rFonts w:ascii="Times New Roman" w:hAnsi="Times New Roman"/>
          <w:sz w:val="20"/>
        </w:rPr>
      </w:pPr>
      <w:r>
        <w:rPr>
          <w:rFonts w:ascii="Times New Roman" w:hAnsi="Times New Roman"/>
          <w:b/>
          <w:i/>
          <w:color w:val="000000"/>
          <w:sz w:val="20"/>
        </w:rPr>
        <w:t>Other income and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income and expenses consist of the following items: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 xml:space="preserve">Change in fair value of derivative liabilities </w:t>
      </w:r>
      <w:r>
        <w:rPr>
          <w:rFonts w:ascii="Times New Roman" w:hAnsi="Times New Roman"/>
          <w:color w:val="000000"/>
          <w:sz w:val="20"/>
        </w:rPr>
        <w:t>consists of remeasurement gains or losses associated with changes in success payment liabilities associated with our license agreement with Harvard, dated as of June 27, 2017, as amended, or the Harvard License Agreement, and the license agreement with The Broad Institute, as amended, dated as of May 9, 2018, or the Broad License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Change in fair value of non-controlling equity investments</w:t>
      </w:r>
      <w:r>
        <w:rPr>
          <w:color w:val="000000"/>
        </w:rPr>
        <w:t xml:space="preserve"> </w:t>
      </w:r>
      <w:r>
        <w:rPr>
          <w:rFonts w:ascii="Times New Roman" w:hAnsi="Times New Roman"/>
          <w:color w:val="000000"/>
          <w:sz w:val="20"/>
        </w:rPr>
        <w:t>consists of changes in the fair value of our investments in equity securities.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Change in fair value of contingent consideration liabilities </w:t>
      </w:r>
      <w:r>
        <w:rPr>
          <w:rFonts w:ascii="Times New Roman" w:hAnsi="Times New Roman"/>
          <w:color w:val="000000"/>
          <w:sz w:val="20"/>
        </w:rPr>
        <w:t>consists of remeasurement of the fair value of the milestone payments associated with our contingent consideration liabilities from acquisitions.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Gain on sale of equity method investment </w:t>
      </w:r>
      <w:r>
        <w:rPr>
          <w:rFonts w:ascii="Times New Roman" w:hAnsi="Times New Roman"/>
          <w:color w:val="000000"/>
          <w:sz w:val="20"/>
        </w:rPr>
        <w:t xml:space="preserve">consists of consideration received from the sale of equity method investments.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Interest and other income (expense), net</w:t>
      </w:r>
      <w:r>
        <w:rPr>
          <w:color w:val="000000"/>
        </w:rPr>
        <w:t xml:space="preserve"> </w:t>
      </w:r>
      <w:r>
        <w:rPr>
          <w:rFonts w:ascii="Times New Roman" w:hAnsi="Times New Roman"/>
          <w:color w:val="000000"/>
          <w:sz w:val="20"/>
        </w:rPr>
        <w:t>consists primarily of interest income from our investments in fixed income securities as well as interest expense related to our financing agreement with Sixth Street Lending Partners.</w:t>
      </w:r>
    </w:p>
    <w:p>
      <w:pPr>
        <w:pStyle w:val="TextBody"/>
        <w:bidi w:val="0"/>
        <w:spacing w:before="12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538" w:type="dxa"/>
        <w:jc w:val="left"/>
        <w:tblInd w:w="0" w:type="dxa"/>
        <w:tblLayout w:type="fixed"/>
        <w:tblCellMar>
          <w:top w:w="28" w:type="dxa"/>
          <w:left w:w="28" w:type="dxa"/>
          <w:bottom w:w="28" w:type="dxa"/>
          <w:right w:w="28" w:type="dxa"/>
        </w:tblCellMar>
      </w:tblPr>
      <w:tblGrid>
        <w:gridCol w:w="5106"/>
        <w:gridCol w:w="146"/>
        <w:gridCol w:w="211"/>
        <w:gridCol w:w="841"/>
        <w:gridCol w:w="166"/>
        <w:gridCol w:w="146"/>
        <w:gridCol w:w="211"/>
        <w:gridCol w:w="841"/>
        <w:gridCol w:w="166"/>
        <w:gridCol w:w="146"/>
        <w:gridCol w:w="211"/>
        <w:gridCol w:w="736"/>
        <w:gridCol w:w="611"/>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License and collaboration 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License and collaboration revenue was $0.5 million and $8.5 million for the three months ended June 30, 2026 and 2025, respectively. The decrease in revenue of $8.0 million is due to a change in the level of research activities on our license and collaboration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were $95.1 million and $101.8 million for the three months ended June 30, 2026 and 2025, respectively. The following table summarizes our research and development expenses for the three months ended June 30, 2026 and 2025 (in thousands):</w:t>
      </w:r>
    </w:p>
    <w:tbl>
      <w:tblPr>
        <w:tblW w:w="8211" w:type="dxa"/>
        <w:jc w:val="left"/>
        <w:tblInd w:w="0" w:type="dxa"/>
        <w:tblLayout w:type="fixed"/>
        <w:tblCellMar>
          <w:top w:w="28" w:type="dxa"/>
          <w:left w:w="28" w:type="dxa"/>
          <w:bottom w:w="28" w:type="dxa"/>
          <w:right w:w="28" w:type="dxa"/>
        </w:tblCellMar>
      </w:tblPr>
      <w:tblGrid>
        <w:gridCol w:w="4456"/>
        <w:gridCol w:w="146"/>
        <w:gridCol w:w="220"/>
        <w:gridCol w:w="705"/>
        <w:gridCol w:w="152"/>
        <w:gridCol w:w="152"/>
        <w:gridCol w:w="220"/>
        <w:gridCol w:w="815"/>
        <w:gridCol w:w="146"/>
        <w:gridCol w:w="146"/>
        <w:gridCol w:w="211"/>
        <w:gridCol w:w="63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information technology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95,096</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decrease of $6.7 million was primarily due to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decrease of $8.4 million in external research and development expenses driven by a decrease of $9.0 million in outsourced services, primarily due to the timing of manufacturing and clinical activities, partially offset by an increase in lab supply expenses of $0.6 million due to an increase in research activities when compared to the prior year period;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decrease of $3.6 million in stock-based compensation driven by the expense recognized on additional one-time stock awards granted in prior years for which there was no equivalent expense in the three months ended June 30, 2026. </w:t>
      </w:r>
    </w:p>
    <w:p>
      <w:pPr>
        <w:pStyle w:val="TextBody"/>
        <w:bidi w:val="0"/>
        <w:jc w:val="left"/>
        <w:rPr>
          <w:rFonts w:ascii="Times New Roman" w:hAnsi="Times New Roman"/>
          <w:color w:val="000000"/>
          <w:sz w:val="20"/>
        </w:rPr>
      </w:pPr>
      <w:r>
        <w:rPr>
          <w:rFonts w:ascii="Times New Roman" w:hAnsi="Times New Roman"/>
          <w:color w:val="000000"/>
          <w:sz w:val="20"/>
        </w:rPr>
        <w:t>The decrease was partially offset by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 increase of $4.3 million of employee related expenses due to the increase in research and development employees from 401 as of June 30, 2025 to 420 as of June 30, 2026;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 increase of $1.0 million of other expenses driven primarily by milestone activity.</w:t>
      </w:r>
    </w:p>
    <w:p>
      <w:pPr>
        <w:pStyle w:val="TextBody"/>
        <w:bidi w:val="0"/>
        <w:spacing w:before="120" w:after="12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were $31.9 million and $26.9 million for the three months ended June 30, 2026 and 2025, respectively. The increase of $5.1 million was primarily due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 increase of $4.9 million in employee related costs due to the growth in general and administrative employees from 108 as of June 30, 2025 to 120 as of June 30, 2026 and expenses related to consultants;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$1.2 million in legal expenses;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$0.5 million in other expenses.</w:t>
      </w:r>
    </w:p>
    <w:p>
      <w:pPr>
        <w:pStyle w:val="TextBody"/>
        <w:bidi w:val="0"/>
        <w:jc w:val="left"/>
        <w:rPr>
          <w:rFonts w:ascii="Times New Roman" w:hAnsi="Times New Roman"/>
          <w:color w:val="000000"/>
          <w:sz w:val="20"/>
        </w:rPr>
      </w:pPr>
      <w:r>
        <w:rPr>
          <w:rFonts w:ascii="Times New Roman" w:hAnsi="Times New Roman"/>
          <w:color w:val="000000"/>
          <w:sz w:val="20"/>
        </w:rPr>
        <w:t>The increase in general and administrative expenses was partially offset by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decrease of $1.5 million in stock-based compensation driven by the expense recognized on additional one-time stock awards granted in prior years for which there was no equivalent expense in the three months ended June 30, 2026.</w:t>
      </w:r>
    </w:p>
    <w:p>
      <w:pPr>
        <w:pStyle w:val="TextBody"/>
        <w:bidi w:val="0"/>
        <w:spacing w:before="0" w:after="120"/>
        <w:jc w:val="left"/>
        <w:rPr>
          <w:rFonts w:ascii="Times New Roman" w:hAnsi="Times New Roman"/>
          <w:sz w:val="20"/>
        </w:rPr>
      </w:pPr>
      <w:r>
        <w:rPr>
          <w:rFonts w:ascii="Times New Roman" w:hAnsi="Times New Roman"/>
          <w:i/>
          <w:color w:val="000000"/>
          <w:sz w:val="20"/>
        </w:rPr>
        <w:t>Change in fair value of derivative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and 2025, we recorded $4.2 million of other expense and $1.3 million of other income, respectively, primarily related to the change in fair value of success payment liabilities, driven by changes in the price of our common stock over the related periods.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non-controlling equity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and 2025, we recorded $0.3 million and $4.4 million of other income, respectively, as a result of changes in the fair value of our investment in corporate equity securities.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contingent consideration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and 2025, we recorded $0.2 million and less than $0.1 million of other expense, respectively, related to the change in fair value of the milestone payments related to our contingent consideration liabilities.</w:t>
      </w:r>
    </w:p>
    <w:p>
      <w:pPr>
        <w:pStyle w:val="TextBody"/>
        <w:bidi w:val="0"/>
        <w:jc w:val="left"/>
        <w:rPr>
          <w:rFonts w:ascii="Times New Roman" w:hAnsi="Times New Roman"/>
          <w:i/>
          <w:color w:val="000000"/>
          <w:sz w:val="20"/>
        </w:rPr>
      </w:pPr>
      <w:r>
        <w:rPr>
          <w:rFonts w:ascii="Times New Roman" w:hAnsi="Times New Roman"/>
          <w:i/>
          <w:color w:val="000000"/>
          <w:sz w:val="20"/>
        </w:rPr>
        <w:t>Gain on sale of equity method investment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2025, Bristol-Myers Squibb Company completed the Acquisition of Orbital. At the closing of the Acquisition, we held 75 million shares of Orbital common stock, which were cancelled and converted into $255.1 million in closing cash consideration, plus the right to receive up to approximately $26.3 million in additional cash consideration upon the release, if any, of certain escrows.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three months ended June 30, 2026, we received $0.5 million of additional cash consideration upon release of certain escrows related to the Acquisition. We may receive additional cash consideration in future periods upon the release of the remaining escrow amounts, if any, in accordance with the terms of the Acquisition.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(expense), net was $7.5 million and $12.3 million of income for the three months ended June 30, 2026 and 2025, respectively.</w:t>
      </w:r>
    </w:p>
    <w:p>
      <w:pPr>
        <w:pStyle w:val="TextBody"/>
        <w:bidi w:val="0"/>
        <w:spacing w:before="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results of operations (in thousands):</w:t>
      </w:r>
    </w:p>
    <w:tbl>
      <w:tblPr>
        <w:tblW w:w="9538" w:type="dxa"/>
        <w:jc w:val="left"/>
        <w:tblInd w:w="0" w:type="dxa"/>
        <w:tblLayout w:type="fixed"/>
        <w:tblCellMar>
          <w:top w:w="28" w:type="dxa"/>
          <w:left w:w="28" w:type="dxa"/>
          <w:bottom w:w="28" w:type="dxa"/>
          <w:right w:w="28" w:type="dxa"/>
        </w:tblCellMar>
      </w:tblPr>
      <w:tblGrid>
        <w:gridCol w:w="5106"/>
        <w:gridCol w:w="146"/>
        <w:gridCol w:w="211"/>
        <w:gridCol w:w="841"/>
        <w:gridCol w:w="166"/>
        <w:gridCol w:w="146"/>
        <w:gridCol w:w="211"/>
        <w:gridCol w:w="841"/>
        <w:gridCol w:w="166"/>
        <w:gridCol w:w="146"/>
        <w:gridCol w:w="211"/>
        <w:gridCol w:w="736"/>
        <w:gridCol w:w="611"/>
      </w:tblGrid>
      <w:tr>
        <w:trPr/>
        <w:tc>
          <w:tcPr>
            <w:tcW w:w="5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License and collaboration 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License and collaboration revenue was $32.2 million and $15.9 million for six months ended June 30, 2026 and 2025, respectively. The increase in revenue of $16.3 million is driven primarily by the recognition of $25.0 million of revenue related to a milestone achieved under the Lilly Agreement during the six months ended June 30, 2026, partially offset by a decrease in revenue due to the level of research activities on our license and collaboration programs.</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were $199.6 million and $200.6 million for the six months ended June 30, 2026 and 2025, respectively. The following table summarizes our research and development expenses for the six months ended June 30, 2026 and 2025 (in thousands):</w:t>
      </w:r>
    </w:p>
    <w:tbl>
      <w:tblPr>
        <w:tblW w:w="7623"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46"/>
        <w:gridCol w:w="146"/>
        <w:gridCol w:w="211"/>
        <w:gridCol w:w="736"/>
        <w:gridCol w:w="2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IT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decrease of $1.0 million was primarily due to the following: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decrease of $12.8 million in external research and development expenses driven by a decrease of $14.0 million in outsourced services, primarily due to the timing of manufacturing and clinical activities, offset by an increase in lab supply expenses of $1.2 million due to an increase in research activities when compared to the prior year period;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decrease of $8.3 million in stock-based compensation driven by the expense recognized on additional one-time stock awards granted in prior years for which there was no equivalent expense in the six months ended June 30, 2026. </w:t>
      </w:r>
    </w:p>
    <w:p>
      <w:pPr>
        <w:pStyle w:val="TextBody"/>
        <w:bidi w:val="0"/>
        <w:jc w:val="left"/>
        <w:rPr>
          <w:rFonts w:ascii="Times New Roman" w:hAnsi="Times New Roman"/>
          <w:color w:val="000000"/>
          <w:sz w:val="20"/>
        </w:rPr>
      </w:pPr>
      <w:r>
        <w:rPr>
          <w:rFonts w:ascii="Times New Roman" w:hAnsi="Times New Roman"/>
          <w:color w:val="000000"/>
          <w:sz w:val="20"/>
        </w:rPr>
        <w:t>The decrease was partially offset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other expenses of $11.9 million driven primarily by milestone and non-royalty sublicense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$8.0 million of employee related expenses due to the increase in research and development employees from 401 as of June 30, 2025 to 420 as of June 30,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$0.3 million in facility and information technology related expenses, including depreciation, related to our leased facilities.</w:t>
      </w:r>
    </w:p>
    <w:p>
      <w:pPr>
        <w:pStyle w:val="TextBody"/>
        <w:bidi w:val="0"/>
        <w:spacing w:before="120" w:after="12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were $66.4 million and $54.8 million for the six months ended June 30, 2026 and 2025, respectively. The increase of $11.6 million was primarily due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 increase of $8.1 million in employee related costs due to the growth in general and administrative employees from 108 as of June 30, 2025 to 120 as of June 30, 2026 and expenses related to consultants;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$6.6 million in legal expenses;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increase of $1.3 million in other expenses.</w:t>
      </w:r>
    </w:p>
    <w:p>
      <w:pPr>
        <w:pStyle w:val="TextBody"/>
        <w:bidi w:val="0"/>
        <w:jc w:val="left"/>
        <w:rPr>
          <w:rFonts w:ascii="Times New Roman" w:hAnsi="Times New Roman"/>
          <w:color w:val="000000"/>
          <w:sz w:val="20"/>
        </w:rPr>
      </w:pPr>
      <w:r>
        <w:rPr>
          <w:rFonts w:ascii="Times New Roman" w:hAnsi="Times New Roman"/>
          <w:color w:val="000000"/>
          <w:sz w:val="20"/>
        </w:rPr>
        <w:t>The increase in general and administrative expenses was partially offset by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decrease of $4.5 million in stock-based compensation driven by the expense recognized on additional one-time stock awards granted in prior years for which there was no equivalent expense in the six months ended June 30, 2026.</w:t>
      </w:r>
    </w:p>
    <w:p>
      <w:pPr>
        <w:pStyle w:val="TextBody"/>
        <w:bidi w:val="0"/>
        <w:spacing w:before="0" w:after="120"/>
        <w:jc w:val="left"/>
        <w:rPr>
          <w:rFonts w:ascii="Times New Roman" w:hAnsi="Times New Roman"/>
          <w:sz w:val="20"/>
        </w:rPr>
      </w:pPr>
      <w:r>
        <w:rPr>
          <w:rFonts w:ascii="Times New Roman" w:hAnsi="Times New Roman"/>
          <w:i/>
          <w:color w:val="000000"/>
          <w:sz w:val="20"/>
        </w:rPr>
        <w:t>Change in fair value of derivative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six months ended June 30, 2026 and 2025, we recorded $1.7 million of other expense and $4.5 million of other income, respectively, related to the change in fair value of success payment liabilities, driven by changes in the price of our common stock over the related periods.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non-controlling equity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six months ended June 30, 2026 and 2025, we recorded $0.4 million and $2.3 million of other income, respectively, as a result of changes in the fair value of our investment in corporate equity securities.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contingent consideration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six months ended June 30, 2026 and 2025, we recorded $0.3 million of other income and less than $0.1 million of other expense, respectively, related to the change in fair value of the milestone payments related to our contingent consideration liabilities.</w:t>
      </w:r>
    </w:p>
    <w:p>
      <w:pPr>
        <w:pStyle w:val="TextBody"/>
        <w:bidi w:val="0"/>
        <w:jc w:val="left"/>
        <w:rPr>
          <w:rFonts w:ascii="Times New Roman" w:hAnsi="Times New Roman"/>
          <w:i/>
          <w:color w:val="000000"/>
          <w:sz w:val="20"/>
        </w:rPr>
      </w:pPr>
      <w:r>
        <w:rPr>
          <w:rFonts w:ascii="Times New Roman" w:hAnsi="Times New Roman"/>
          <w:i/>
          <w:color w:val="000000"/>
          <w:sz w:val="20"/>
        </w:rPr>
        <w:t>Gain on sale of equity method investment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2025, Bristol-Myers Squibb Company completed the Acquisition of Orbital. At the closing of the Acquisition, we held 75 million shares of Orbital common stock, which were cancelled and converted into $255.1 million in closing cash consideration, plus the right to receive up to approximately $26.3 million in additional cash consideration upon the release, if any, of certain escrows. During the six months ended June 30, 2026, we received $0.5 million of additional cash consideration upon release of certain escrows related to the Acquisition. We may receive additional cash consideration in future periods upon the release of the remaining escrow amounts, if any, in accordance with the terms of the Acquisition.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(expense), net was $17.4 million and $22.2 million of income for the six months ended June 30, 2026 and 2025, respectively.</w:t>
      </w:r>
    </w:p>
    <w:p>
      <w:pPr>
        <w:pStyle w:val="TextBody"/>
        <w:bidi w:val="0"/>
        <w:spacing w:before="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clinical development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entered into the Sales Agreement with Jefferies pursuant to which we are entitled to offer and sell, from time to time at prevailing market prices, shares of our common stock having aggregate gross proceeds of up to $1.1 billion. We agreed to pay Jefferies a commission of up to 3.0% of the aggregate gross sale proceeds of any shares sold by Jefferies under the Sales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have sold 13,769,001 shares of common stock under the Sales Agreement at an average price of $62.75 per share for aggregate gross proceeds of $864.0 million, before deducting commissions and offering expenses payable by us. There were no shares sold under the Sales Agreement during the six months ended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February 2024, we filed a universal automatic shelf registration statement on Form S-3 with the SEC, to register for sale an indeterminate amount of our common stock, preferred stock, debt securities, warrants and/or units in one or more offerings, which became effective upon filing with the SEC (File No. 333-277427).</w:t>
      </w:r>
    </w:p>
    <w:p>
      <w:pPr>
        <w:pStyle w:val="TextBody"/>
        <w:bidi w:val="0"/>
        <w:spacing w:before="0" w:after="120"/>
        <w:jc w:val="left"/>
        <w:rPr>
          <w:rFonts w:ascii="Times New Roman" w:hAnsi="Times New Roman"/>
          <w:sz w:val="20"/>
        </w:rPr>
      </w:pPr>
      <w:r>
        <w:rPr>
          <w:rFonts w:ascii="Times New Roman" w:hAnsi="Times New Roman"/>
          <w:color w:val="000000"/>
          <w:sz w:val="20"/>
        </w:rPr>
        <w:t>In March 2025, we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w:t>
      </w:r>
      <w:r>
        <w:rPr>
          <w:rFonts w:ascii="Times New Roman" w:hAnsi="Times New Roman"/>
          <w:color w:val="FF0000"/>
          <w:sz w:val="20"/>
        </w:rPr>
        <w:t xml:space="preserve"> </w:t>
      </w:r>
      <w:r>
        <w:rPr>
          <w:rFonts w:ascii="Times New Roman" w:hAnsi="Times New Roman"/>
          <w:color w:val="000000"/>
          <w:sz w:val="20"/>
        </w:rPr>
        <w:t>million related to legal, accounting and other fees in connection with the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December 2025, Bristol-Myers Squibb Company completed the Acquisition of Orbital. At the closing of the Acquisition, we received $255.1 million in closing cash consideration, plus the right to receive up to approximately $26.3 million in additional cash consideration upon the release, if any, of certain escrows. During the three months ended June 30, 2026, we received an additional $0.5 million related to the release of a portion of the escrow associated with the Acquisition. We may receive additional cash consideration in future periods upon the release of the remaining escrow amounts, if any, in accordance with the terms of the Acquisition.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2026, we entered into the Financing Agreement, which provides for the Credit Facility, consisting of an initial draw of $100.0 million on the closing date; up to $300 million available upon the achievement of certain clinical, regulatory and commercial milestones for risto-cel; and an additional $100 million available at our option, subject to mutual agreement between the parties, during the seven-year term of the agreement. The Credit Facility matures on February 24, 2033 and bears interest at an annual rate equal to the 3-month Secured Overnight Financing Rate (SOFR) plus 6.5% (subject to a 1.00% floor). Certain additional commitment, administrative, undrawn amount and facility fees are also payable in connection with the Credit Facility.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future success payments of up to $90.0 million each.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had $1.2 billion in cash, cash equivalents, and marketable securities, which we expect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than we currently expect.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not yet commercialized any of our product candidates, and we do not expect to generate revenue from the sale of our product candidates in the near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(in thousands): </w:t>
      </w:r>
    </w:p>
    <w:tbl>
      <w:tblPr>
        <w:tblW w:w="7789" w:type="dxa"/>
        <w:jc w:val="left"/>
        <w:tblInd w:w="0" w:type="dxa"/>
        <w:tblLayout w:type="fixed"/>
        <w:tblCellMar>
          <w:top w:w="28" w:type="dxa"/>
          <w:left w:w="28" w:type="dxa"/>
          <w:bottom w:w="28" w:type="dxa"/>
          <w:right w:w="28" w:type="dxa"/>
        </w:tblCellMar>
      </w:tblPr>
      <w:tblGrid>
        <w:gridCol w:w="4836"/>
        <w:gridCol w:w="146"/>
        <w:gridCol w:w="211"/>
        <w:gridCol w:w="841"/>
        <w:gridCol w:w="166"/>
        <w:gridCol w:w="146"/>
        <w:gridCol w:w="211"/>
        <w:gridCol w:w="841"/>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$194.6 million, including our net loss of $217.0 million, decreases in accrued expenses and other liabilities of $14.9 million, deferred revenue of $6.7 million, operating lease liabilities totaling $7.0 million and increases in prepaid expenses and other current assets of $2.3 million. In addition, noncash items, including the amortization of investment premiums of $5.4 million, the gain on sale of equity method investment of $0.5 million, increases in the fair value of non-controlling equity investments of $0.4 million and the fair value of our contingent consideration liabilities of $0.3 million also contributed to net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uses of cash were partially offset by an increase in accounts payable of $3.4 million and an increase in other long-term liabilities of $0.1 million. In addition, we recorded noncash items consisting of stock-based compensation expense of $38.3 million, depreciation and amortization expense of $11.0 million, a decrease in operating lease right-of-use, or ROU, assets of $5.1 million and a decrease in the fair value of derivative liabilities of $1.7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$180.3 million, including our net loss of $210.5 million, decreases in accrued expenses and other liabilities of $8.6 million, deferred revenue of $15.9 million, operating lease liabilities totaling $6.6 million and a decrease in other long-term liabilities of $0.1 million. In addition, noncash items, including the amortization of investment premiums of $8.5 million, a net decrease in the fair value of derivative liabilities of $4.5 million and an increase in the fair value of non-controlling equity investments of $2.3 million also contributed to net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These uses of cash were partially offset by an increase in accounts payable of $6.4 million, a decrease of $2.8 million in prepaid expenses and other current assets and an increase of less than $0.1 million in the fair value of our contingent consideration liabilities. In addition, we recorded noncash items consisting of stock-based compensation expense of $51.0 million, depreciation and amortization expense of $11.1 million and a decrease in operating lease right-of-use, or ROU, assets of $5.3 million.</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six months ended June 30, 2026, cash provided by investing activities consisted of net maturities of marketable securities of $19.6 million and proceeds from the sale of equity method investments of $0.5 million, offset slightly by purchases of property and equipment of $4.6 million.</w:t>
      </w:r>
    </w:p>
    <w:p>
      <w:pPr>
        <w:pStyle w:val="TextBody"/>
        <w:bidi w:val="0"/>
        <w:jc w:val="left"/>
        <w:rPr>
          <w:rFonts w:ascii="Times New Roman" w:hAnsi="Times New Roman"/>
          <w:color w:val="000000"/>
          <w:sz w:val="20"/>
        </w:rPr>
      </w:pPr>
      <w:r>
        <w:rPr>
          <w:rFonts w:ascii="Times New Roman" w:hAnsi="Times New Roman"/>
          <w:color w:val="000000"/>
          <w:sz w:val="20"/>
        </w:rPr>
        <w:t>For the six months ended June 30, 2025, cash used in investing activities consisted of net purchases of marketable securities of $289.3 million and purchases of property and equipment of $6.2 million.</w:t>
      </w:r>
    </w:p>
    <w:p>
      <w:pPr>
        <w:pStyle w:val="TextBody"/>
        <w:bidi w:val="0"/>
        <w:spacing w:before="12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consisted of $93.1 million of proceeds from our Credit Facility, net of $0.8 million in debt issuance costs paid, $9.5 million of proceeds from the exercise of stock options and $1.5 million of proceeds from the issuance of common stock under our Employee Stock Purchase Plan, or ESPP.</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consisted of $470.5 million of proceeds from the March 2025 issuance of common stock and pre-funded warrants, $1.5 million of proceeds from the issuance of common stock under the ESPP, and $2.5 million of proceeds from the exercise of stock options.</w:t>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expect our operating expenses to increase over the next twelve months, as we expect increases in costs related to continued and expected clinical-stage development of our lead product candidates and increases in BLA readiness activities related to the potential commercial launch of clinical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operating expenses depend on a number of factors, including the extent to which we undertake the following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programs and our preclinical development of product candidates from our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and operate a commercial-scale cGMP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research programs and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preclinical studies and clinical trials for additional product candidates we identify and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medicines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enforce, defend, and protect our intellectual property portfolio and provide reimbursement of third-party expenses related to our patent portfolio;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develop our base editing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hire additional personnel including research and development, clinical and commercial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products, intellectual property, medicines and technologies.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expect that our cash, cash equivalents and marketable securities at June 30, 2026 will enable us to fund our current and planned operating expenses and capital expenditures for at least the next 12 months from the date of issuance of our accompanying condensed consolidated financial statements. We have based these estimates on assumptions that may prove to be imprecise, and we may exhaust our available capital resources sooner than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pStyle w:val="TextBody"/>
        <w:bidi w:val="0"/>
        <w:jc w:val="left"/>
        <w:rPr>
          <w:rFonts w:ascii="Times New Roman" w:hAnsi="Times New Roman"/>
          <w:color w:val="000000"/>
          <w:sz w:val="20"/>
        </w:rPr>
      </w:pPr>
      <w:r>
        <w:rPr>
          <w:rFonts w:ascii="Times New Roman" w:hAnsi="Times New Roman"/>
          <w:color w:val="000000"/>
          <w:sz w:val="20"/>
        </w:rPr>
        <w:t>Our future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continuing to build our base editing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licenses for the delivery modalities that will be used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discovery, preclinical development, laboratory testing, manufacturing and clinical trials for the product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and expanding our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the product candidates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future activities, including product sales, medical affairs, marketing, manufacturing, distribution, coverage and reimbursement for any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license agreements and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additional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any collaboration agreements we are a party to or may become a party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payment of success liabilities to Harvard and Broad Institute pursuant to the respective terms of the Harvard License Agreement and the Broad License Agreement, should we choose to pay in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products, intellectual property,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on our business of macro-economic conditions, as well as the prevailing level of macro-economic, business, and operational uncertainty, including as a result of geopolitical events, the imposition of new or revised global trade tariffs or other global or regional events.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expect to finance our cash needs through a combination of equity offerings, debt financings, collaborations, strategic alliances, and licensing arrangements. Other than the Credit Facility, we do not have any committed external source of capital. We have historically relied on equity issuances and collaboration revenue to fund our capital needs. The Financing Agreement includes covenants limiting or restricting our ability to take specific actions, such as incurring additional debt, making capital expenditures, or declaring dividends, and future debt financings, if available, may include similar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 </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our calculations of contractual obligations and commitments.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lease certain assets under noncancelable operating and finance leases. The leases relate primarily to office space and laboratory space. As of June 30, 2026, aggregate future minimum commitments under these office and laboratory leases are $197.9 million, of which $12.4 million will be payable in 2026. These minimum lease payments exclude our share of the facility operating expenses, real-estate taxes and other costs that are reimbursable to the landlord under the leases.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February 2026 we entered into the Financing Agreement with Sixth Street Lending Partners. Accrued interest under the Financing Agreement is payable quarterly and we are not required to repay any principal amounts outstanding until maturity in February 2033, subject to certain prepayment events set forth in the Financing Agreement. See Note 13, </w:t>
      </w:r>
      <w:r>
        <w:rPr>
          <w:rFonts w:ascii="Times New Roman" w:hAnsi="Times New Roman"/>
          <w:i/>
          <w:color w:val="000000"/>
          <w:sz w:val="20"/>
        </w:rPr>
        <w:t xml:space="preserve">Debt </w:t>
      </w:r>
      <w:r>
        <w:rPr>
          <w:rFonts w:ascii="Times New Roman" w:hAnsi="Times New Roman"/>
          <w:color w:val="000000"/>
          <w:sz w:val="20"/>
        </w:rPr>
        <w:t>to the condensed consolidated financial statements included in this Quarterly Report on Form 10-Q for additional information regarding the Financing Agreement.</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contractual obligations and commitments described under Management’s Discussion and Analysis of Financial Condition and Results of Operations in the 2025 Form 10-K other than our Financing Agreement with Sixth Street detailed above.</w:t>
      </w:r>
    </w:p>
    <w:p>
      <w:pPr>
        <w:pStyle w:val="TextBody"/>
        <w:bidi w:val="0"/>
        <w:spacing w:before="120" w:after="120"/>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exposed to market risk related to changes in interest rates. As of June 30, 2026, we had cash, cash equivalents, and marketable securities of $1.2 billion, which consisted of cash, money market funds, commercial paper and corporate and government securities. Our cash and cash equivalents are primarily maintained in accounts with multiple financial institutions in the United States. At times, we may maintain cash and cash equivalent balances in excess of Federal Deposit Insurance Corporation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Inflation generally affects us by increasing our cost of labor and research, manufacturing and development costs. We believe that inflation has not had a material effect on our financial statements included elsewhere in this Quarterly Report on Form 10-Q. However, our operations may be adversely affected by inflation in the future.</w:t>
      </w:r>
    </w:p>
    <w:p>
      <w:pPr>
        <w:pStyle w:val="TextBody"/>
        <w:bidi w:val="0"/>
        <w:spacing w:before="0" w:after="120"/>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a company’s management, including its principal executive officer and principal financial officer, or persons performing similar functions,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principal executive officer and principal financial officer concluded that our disclosure controls and procedures as of such date are effective at the reasonable assurance level.</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12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not currently subject to any material legal proceedings.</w:t>
      </w:r>
    </w:p>
    <w:p>
      <w:pPr>
        <w:pStyle w:val="TextBody"/>
        <w:bidi w:val="0"/>
        <w:spacing w:before="120" w:after="12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In addition to the other information set forth in this Quarterly Report on Form 10-Q, you should carefully consider the factors discussed in the sections titled sections titled “Risk Factors Summary” and “Item 1A. Risk Factors” in the 2025 Form 10-K, which could materially affect our business, financial condition or future results. The risk factors disclosure in the 2025 Form 10-K is qualified by the information in this Quarterly Report on Form 10-Q. The risks described in the 2025 Form 10–K are not our only risks. Additional risks and uncertainties not currently known to us or that we currently deem to be immaterial also may materially adversely affect our business, financial condition or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factors set forth below represent new risk factors or those containing changes to the similarly titled risk factor included in “Item 1.A Risk Factors” of the 2025 Form 10-K.</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Our owned and in-licensed patents and patent applications may not provide sufficient protection of our platform technologies, our product candidates and our future product candidates or result in any competitive advantage.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twelve issued U.S. patents. 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B1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2046,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March 26, 2026, the PTAB issued a decision that the Boston Licensing Parties have priority of invention over University of California with respect to a single RNA CRISPR-Cas9 system that functions in eukaryotic cells. This decision may be appealed. There can be no assurance that the U.S. interference will be 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On September 28, 2022, the PTAB issued an order suspending proceedings in the priority phase of the interference. On March 31, 2026, the PTAB lifted the suspension of the interference and resumed proceedings.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On December 14, 2022, the PTAB issued an order suspending proceedings in the priority phase of the interference. We cannot predict with any certainty when a decision will be made.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(for example, European Patent No. EP3,115,457 B1, which we sublicensed from Bio Palette and which was subsequently revoked), or such patent claims may be narrowed (for example, European Patent No. EP3,604,511 B1, which we licensed from Harvard and which was subsequently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field of gene editing, especially in the area of base editing technology, is still in its infancy, and no base editing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11,274,318; 11,293,034; 11,332,761; 11,401,532; 11,473,108; 11,479,794; 11,549,127; 11,634,730; 11,674,159; 11,814,645; 11,970,711; 12,123,015; 12,180,503; 12,180,504; 12,215,343,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have been or are being opposed in Europe by multiple parties. For example, European Patent Nos. EP2,800,811 B1, and EP3,241,902 B1, EP3,401,400 B1, EP3,597,749 B1, and EP4,289,948 B1 have been opposed, which patents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In April 2021, the claims of European patent EP3,241,902 B1 were revoked in their entirety by the Opposition Division, and that decision was not appealed. In November 2024, European patents EP2,800,811 B1 and EP3,401,400 B1 were revoked by the Boards of Appeal of the European Patent Office. In November 2025, the claims of European patent EP3,597,749 B1 were revoked in their entirety by the Opposition Division, and that decision is being appealed. It is uncertain how oppositions filed against EP3,597,749 B1 and EP4,289,948 B1 will be resolved. If these patents are maintained by the Boards of Appeal with claims similar to those that were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third-party patent on commercially reasonable terms, we may be unable to commercialize our base editing platform technology or product candidates or such commercialization efforts may be significantly delayed, which could in turn significantly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Numerous other patents and patent applications have been filed by other third parties directed to gene editing, guide nucleic acids, PAM sequence variants, split inteins, Cas12b or gene editing in the context of immune therapy or chimeric antigen receptors.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i/>
          <w:color w:val="000000"/>
          <w:sz w:val="20"/>
        </w:rPr>
      </w:pPr>
      <w:r>
        <w:rPr>
          <w:rFonts w:ascii="Times New Roman" w:hAnsi="Times New Roman"/>
          <w:b/>
          <w:i/>
          <w:color w:val="000000"/>
          <w:sz w:val="20"/>
        </w:rPr>
        <w:t>Director and Officer Trading Arrangements</w:t>
      </w:r>
    </w:p>
    <w:p>
      <w:pPr>
        <w:pStyle w:val="TextBody"/>
        <w:bidi w:val="0"/>
        <w:jc w:val="left"/>
        <w:rPr>
          <w:rFonts w:ascii="Times New Roman" w:hAnsi="Times New Roman"/>
          <w:color w:val="000000"/>
          <w:sz w:val="20"/>
        </w:rPr>
      </w:pPr>
      <w:r>
        <w:rPr>
          <w:rFonts w:ascii="Times New Roman" w:hAnsi="Times New Roman"/>
          <w:color w:val="000000"/>
          <w:sz w:val="20"/>
        </w:rPr>
        <w:t>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1226"/>
        <w:gridCol w:w="1553"/>
        <w:gridCol w:w="1568"/>
        <w:gridCol w:w="2802"/>
        <w:gridCol w:w="1706"/>
      </w:tblGrid>
      <w:tr>
        <w:trPr/>
        <w:tc>
          <w:tcPr>
            <w:tcW w:w="135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1350" w:type="dxa"/>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Name </w:t>
            </w:r>
            <w:r>
              <w:rPr>
                <w:rFonts w:ascii="Times New Roman" w:hAnsi="Times New Roman"/>
                <w:b/>
                <w:i/>
                <w:color w:val="000000"/>
                <w:sz w:val="20"/>
              </w:rPr>
              <w:t>(Title)</w:t>
            </w:r>
          </w:p>
        </w:tc>
        <w:tc>
          <w:tcPr>
            <w:tcW w:w="1226"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Action Taken </w:t>
            </w:r>
            <w:r>
              <w:rPr>
                <w:rFonts w:ascii="Times New Roman" w:hAnsi="Times New Roman"/>
                <w:b/>
                <w:i/>
                <w:color w:val="000000"/>
                <w:sz w:val="20"/>
              </w:rPr>
              <w:t>(Date of Action)</w:t>
            </w:r>
          </w:p>
        </w:tc>
        <w:tc>
          <w:tcPr>
            <w:tcW w:w="1553"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Trading Arrangement</w:t>
            </w:r>
          </w:p>
        </w:tc>
        <w:tc>
          <w:tcPr>
            <w:tcW w:w="1568"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Nature of Trading Arrangement</w:t>
            </w:r>
            <w:r>
              <w:rPr>
                <w:rFonts w:ascii="Times New Roman" w:hAnsi="Times New Roman"/>
                <w:color w:val="000000"/>
                <w:sz w:val="20"/>
              </w:rPr>
              <w:t xml:space="preserve"> </w:t>
            </w:r>
          </w:p>
        </w:tc>
        <w:tc>
          <w:tcPr>
            <w:tcW w:w="2802"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Duration of Trading Arrangement</w:t>
            </w:r>
          </w:p>
        </w:tc>
        <w:tc>
          <w:tcPr>
            <w:tcW w:w="1706"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Aggregate Number of Securities</w:t>
            </w:r>
            <w:r>
              <w:rPr>
                <w:rFonts w:ascii="Times New Roman" w:hAnsi="Times New Roman"/>
                <w:color w:val="000000"/>
                <w:sz w:val="20"/>
              </w:rPr>
              <w:t xml:space="preserve"> </w:t>
            </w:r>
          </w:p>
        </w:tc>
      </w:tr>
      <w:tr>
        <w:trPr/>
        <w:tc>
          <w:tcPr>
            <w:tcW w:w="135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Evans (</w:t>
            </w:r>
            <w:r>
              <w:rPr>
                <w:rFonts w:ascii="Times New Roman" w:hAnsi="Times New Roman"/>
                <w:i/>
                <w:color w:val="000000"/>
                <w:sz w:val="20"/>
              </w:rPr>
              <w:t>Chief Executive Officer</w:t>
            </w:r>
            <w:r>
              <w:rPr>
                <w:rFonts w:ascii="Times New Roman" w:hAnsi="Times New Roman"/>
                <w:color w:val="000000"/>
                <w:sz w:val="20"/>
              </w:rPr>
              <w:t>)</w:t>
            </w:r>
          </w:p>
        </w:tc>
        <w:tc>
          <w:tcPr>
            <w:tcW w:w="1226"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Adoption</w:t>
            </w:r>
          </w:p>
          <w:p>
            <w:pPr>
              <w:pStyle w:val="TableContents"/>
              <w:bidi w:val="0"/>
              <w:spacing w:before="0" w:after="283"/>
              <w:jc w:val="left"/>
              <w:rPr>
                <w:rFonts w:ascii="Times New Roman" w:hAnsi="Times New Roman"/>
                <w:sz w:val="20"/>
              </w:rPr>
            </w:pPr>
            <w:r>
              <w:rPr>
                <w:rFonts w:ascii="Times New Roman" w:hAnsi="Times New Roman"/>
                <w:color w:val="000000"/>
                <w:sz w:val="20"/>
              </w:rPr>
              <w:t>(June 16</w:t>
            </w:r>
            <w:r>
              <w:rPr>
                <w:rFonts w:ascii="Times New Roman" w:hAnsi="Times New Roman"/>
                <w:i/>
                <w:color w:val="000000"/>
                <w:sz w:val="20"/>
              </w:rPr>
              <w:t>, 2026</w:t>
            </w:r>
            <w:r>
              <w:rPr>
                <w:rFonts w:ascii="Times New Roman" w:hAnsi="Times New Roman"/>
                <w:color w:val="000000"/>
                <w:sz w:val="20"/>
              </w:rPr>
              <w:t>)</w:t>
            </w:r>
          </w:p>
        </w:tc>
        <w:tc>
          <w:tcPr>
            <w:tcW w:w="15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56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w:t>
            </w:r>
          </w:p>
        </w:tc>
        <w:tc>
          <w:tcPr>
            <w:tcW w:w="28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Until June 30, 2027, or such earlier date upon which all transactions are completed or expire without execution.</w:t>
            </w:r>
          </w:p>
        </w:tc>
        <w:tc>
          <w:tcPr>
            <w:tcW w:w="1706"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20"/>
              </w:rPr>
              <w:t>Up to 200,000 shares</w:t>
            </w:r>
            <w:r>
              <w:rPr>
                <w:rFonts w:ascii="Times New Roman" w:hAnsi="Times New Roman"/>
                <w:color w:val="000000"/>
                <w:sz w:val="13"/>
              </w:rPr>
              <w:t>(1)</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Consists of shares issuable upon exercise of options to purchase the Company’s common stock pursuant to the Rule 10b5-1 trading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75"/>
        <w:gridCol w:w="290"/>
        <w:gridCol w:w="4961"/>
        <w:gridCol w:w="146"/>
        <w:gridCol w:w="511"/>
        <w:gridCol w:w="146"/>
        <w:gridCol w:w="765"/>
        <w:gridCol w:w="146"/>
        <w:gridCol w:w="654"/>
        <w:gridCol w:w="146"/>
        <w:gridCol w:w="691"/>
        <w:gridCol w:w="146"/>
        <w:gridCol w:w="828"/>
      </w:tblGrid>
      <w:tr>
        <w:trPr/>
        <w:tc>
          <w:tcPr>
            <w:tcW w:w="7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5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75"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Certificate of Incorporation of Beam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02/11/2020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of Beam Therapeutics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001-39208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02/28/2023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10_1.htm">
              <w:r>
                <w:rPr>
                  <w:rStyle w:val="InternetLink"/>
                  <w:rFonts w:ascii="Times New Roman" w:hAnsi="Times New Roman"/>
                  <w:color w:val="0000FF"/>
                  <w:sz w:val="20"/>
                  <w:u w:val="single"/>
                </w:rPr>
                <w:t>Second Amended and Restated Beam Therapeutics Inc. 2019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hyperlink w:anchor="bea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4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Indicates management contract or compensatory plan.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17" w:name="signatures"/>
      <w:bookmarkEnd w:id="1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14" w:type="dxa"/>
        <w:jc w:val="left"/>
        <w:tblInd w:w="0" w:type="dxa"/>
        <w:tblLayout w:type="fixed"/>
        <w:tblCellMar>
          <w:top w:w="28" w:type="dxa"/>
          <w:left w:w="28" w:type="dxa"/>
          <w:bottom w:w="28" w:type="dxa"/>
          <w:right w:w="28" w:type="dxa"/>
        </w:tblCellMar>
      </w:tblPr>
      <w:tblGrid>
        <w:gridCol w:w="1846"/>
        <w:gridCol w:w="146"/>
        <w:gridCol w:w="40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1846"/>
        <w:gridCol w:w="146"/>
        <w:gridCol w:w="406"/>
        <w:gridCol w:w="23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Sravan Emany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Sravan Emany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bookmarkStart w:id="18" w:name="beam-ex10_1.htm"/>
      <w:bookmarkStart w:id="19" w:name="ksbeamex10_1"/>
      <w:bookmarkEnd w:id="18"/>
      <w:bookmarkEnd w:id="19"/>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SECOND Beam Therapeutics Inc.</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AMENDED AND RESTATED 2019 Employee Stock Purchase Plan</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Defined Terms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A, which is incorporated by reference, defines the terms used in the Plan and sets forth certain operational rules related to those terms.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Purpose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is intended to enable Eligible Employees to use payroll deductions to purchase shares of Stock in offerings under the Plan, and thereby acquire an interest in the Company. The Plan is intended to qualify as an “employee stock purchase plan” under Section 423 and to be exempt from the application and requirements of Section 409A of the Code, and is to be construed accordingly.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Options to Purchase Stock</w:t>
      </w:r>
    </w:p>
    <w:p>
      <w:pPr>
        <w:pStyle w:val="TextBody"/>
        <w:bidi w:val="0"/>
        <w:spacing w:before="0" w:after="240"/>
        <w:jc w:val="left"/>
        <w:rPr>
          <w:rFonts w:ascii="Times New Roman" w:hAnsi="Times New Roman"/>
          <w:sz w:val="20"/>
        </w:rPr>
      </w:pPr>
      <w:r>
        <w:rPr>
          <w:rFonts w:ascii="Times New Roman" w:hAnsi="Times New Roman"/>
          <w:color w:val="000000"/>
          <w:sz w:val="24"/>
        </w:rPr>
        <w:t>Subject to adjustment pursuant to Section 16 of the Plan, the maximum aggregate number of shares of Stock available for purchase pursuant to the exercise of Options granted under the Plan will be 465,000 shares (the “</w:t>
      </w:r>
      <w:r>
        <w:rPr>
          <w:rFonts w:ascii="Times New Roman" w:hAnsi="Times New Roman"/>
          <w:b/>
          <w:color w:val="000000"/>
          <w:sz w:val="24"/>
        </w:rPr>
        <w:t>Initial Share Pool</w:t>
      </w:r>
      <w:r>
        <w:rPr>
          <w:rFonts w:ascii="Times New Roman" w:hAnsi="Times New Roman"/>
          <w:color w:val="000000"/>
          <w:sz w:val="20"/>
        </w:rPr>
        <w:t>”</w:t>
      </w:r>
      <w:r>
        <w:rPr>
          <w:rFonts w:ascii="Times New Roman" w:hAnsi="Times New Roman"/>
          <w:color w:val="000000"/>
          <w:sz w:val="24"/>
        </w:rPr>
        <w:t>). The Initial Share Pool will automatically increase on January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of each year from 2020 to 2029 by the lesser of (i) one percent of the number of shares of Stock outstanding as of the close of business on the immediately preceding December 31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and (ii) the number of shares of Stock determined by the Board on or prior to such date for such year up to a maximum of 5,083,204 shares in the aggregate (the Initial Share Pool, as it may be so increased, the “</w:t>
      </w:r>
      <w:r>
        <w:rPr>
          <w:rFonts w:ascii="Times New Roman" w:hAnsi="Times New Roman"/>
          <w:b/>
          <w:color w:val="000000"/>
          <w:sz w:val="24"/>
        </w:rPr>
        <w:t>Share Pool</w:t>
      </w:r>
      <w:r>
        <w:rPr>
          <w:rFonts w:ascii="Times New Roman" w:hAnsi="Times New Roman"/>
          <w:color w:val="000000"/>
          <w:sz w:val="20"/>
        </w:rPr>
        <w:t>”</w:t>
      </w:r>
      <w:r>
        <w:rPr>
          <w:rFonts w:ascii="Times New Roman" w:hAnsi="Times New Roman"/>
          <w:color w:val="000000"/>
          <w:sz w:val="24"/>
        </w:rPr>
        <w:t>). The shares of Stock to be delivered upon exercise of Options under the Plan may be either shares of authorized but unissued Stock, treasury Stock, or previously issued Stock acquired by the Company. If any Option granted under the Plan expires or terminates for any reason without having been exercised in full or ceases for any reason to be exercisable in whole or in part, the unpurchased shares of Stock subject to such Option will not reduce the Share Pool and will again be available for purchase under the Plan. If, on an Exercise Date, the total number of shares of Stock that would otherwise be subject to Options granted under the Plan exceeds the number of shares then available in the Share Pool, the Administrator shall make a pro rata allocation of the shares remaining available for purchase under the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Eligibility</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 xml:space="preserve">Eligibility Requirements. </w:t>
      </w:r>
      <w:r>
        <w:rPr>
          <w:rFonts w:ascii="Times New Roman" w:hAnsi="Times New Roman"/>
          <w:color w:val="000000"/>
          <w:sz w:val="24"/>
        </w:rPr>
        <w:t xml:space="preserve">Subject to Section 13of the Plan, and the exceptions and limitations set forth in Section 4(b), Section 4(c), and Section 6of the Plan, or as may be provided elsewhere in the Plan, each Employee (i) who has been continuously employed by the Company or a Designated Subsidiary, as applicable, for a period of at least seven (7) calendar days as of the last day of the enrollment window for an Option Period, (ii) whose customary Employment with the Company or a Designated Subsidiary, as applicable, is for more than five (5) months per calendar year, (iii) who customarily works twenty (20) hours or more per week, and (iv) who satisfies the requirements set forth in the Plan will be an Eligible Employee.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 xml:space="preserve">Five Percent Shareholders. </w:t>
      </w:r>
      <w:r>
        <w:rPr>
          <w:rFonts w:ascii="Times New Roman" w:hAnsi="Times New Roman"/>
          <w:color w:val="000000"/>
          <w:sz w:val="24"/>
        </w:rPr>
        <w:t xml:space="preserve">No Employee may be granted an Option under the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left"/>
        <w:rPr/>
      </w:pPr>
      <w:r>
        <w:rPr>
          <w:rFonts w:ascii="Times New Roman" w:hAnsi="Times New Roman"/>
          <w:i/>
          <w:color w:val="000000"/>
          <w:sz w:val="24"/>
        </w:rPr>
        <w:t xml:space="preserve">Additional Requirements. </w:t>
      </w:r>
      <w:r>
        <w:rPr>
          <w:rFonts w:ascii="Times New Roman" w:hAnsi="Times New Roman"/>
          <w:color w:val="000000"/>
          <w:sz w:val="24"/>
        </w:rPr>
        <w:t>The Administrator may, for Option Periods that have not yet commenced, establish additional or other eligibility requirements, or amend the eligibility requirements set forth in subsection (a) above, in each case, consistent with the requirements of Section 423.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Option Periods </w:t>
      </w:r>
    </w:p>
    <w:p>
      <w:pPr>
        <w:pStyle w:val="TextBody"/>
        <w:bidi w:val="0"/>
        <w:spacing w:before="0" w:after="240"/>
        <w:jc w:val="left"/>
        <w:rPr>
          <w:rFonts w:ascii="Times New Roman" w:hAnsi="Times New Roman"/>
          <w:sz w:val="20"/>
        </w:rPr>
      </w:pPr>
      <w:r>
        <w:rPr>
          <w:rFonts w:ascii="Times New Roman" w:hAnsi="Times New Roman"/>
          <w:color w:val="000000"/>
          <w:sz w:val="24"/>
        </w:rPr>
        <w:t>The Plan will generally be implemented by a series of separate offerings referred to as “</w:t>
      </w:r>
      <w:r>
        <w:rPr>
          <w:rFonts w:ascii="Times New Roman" w:hAnsi="Times New Roman"/>
          <w:b/>
          <w:color w:val="000000"/>
          <w:sz w:val="24"/>
        </w:rPr>
        <w:t>Option Periods</w:t>
      </w:r>
      <w:r>
        <w:rPr>
          <w:rFonts w:ascii="Times New Roman" w:hAnsi="Times New Roman"/>
          <w:color w:val="000000"/>
          <w:sz w:val="20"/>
        </w:rPr>
        <w:t>”</w:t>
      </w:r>
      <w:r>
        <w:rPr>
          <w:rFonts w:ascii="Times New Roman" w:hAnsi="Times New Roman"/>
          <w:color w:val="000000"/>
          <w:sz w:val="24"/>
        </w:rPr>
        <w:t>. Unless otherwise determined by the Administrator, the Option Periods will be successive periods of approximately six (6) months commencing on the first Business Day in January and July of each year, anticipated to be on or around January 1 and July 1, and ending approximately six months later on the last Business Day in June or December, as applicable, of each year, anticipated to be on or around June 30 and January 31. The last Business Day of each Option Period will be an “</w:t>
      </w:r>
      <w:r>
        <w:rPr>
          <w:rFonts w:ascii="Times New Roman" w:hAnsi="Times New Roman"/>
          <w:b/>
          <w:color w:val="000000"/>
          <w:sz w:val="24"/>
        </w:rPr>
        <w:t>Exercise Date</w:t>
      </w:r>
      <w:r>
        <w:rPr>
          <w:rFonts w:ascii="Times New Roman" w:hAnsi="Times New Roman"/>
          <w:color w:val="000000"/>
          <w:sz w:val="20"/>
        </w:rPr>
        <w:t>”</w:t>
      </w:r>
      <w:r>
        <w:rPr>
          <w:rFonts w:ascii="Times New Roman" w:hAnsi="Times New Roman"/>
          <w:color w:val="000000"/>
          <w:sz w:val="24"/>
        </w:rPr>
        <w:t xml:space="preserve">. The Administrator may change the Exercise Date, the commencement date, the ending date and the duration of each Option Period, in each case, to the extent permitted by Section 423; </w:t>
      </w:r>
      <w:r>
        <w:rPr>
          <w:rFonts w:ascii="Times New Roman" w:hAnsi="Times New Roman"/>
          <w:i/>
          <w:color w:val="000000"/>
          <w:sz w:val="24"/>
        </w:rPr>
        <w:t xml:space="preserve">provided, however, </w:t>
      </w:r>
      <w:r>
        <w:rPr>
          <w:rFonts w:ascii="Times New Roman" w:hAnsi="Times New Roman"/>
          <w:color w:val="000000"/>
          <w:sz w:val="24"/>
        </w:rPr>
        <w:t>that no Option may be exercised after 27 months from its grant date.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Option Grant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limitations set forth in Sections 4 and 10 of the Plan and the Maximum Share Limit, on the first day of an Option Period, each Participant automatically will be granted an Option to purchase shares of Stock on the Exercise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Method of Participation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Payroll Deduction and Participation Authorization</w:t>
      </w:r>
      <w:r>
        <w:rPr>
          <w:rFonts w:ascii="Times New Roman" w:hAnsi="Times New Roman"/>
          <w:color w:val="000000"/>
          <w:sz w:val="24"/>
        </w:rPr>
        <w:t xml:space="preserve">. To participate in an Option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not later than fourteen (14) calendar days prior to the first day of an Option Period, or such other time as specified by the Administrator.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Changes to Payroll Deduction Authorization for Subsequent Option Periods</w:t>
      </w:r>
      <w:r>
        <w:rPr>
          <w:rFonts w:ascii="Times New Roman" w:hAnsi="Times New Roman"/>
          <w:color w:val="000000"/>
          <w:sz w:val="24"/>
        </w:rPr>
        <w:t xml:space="preserve">. A Participant’s payroll deduction authorization will remain in effect for subsequent Option Periods unless the Participant files a new authorization not later than fourteen (14) calendar days prior to the first day of the subsequent Option Period (or such other time as specified by the Administrator) or the Participant’s Option is cancelled pursuant to Section 13 or Section 14 of the Plan.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left"/>
        <w:rPr/>
      </w:pPr>
      <w:r>
        <w:rPr>
          <w:rFonts w:ascii="Times New Roman" w:hAnsi="Times New Roman"/>
          <w:i/>
          <w:color w:val="000000"/>
          <w:sz w:val="24"/>
        </w:rPr>
        <w:t xml:space="preserve">Changes to Payroll Deduction Authorization for Current Option Period. </w:t>
      </w:r>
      <w:r>
        <w:rPr>
          <w:rFonts w:ascii="Times New Roman" w:hAnsi="Times New Roman"/>
          <w:color w:val="000000"/>
          <w:sz w:val="24"/>
        </w:rPr>
        <w:t xml:space="preserve">During an Option Period, a Participant’s payroll deduction authorization (i) may not be increased, but (ii) may be decreased on the terms and subject to the conditions established by the Administrator. A Participant may terminate his or her payroll deduction authorization at any time during an Option Period by canceling his or her Option in accordance with Section 13 of the Plan.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d.</w:t>
      </w:r>
    </w:p>
    <w:p>
      <w:pPr>
        <w:pStyle w:val="TextBody"/>
        <w:bidi w:val="0"/>
        <w:spacing w:before="0" w:after="240"/>
        <w:jc w:val="left"/>
        <w:rPr/>
      </w:pPr>
      <w:r>
        <w:rPr>
          <w:rFonts w:ascii="Times New Roman" w:hAnsi="Times New Roman"/>
          <w:i/>
          <w:color w:val="000000"/>
          <w:sz w:val="24"/>
        </w:rPr>
        <w:t xml:space="preserve">Payroll Deduction Percentage. </w:t>
      </w:r>
      <w:r>
        <w:rPr>
          <w:rFonts w:ascii="Times New Roman" w:hAnsi="Times New Roman"/>
          <w:color w:val="000000"/>
          <w:sz w:val="24"/>
        </w:rPr>
        <w:t xml:space="preserve">Each payroll deduction authorization will authorize payroll deductions as a whole percentage from 1% up to 20% of the employee’s Eligible Compensation per payroll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4"/>
        </w:rPr>
        <w:t>period, with the high end of the permitted payroll deduction percentage subject to reduction by the Administrator on or prior to the beginning of an Option Period.</w:t>
      </w:r>
      <w:r>
        <w:rPr>
          <w:color w:val="000000"/>
        </w:rPr>
        <w:t xml:space="preserve">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e.</w:t>
      </w:r>
    </w:p>
    <w:p>
      <w:pPr>
        <w:pStyle w:val="TextBody"/>
        <w:bidi w:val="0"/>
        <w:spacing w:before="0" w:after="240"/>
        <w:jc w:val="left"/>
        <w:rPr/>
      </w:pPr>
      <w:r>
        <w:rPr>
          <w:rFonts w:ascii="Times New Roman" w:hAnsi="Times New Roman"/>
          <w:i/>
          <w:color w:val="000000"/>
          <w:sz w:val="24"/>
        </w:rPr>
        <w:t xml:space="preserve">Payroll Deduction Account. </w:t>
      </w:r>
      <w:r>
        <w:rPr>
          <w:rFonts w:ascii="Times New Roman" w:hAnsi="Times New Roman"/>
          <w:color w:val="000000"/>
          <w:sz w:val="24"/>
        </w:rPr>
        <w:t>All payroll deductions made pursuant to this Section 7 will be credited to the Participant’s Account. Amounts credited to a Participant’s Account will not be required to be set aside in trust or otherwise segregated from the Company’s general assets.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Method of Payment</w:t>
      </w:r>
    </w:p>
    <w:p>
      <w:pPr>
        <w:pStyle w:val="TextBody"/>
        <w:bidi w:val="0"/>
        <w:spacing w:before="0" w:after="240"/>
        <w:jc w:val="left"/>
        <w:rPr>
          <w:rFonts w:ascii="Times New Roman" w:hAnsi="Times New Roman"/>
          <w:sz w:val="20"/>
        </w:rPr>
      </w:pPr>
      <w:r>
        <w:rPr>
          <w:rFonts w:ascii="Times New Roman" w:hAnsi="Times New Roman"/>
          <w:color w:val="000000"/>
          <w:sz w:val="24"/>
        </w:rPr>
        <w:t>A Participant must pay for shares of Stock purchased under the Plan with accumulated payroll deductions credited to the Participant’s Account.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Purchase Price</w:t>
      </w:r>
    </w:p>
    <w:p>
      <w:pPr>
        <w:pStyle w:val="TextBody"/>
        <w:bidi w:val="0"/>
        <w:spacing w:before="0" w:after="240"/>
        <w:jc w:val="left"/>
        <w:rPr>
          <w:rFonts w:ascii="Times New Roman" w:hAnsi="Times New Roman"/>
          <w:sz w:val="20"/>
        </w:rPr>
      </w:pPr>
      <w:r>
        <w:rPr>
          <w:rFonts w:ascii="Times New Roman" w:hAnsi="Times New Roman"/>
          <w:color w:val="000000"/>
          <w:sz w:val="24"/>
        </w:rPr>
        <w:t>The Purchase Price of shares of Stock issued pursuant to the exercise of an Option on each Exercise Date will be eighty-five percent (85%) (or such greater percentage specified by the Administrator to the extent permitted under Section 423) of the lesser of (a) the Fair Market Value of a share of Stock on the date on which the Option was granted pursuant to Section 6 of the Plan (</w:t>
      </w:r>
      <w:r>
        <w:rPr>
          <w:rFonts w:ascii="Times New Roman" w:hAnsi="Times New Roman"/>
          <w:i/>
          <w:color w:val="000000"/>
          <w:sz w:val="24"/>
        </w:rPr>
        <w:t>i.e.</w:t>
      </w:r>
      <w:r>
        <w:rPr>
          <w:rFonts w:ascii="Times New Roman" w:hAnsi="Times New Roman"/>
          <w:color w:val="000000"/>
          <w:sz w:val="24"/>
        </w:rPr>
        <w:t>, the first day of the Option Period) and (b) the Fair Market Value of a share of Stock on the date on which the Option is deemed exercised pursuant to Section 10 of the Plan (</w:t>
      </w:r>
      <w:r>
        <w:rPr>
          <w:rFonts w:ascii="Times New Roman" w:hAnsi="Times New Roman"/>
          <w:i/>
          <w:color w:val="000000"/>
          <w:sz w:val="24"/>
        </w:rPr>
        <w:t>i.e.</w:t>
      </w:r>
      <w:r>
        <w:rPr>
          <w:rFonts w:ascii="Times New Roman" w:hAnsi="Times New Roman"/>
          <w:color w:val="000000"/>
          <w:sz w:val="24"/>
        </w:rPr>
        <w:t>, the Exercise Date).</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Exercise of Options</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 xml:space="preserve">Purchase of Shares. </w:t>
      </w:r>
      <w:r>
        <w:rPr>
          <w:rFonts w:ascii="Times New Roman" w:hAnsi="Times New Roman"/>
          <w:color w:val="000000"/>
          <w:sz w:val="24"/>
        </w:rPr>
        <w:t xml:space="preserve">Subject to the limitations set forth in Section 6 of the Plan and this Section 10, with respect to each Option Period, on the applicable Exercise Date, each Participant will be deemed to have exercised his or her Option and the accumulated payroll deductions in the Participant’s Account will be applied to purchase the greatest number of shares of Stock (rounded down to the nearest whole share) that can be purchased with such Account balance at the applicable Purchase Price; </w:t>
      </w:r>
      <w:r>
        <w:rPr>
          <w:rFonts w:ascii="Times New Roman" w:hAnsi="Times New Roman"/>
          <w:i/>
          <w:color w:val="000000"/>
          <w:sz w:val="24"/>
        </w:rPr>
        <w:t xml:space="preserve">provided, however, </w:t>
      </w:r>
      <w:r>
        <w:rPr>
          <w:rFonts w:ascii="Times New Roman" w:hAnsi="Times New Roman"/>
          <w:color w:val="000000"/>
          <w:sz w:val="24"/>
        </w:rPr>
        <w:t>that no more than 5,000 shares of Stock may be purchased by a Participant on any Exercise Date, or such lesser number as the Administrator may prescribe in accordance with Section 423 (the “</w:t>
      </w:r>
      <w:r>
        <w:rPr>
          <w:rFonts w:ascii="Times New Roman" w:hAnsi="Times New Roman"/>
          <w:b/>
          <w:color w:val="000000"/>
          <w:sz w:val="24"/>
        </w:rPr>
        <w:t>Maximum Share Limit</w:t>
      </w:r>
      <w:r>
        <w:rPr>
          <w:color w:val="000000"/>
        </w:rPr>
        <w:t>”</w:t>
      </w:r>
      <w:r>
        <w:rPr>
          <w:rFonts w:ascii="Times New Roman" w:hAnsi="Times New Roman"/>
          <w:color w:val="000000"/>
          <w:sz w:val="24"/>
        </w:rPr>
        <w:t>). As soon as practicable thereafter, shares of Stock so purchased will be placed, in book-entry form, into a record keeping account in the name of the Participant. No fractional shares will be purchased pursuant to the exercise of an Option under the Plan; any accumulated payroll deductions in a Participant’s Account that are not sufficient to purchase a whole share will be retained in the Participant’s Account for the subsequent Option Period, subject to earlier withdrawal by the Participant as provided in Section 13 hereof.</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 xml:space="preserve">Return of Account Balance. </w:t>
      </w:r>
      <w:r>
        <w:rPr>
          <w:rFonts w:ascii="Times New Roman" w:hAnsi="Times New Roman"/>
          <w:color w:val="000000"/>
          <w:sz w:val="24"/>
        </w:rPr>
        <w:t>Except as provided in Section 10(a) above with respect to fractional shares, any accumulated amount of payroll deductions in a Participant’s Account for an Option Period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Option Period would otherwise enable the Participant to purchase shares of Stock in excess of the Maximum Share Limit or the maximum Fair Market Value set forth in Section 6 of the Plan, the excess of the amount of the accumulated payroll deductions over the aggregate Purchase Price of the shares of Stock actually purchased will be returned to the Participant, without interest, as soon as administratively practicable after such Exercise Date.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Interest</w:t>
      </w:r>
    </w:p>
    <w:p>
      <w:pPr>
        <w:pStyle w:val="TextBody"/>
        <w:bidi w:val="0"/>
        <w:spacing w:before="0" w:after="240"/>
        <w:jc w:val="left"/>
        <w:rPr>
          <w:rFonts w:ascii="Times New Roman" w:hAnsi="Times New Roman"/>
          <w:sz w:val="20"/>
        </w:rPr>
      </w:pPr>
      <w:r>
        <w:rPr>
          <w:rFonts w:ascii="Times New Roman" w:hAnsi="Times New Roman"/>
          <w:color w:val="000000"/>
          <w:sz w:val="24"/>
        </w:rPr>
        <w:t>No interest will accrue or be payable on any amount held in the Account of any Participant.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Taxes</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Payroll deductions will be made on an after-tax basis. 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the Plan. In the Administrator’s discretion and subject to applicable law, such tax obligations may be satisfied in whole or in part by delivery of shares of Stock to the Company, including shares of Stock purchased under the Plan, valued at Fair Market Value, but not in excess of the maximum withholding amount consistent with the award being subject to equity accounting treatment under the Accounting Rules.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Cancellation and Withdrawal</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 xml:space="preserve">Cancellation of Payroll Deduction Authorization and Withdrawal from Plan. </w:t>
      </w:r>
      <w:r>
        <w:rPr>
          <w:rFonts w:ascii="Times New Roman" w:hAnsi="Times New Roman"/>
          <w:color w:val="000000"/>
          <w:sz w:val="24"/>
        </w:rPr>
        <w:t>A Participant who has been granted an Option under the Plan may cancel all (but not less than all) of such Option and terminate his or her participation in the Plan by notice to the Administrator in accordance with the procedures prescribed by, and in a form acceptable to, the Administrator. To be effective with respect to an upcoming Exercise Date, such cancellation notice must be delivered not later than fourteen (14) calendar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a future Option Period to 0% pursuant to Section 7of the Plan will be deemed to have terminated his or her payroll deduction authorization and canceled his or her participation in the Plan as to such Option Period and all future Option Periods, unless the Participant delivers a new payroll deduction authorization for a subsequent Option Period in accordance with the rules of Section 7(b)of the Plan.</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 xml:space="preserve">401(k) Hardship Withdrawal. </w:t>
      </w:r>
      <w:r>
        <w:rPr>
          <w:rFonts w:ascii="Times New Roman" w:hAnsi="Times New Roman"/>
          <w:color w:val="000000"/>
          <w:sz w:val="24"/>
        </w:rPr>
        <w:t>To the extent a suspension of contribution is required by a 401(k) Plan maintained by the Company or a Subsidiary, a Participant who makes a hardship withdrawal from such 401(k) Plan shall be deemed to have terminated his or her payroll deduction authorization as of the date of such hardship withdrawal, shall cease to be a Participant as of such date, shall be deemed to have canceled any outstanding Options, and shall not be permitted to participate in the Plan until the first Option Period commencing after the suspension of contributions ceases to apply to the Participant.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Termination of Employment; Death of Participant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termination of a Participant’s employment with the Company or a Designated Subsidiary, as applicable, for any reason (including the death of a Participant during an Option Period prior to an Exercise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Equal Rights; Participant’s Rights Not Transferable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granted to the Participant under the Plan may be terminated by the Company and, upon the return to the Participant of the balance of his or her Account, without interest, all of the Participant’s rights under the Plan will terminate.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Change in Capitalization; Corporate Transaction</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Change in Capitalization</w:t>
      </w:r>
      <w:r>
        <w:rPr>
          <w:rFonts w:ascii="Times New Roman" w:hAnsi="Times New Roman"/>
          <w:color w:val="000000"/>
          <w:sz w:val="24"/>
        </w:rPr>
        <w:t>. In the event of a stock dividend, stock split or combination of shares (including a reverse stock split), recapitalization or other change in the Company’s capital structure that constitutes an equity restructuring within the meaning of the Accounting Rules, the Administrator shall make appropriate adjustments to the aggregate number and type of shares of stock available under the Plan, the number and type of shares of stock granted under any outstanding Options, the maximum number and type of shares of stock purchasable under any outstanding Option, and/or the Purchase Price under any outstanding Option, in any case, in a manner that complies with Section 423.</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 xml:space="preserve">Corporate Transaction. </w:t>
      </w:r>
      <w:r>
        <w:rPr>
          <w:rFonts w:ascii="Times New Roman" w:hAnsi="Times New Roman"/>
          <w:color w:val="000000"/>
          <w:sz w:val="24"/>
        </w:rPr>
        <w:t>In the event of a sale of all or substantially all of the Stock or a sale of all or substantially all of the assets of the 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Section 18of the Plan, terminate the Option Period on or before the date of the proposed sale, merger or similar transaction.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Administration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Plan will be administered by the Administrator. The Administrator has discretionaryauthority, subject only to the express provisions of the Plan, to administer and interpret the Plan; to determine eligibility under the Plan; to prescribe forms, rules and procedures relating to the Plan; and to otherwise do all things necessary or desirable to carry out the purposes of the Plan. Determinations of the Administrator made with respect to the Plan are conclusive and bind all persons.</w:t>
      </w:r>
    </w:p>
    <w:p>
      <w:pPr>
        <w:pStyle w:val="TextBody"/>
        <w:bidi w:val="0"/>
        <w:spacing w:before="0" w:after="240"/>
        <w:jc w:val="left"/>
        <w:rPr>
          <w:rFonts w:ascii="Times New Roman" w:hAnsi="Times New Roman"/>
          <w:sz w:val="20"/>
        </w:rPr>
      </w:pPr>
      <w:r>
        <w:rPr>
          <w:rFonts w:ascii="Times New Roman" w:hAnsi="Times New Roman"/>
          <w:color w:val="000000"/>
          <w:sz w:val="24"/>
        </w:rPr>
        <w:t>The Administrator may specify the manner in which the Company and/or Employees are to provide notices and forms under the Plan, and may require that such notices and forms be submitted electronically.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Amendment and Termination of Plan</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 xml:space="preserve">Amendment. </w:t>
      </w:r>
      <w:r>
        <w:rPr>
          <w:rFonts w:ascii="Times New Roman" w:hAnsi="Times New Roman"/>
          <w:color w:val="000000"/>
          <w:sz w:val="24"/>
        </w:rPr>
        <w:t xml:space="preserve">The Administrator reserves the right at any time or times to amend the Plan to any extent and in any manner it may deem advisable;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any amendment that would be treated as the adoption of a new plan for purposes of Section 423 will have no force or effect unless approved by the shareholders of the Company within 12 months before or after its adoption.</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Termination.</w:t>
      </w:r>
      <w:r>
        <w:rPr>
          <w:color w:val="000000"/>
        </w:rPr>
        <w:t xml:space="preserve"> </w:t>
      </w:r>
      <w:r>
        <w:rPr>
          <w:rFonts w:ascii="Times New Roman" w:hAnsi="Times New Roman"/>
          <w:color w:val="000000"/>
          <w:sz w:val="24"/>
        </w:rPr>
        <w:t>The Administrator reserves the right at any time or times to suspend or terminate the Plan. In connection therewith, the Administrator may provide, in its sole discretion, either that outstanding Options will be exercisable either on the Exercise Date for the applicable Option Period or on such earlier date as the Board may specify (in which case such earlier date will be treated as the Exercise Date for the applicable Option Period), or that the balance of each Participant’s Account will be returned to the Participant, without interest.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Approvals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Shareholder approval of the Plan will be obtained prior to the date that is twelve (12) months after the date of Board approval. In the event that the Plan has not been approved by the shareholders of the Company prior to September 25, 2020, all Options to purchase shares of Stock under the Plan will be cancelled and become null and void.</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Participants’ Rights as Shareholders and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Restrictions on Transfer; Information Regarding Disqualifying Dispositions.</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Restrictions on Transfer</w:t>
      </w:r>
      <w:r>
        <w:rPr>
          <w:rFonts w:ascii="Times New Roman" w:hAnsi="Times New Roman"/>
          <w:color w:val="000000"/>
          <w:sz w:val="24"/>
        </w:rPr>
        <w:t>. Shares of Stock purchased under the Plan may, in the discretion of the Administrator, be subject to a restriction prohibiting the transfer, sale, pledge or alienation or such shares of Stock by a Participant, other than by will or by the laws of descent and distribution, for such period following such purchase as may be determined by the Administrator.</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Disqualifying Dispositions</w:t>
      </w:r>
      <w:r>
        <w:rPr>
          <w:rFonts w:ascii="Times New Roman" w:hAnsi="Times New Roman"/>
          <w:color w:val="000000"/>
          <w:sz w:val="24"/>
        </w:rPr>
        <w:t>. By electing to participate in the Plan, each Participant agrees to provide such information about any transfer of Stock acquired under the Plan that occurs within two years after the first day of the Option Period in which such Stock was acquired and within one year after the day such Stock was purchased as may be requested by the Company or any Designated Subsidiary in order to assist it in complying with applicable tax laws.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Waiver of Jury Trial</w:t>
      </w:r>
      <w:r>
        <w:rPr>
          <w:rFonts w:ascii="Times New Roman" w:hAnsi="Times New Roman"/>
          <w:color w:val="000000"/>
          <w:sz w:val="24"/>
        </w:rPr>
        <w:t xml:space="preserve">. By electing to participate in the Plan, each Participant waives (or will be deemed to have waived), to the maximum extent permitted under applicable law, any right to a trial by jury in any action, proceeding or counterclaim concerning any rights under the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in respect of any Option to binding arbitration or as limiting the ability of the Company to require any individual to agree to submit such disputes to binding arbitration as a condition of receiving an Option hereunder.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Limitation of Liability</w:t>
      </w:r>
      <w:r>
        <w:rPr>
          <w:rFonts w:ascii="Times New Roman" w:hAnsi="Times New Roman"/>
          <w:color w:val="000000"/>
          <w:sz w:val="24"/>
        </w:rPr>
        <w:t xml:space="preserve">. Notwithstanding anything to the contrary in the Plan, neither the Company, nor 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the Plan or any Option to satisfy the Requirements of Section 423, or otherwise asserted with respect to the Plan or any Option.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left"/>
        <w:rPr/>
      </w:pPr>
      <w:r>
        <w:rPr>
          <w:rFonts w:ascii="Times New Roman" w:hAnsi="Times New Roman"/>
          <w:i/>
          <w:color w:val="000000"/>
          <w:sz w:val="24"/>
        </w:rPr>
        <w:t>Unfunded Plan</w:t>
      </w:r>
      <w:r>
        <w:rPr>
          <w:rFonts w:ascii="Times New Roman" w:hAnsi="Times New Roman"/>
          <w:color w:val="000000"/>
          <w:sz w:val="24"/>
        </w:rPr>
        <w:t>.</w:t>
      </w:r>
      <w:r>
        <w:rPr>
          <w:color w:val="000000"/>
        </w:rPr>
        <w:t xml:space="preserve"> </w:t>
      </w:r>
      <w:r>
        <w:rPr>
          <w:rFonts w:ascii="Times New Roman" w:hAnsi="Times New Roman"/>
          <w:color w:val="000000"/>
          <w:sz w:val="24"/>
        </w:rPr>
        <w:t>The Company’s obligations under the Plan are unfunded, and no Participant will have any right to specific assets of the Company in respect of any Option. Participants will be general unsecured creditors of the Company with respect to any amounts due or payable under the Plan.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Establishment of Sub-Plans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or any provision of the Plan to the contrary, consistent with the requirements of Section 423, the Administrator may, in its sole discretion, amend the terms of the Plan, or an offering and/or provide for separate offerings under the Plan in order to, among other things, reflect the impact of local law outside of the United States as applied to one or more Eligible Employees of a Designated Subsidiary and may, where appropriate, establish one or more sub-plans to reflect such amended provisions.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Governing Law</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a.</w:t>
      </w:r>
    </w:p>
    <w:p>
      <w:pPr>
        <w:pStyle w:val="TextBody"/>
        <w:bidi w:val="0"/>
        <w:spacing w:before="0" w:after="240"/>
        <w:jc w:val="left"/>
        <w:rPr/>
      </w:pPr>
      <w:r>
        <w:rPr>
          <w:rFonts w:ascii="Times New Roman" w:hAnsi="Times New Roman"/>
          <w:i/>
          <w:color w:val="000000"/>
          <w:sz w:val="24"/>
        </w:rPr>
        <w:t>Certain Requirements of Corporate Law</w:t>
      </w:r>
      <w:r>
        <w:rPr>
          <w:rFonts w:ascii="Times New Roman" w:hAnsi="Times New Roman"/>
          <w:color w:val="000000"/>
          <w:sz w:val="24"/>
        </w:rPr>
        <w:t>. Options and shares of Stock will be granted, issued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b.</w:t>
      </w:r>
    </w:p>
    <w:p>
      <w:pPr>
        <w:pStyle w:val="TextBody"/>
        <w:bidi w:val="0"/>
        <w:spacing w:before="0" w:after="240"/>
        <w:jc w:val="left"/>
        <w:rPr/>
      </w:pPr>
      <w:r>
        <w:rPr>
          <w:rFonts w:ascii="Times New Roman" w:hAnsi="Times New Roman"/>
          <w:i/>
          <w:color w:val="000000"/>
          <w:sz w:val="24"/>
        </w:rPr>
        <w:t>Other Matters</w:t>
      </w:r>
      <w:r>
        <w:rPr>
          <w:rFonts w:ascii="Times New Roman" w:hAnsi="Times New Roman"/>
          <w:color w:val="000000"/>
          <w:sz w:val="24"/>
        </w:rPr>
        <w:t>. Except as otherwise provided by the express terms of a sub-plan described in Section 23 or as provided in Section 24(a), the domestic substantive laws of the Commonwealth of Massachusetts govern the provisions of the Plan and of Options under the Plan and all claims or disputes arising out of or based upon the Plan or any Option or relating to the subject matter hereof or thereof without giving effect to any choice or conflict of laws provision or rule that would cause the application of the domestic substantive laws of any other jurisdiction.</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c.</w:t>
      </w:r>
    </w:p>
    <w:p>
      <w:pPr>
        <w:pStyle w:val="TextBody"/>
        <w:bidi w:val="0"/>
        <w:spacing w:before="0" w:after="240"/>
        <w:jc w:val="left"/>
        <w:rPr/>
      </w:pPr>
      <w:r>
        <w:rPr>
          <w:rFonts w:ascii="Times New Roman" w:hAnsi="Times New Roman"/>
          <w:i/>
          <w:color w:val="000000"/>
          <w:sz w:val="24"/>
        </w:rPr>
        <w:t>Jurisdiction</w:t>
      </w:r>
      <w:r>
        <w:rPr>
          <w:rFonts w:ascii="Times New Roman" w:hAnsi="Times New Roman"/>
          <w:color w:val="000000"/>
          <w:sz w:val="24"/>
        </w:rPr>
        <w:t>.</w:t>
      </w:r>
      <w:r>
        <w:rPr>
          <w:color w:val="000000"/>
        </w:rPr>
        <w:t xml:space="preserve"> </w:t>
      </w:r>
      <w:r>
        <w:rPr>
          <w:rFonts w:ascii="Times New Roman" w:hAnsi="Times New Roman"/>
          <w:color w:val="000000"/>
          <w:sz w:val="24"/>
        </w:rPr>
        <w:t>By electing to participant in the Plan, each Participant agrees or will be deemed to have agreed to (i) 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Option; (ii) not commence any suit, action or other proceeding arising out of or based upon the Plan or any Option,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Option or the subject matter thereof may not be enforced in or by such court.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Effective Date and Term</w:t>
      </w:r>
    </w:p>
    <w:p>
      <w:pPr>
        <w:pStyle w:val="TextBody"/>
        <w:bidi w:val="0"/>
        <w:spacing w:before="0" w:after="240"/>
        <w:jc w:val="left"/>
        <w:rPr>
          <w:rFonts w:ascii="Times New Roman" w:hAnsi="Times New Roman"/>
          <w:sz w:val="20"/>
        </w:rPr>
      </w:pPr>
      <w:r>
        <w:rPr>
          <w:rFonts w:ascii="Times New Roman" w:hAnsi="Times New Roman"/>
          <w:color w:val="000000"/>
          <w:sz w:val="24"/>
        </w:rPr>
        <w:t>The Plan will become effective upon adoption of the Plan by the Board and no rights will be granted hereunder after the earliest to occur of (a) the Plan’s termination by the Company, (b) the issuance of all shares of Stock available for issuance under the Plan or (c) the day before the 10-year anniversary of the date the Board approves the Plan.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Definition of Terms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The following terms, when used in the Plan, will have the meanings and be subject to the provisions set forth below:</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401(k) Plan”:</w:t>
      </w:r>
      <w:r>
        <w:rPr>
          <w:rFonts w:ascii="Times New Roman" w:hAnsi="Times New Roman"/>
          <w:color w:val="000000"/>
          <w:sz w:val="20"/>
        </w:rPr>
        <w:t xml:space="preserve"> </w:t>
      </w:r>
      <w:r>
        <w:rPr>
          <w:rFonts w:ascii="Times New Roman" w:hAnsi="Times New Roman"/>
          <w:color w:val="000000"/>
          <w:sz w:val="24"/>
        </w:rPr>
        <w:t>A savings plan qualifying under Section 401(k) of the Code that is sponsored by the Company or one of its Subsidiaries for the benefit of its employees.</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Account”: </w:t>
      </w:r>
      <w:r>
        <w:rPr>
          <w:rFonts w:ascii="Times New Roman" w:hAnsi="Times New Roman"/>
          <w:color w:val="000000"/>
          <w:sz w:val="24"/>
        </w:rPr>
        <w:t>A notional payroll deduction account maintained in the Participant’s name on the books of the Company.</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Accounting Rules”:</w:t>
      </w:r>
      <w:r>
        <w:rPr>
          <w:rFonts w:ascii="Times New Roman" w:hAnsi="Times New Roman"/>
          <w:color w:val="000000"/>
          <w:sz w:val="20"/>
        </w:rPr>
        <w:t xml:space="preserve"> </w:t>
      </w:r>
      <w:r>
        <w:rPr>
          <w:rFonts w:ascii="Times New Roman" w:hAnsi="Times New Roman"/>
          <w:color w:val="000000"/>
          <w:sz w:val="24"/>
        </w:rPr>
        <w:t>Financial Accounting Standards Board Accounting Standards Codification Topic 718, or any successor provision.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Administrator”:</w:t>
      </w:r>
      <w:r>
        <w:rPr>
          <w:rFonts w:ascii="Times New Roman" w:hAnsi="Times New Roman"/>
          <w:color w:val="000000"/>
          <w:sz w:val="20"/>
        </w:rPr>
        <w:t xml:space="preserve"> </w:t>
      </w:r>
      <w:r>
        <w:rPr>
          <w:rFonts w:ascii="Times New Roman" w:hAnsi="Times New Roman"/>
          <w:color w:val="000000"/>
          <w:sz w:val="24"/>
        </w:rPr>
        <w:t>The Compensation Committee of the Board, except that the Compensation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color w:val="000000"/>
          <w:sz w:val="24"/>
        </w:rPr>
        <w:t>The Board of Directors of the Company.</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on which the established national exchange or trading system (including the Nasdaq Global Market) on which the Stock is traded is available and open for trading.</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The U.S. Internal Revenue Code of 1986, as from time to time amended and in effect, or any successor statute as from time to time in effect.</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Beam Therapeutics Inc, a Delaware corporation.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Designated Subsidiary”: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Subsidiary of the Company that has been designated by the Board or the Compensation Committee of the Board from time to time as eligible to participate in the Plan, as set forth on </w:t>
      </w:r>
      <w:r>
        <w:rPr>
          <w:rFonts w:ascii="Times New Roman" w:hAnsi="Times New Roman"/>
          <w:color w:val="000000"/>
          <w:sz w:val="24"/>
          <w:u w:val="single"/>
        </w:rPr>
        <w:t>Exhibit B</w:t>
      </w:r>
      <w:r>
        <w:rPr>
          <w:rFonts w:ascii="Times New Roman" w:hAnsi="Times New Roman"/>
          <w:color w:val="000000"/>
          <w:sz w:val="24"/>
        </w:rPr>
        <w:t>. For the avoidance of doubt, any Subsidiary of the Company shall be eligible to be designated as a Designated Subsidiary hereunder.</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The date set forth in Section 23of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Eligible Compensation”:</w:t>
      </w:r>
      <w:r>
        <w:rPr>
          <w:rFonts w:ascii="Times New Roman" w:hAnsi="Times New Roman"/>
          <w:color w:val="000000"/>
          <w:sz w:val="20"/>
        </w:rPr>
        <w:t xml:space="preserve"> </w:t>
      </w:r>
      <w:r>
        <w:rPr>
          <w:rFonts w:ascii="Times New Roman" w:hAnsi="Times New Roman"/>
          <w:color w:val="000000"/>
          <w:sz w:val="24"/>
        </w:rPr>
        <w:t>Regular base salary or regular base wages (excluding, for the avoidance of doubt, overtime payments, bonuses, stipends, reimbursements, long-term disability or family and medical leave payments, commissions and sales incentives and any long-term or equity-based incentive payments or awards).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Eligible Employee”:</w:t>
      </w:r>
      <w:r>
        <w:rPr>
          <w:rFonts w:ascii="Times New Roman" w:hAnsi="Times New Roman"/>
          <w:color w:val="000000"/>
          <w:sz w:val="20"/>
        </w:rPr>
        <w:t xml:space="preserve"> </w:t>
      </w:r>
      <w:r>
        <w:rPr>
          <w:rFonts w:ascii="Times New Roman" w:hAnsi="Times New Roman"/>
          <w:color w:val="000000"/>
          <w:sz w:val="24"/>
        </w:rPr>
        <w:t>Any Employee who meets the eligibility requirements set forth in Section 4of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Employee”:</w:t>
      </w:r>
      <w:r>
        <w:rPr>
          <w:rFonts w:ascii="Times New Roman" w:hAnsi="Times New Roman"/>
          <w:color w:val="000000"/>
          <w:sz w:val="20"/>
        </w:rPr>
        <w:t xml:space="preserve"> </w:t>
      </w:r>
      <w:r>
        <w:rPr>
          <w:rFonts w:ascii="Times New Roman" w:hAnsi="Times New Roman"/>
          <w:color w:val="000000"/>
          <w:sz w:val="24"/>
        </w:rPr>
        <w:t>Any person who is employed by the Company or a Designated Subsidiary. For the avoidance of doubt, independent contractors and consultants are not “Employees”.</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Exercise Date”: </w:t>
      </w:r>
      <w:r>
        <w:rPr>
          <w:rFonts w:ascii="Times New Roman" w:hAnsi="Times New Roman"/>
          <w:color w:val="000000"/>
          <w:sz w:val="24"/>
        </w:rPr>
        <w:t>The date set forth in Section 5of the Plan or otherwise designated by the Administrator with respect to a particular Option Period on which a Participant will be deemed to have exercised the Option granted to him or her for such Option Period.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Fair Market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If the Stock is readily traded on an established national exchange or trading system (including the NASDAQ Global Market), the closing price of a share of Stock as reported by the principal exchange on which such Stock is traded;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if such day is not a trading day, Fair Market Value will mean the reported closing price of a share of Stock for the immediately preceding day that is a trading day.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If the Stock is not traded on an established national exchange or trading system, the average of the bid and ask prices for shares Stock where the bid and ask prices are quoted.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If the Stock cannot be valued pursuant to clauses (a) or (b), the value as determined in good faith by the Board in its sole discretion.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Maximum Share Limit”:</w:t>
      </w:r>
      <w:r>
        <w:rPr>
          <w:rFonts w:ascii="Times New Roman" w:hAnsi="Times New Roman"/>
          <w:color w:val="000000"/>
          <w:sz w:val="20"/>
        </w:rPr>
        <w:t xml:space="preserve"> </w:t>
      </w:r>
      <w:r>
        <w:rPr>
          <w:rFonts w:ascii="Times New Roman" w:hAnsi="Times New Roman"/>
          <w:color w:val="000000"/>
          <w:sz w:val="24"/>
        </w:rPr>
        <w:t>The meaning set forth in Section 10of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Option”:</w:t>
      </w:r>
      <w:r>
        <w:rPr>
          <w:rFonts w:ascii="Times New Roman" w:hAnsi="Times New Roman"/>
          <w:color w:val="000000"/>
          <w:sz w:val="20"/>
        </w:rPr>
        <w:t xml:space="preserve"> </w:t>
      </w:r>
      <w:r>
        <w:rPr>
          <w:rFonts w:ascii="Times New Roman" w:hAnsi="Times New Roman"/>
          <w:color w:val="000000"/>
          <w:sz w:val="24"/>
        </w:rPr>
        <w:t>An option granted pursuant to the Plan entitling the holder to acquire shares of Stock upon payment of the Purchase Price per share of Stock.</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Option Period”: </w:t>
      </w:r>
      <w:r>
        <w:rPr>
          <w:rFonts w:ascii="Times New Roman" w:hAnsi="Times New Roman"/>
          <w:color w:val="000000"/>
          <w:sz w:val="24"/>
        </w:rPr>
        <w:t>An offering period established in accordance with Section 5of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Parent”: </w:t>
      </w:r>
      <w:r>
        <w:rPr>
          <w:rFonts w:ascii="Times New Roman" w:hAnsi="Times New Roman"/>
          <w:color w:val="000000"/>
          <w:sz w:val="24"/>
        </w:rPr>
        <w:t>A “parent corporation” as defined in Section 424(e) of the Code.</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Participant”:</w:t>
      </w:r>
      <w:r>
        <w:rPr>
          <w:rFonts w:ascii="Times New Roman" w:hAnsi="Times New Roman"/>
          <w:color w:val="000000"/>
          <w:sz w:val="20"/>
        </w:rPr>
        <w:t xml:space="preserve"> </w:t>
      </w:r>
      <w:r>
        <w:rPr>
          <w:rFonts w:ascii="Times New Roman" w:hAnsi="Times New Roman"/>
          <w:color w:val="000000"/>
          <w:sz w:val="24"/>
        </w:rPr>
        <w:t>An Eligible Employee who elects to participate in an Option Period under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The Beam Therapeutics Inc. Second Amended and Restated 2019 Employee Stock Purchase Plan, as from time to time amended and in effect.</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Purchase Price”: </w:t>
      </w:r>
      <w:r>
        <w:rPr>
          <w:rFonts w:ascii="Times New Roman" w:hAnsi="Times New Roman"/>
          <w:color w:val="000000"/>
          <w:sz w:val="24"/>
        </w:rPr>
        <w:t>The price per share of Stock with respect to an Option Period determined in accordance with Section 9of the Plan.</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 xml:space="preserve">Section 423”: </w:t>
      </w:r>
      <w:r>
        <w:rPr>
          <w:rFonts w:ascii="Times New Roman" w:hAnsi="Times New Roman"/>
          <w:color w:val="000000"/>
          <w:sz w:val="24"/>
        </w:rPr>
        <w:t>Section 423 of the Code and the regulations thereunder.</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Common stock of the Company, par value $0.01 per share.</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A “subsidiary corporation” as defined in Section 424(f) of the Code.</w:t>
      </w:r>
    </w:p>
    <w:p>
      <w:pPr>
        <w:pStyle w:val="TextBody"/>
        <w:bidi w:val="0"/>
        <w:jc w:val="left"/>
        <w:rPr>
          <w:rFonts w:ascii="Times New Roman" w:hAnsi="Times New Roman"/>
          <w:caps/>
          <w:color w:val="000000"/>
          <w:sz w:val="24"/>
        </w:rPr>
      </w:pPr>
      <w:r>
        <w:rPr>
          <w:rFonts w:ascii="Times New Roman" w:hAnsi="Times New Roman"/>
          <w:caps/>
          <w:color w:val="000000"/>
          <w:sz w:val="24"/>
        </w:rPr>
      </w:r>
    </w:p>
    <w:p>
      <w:pPr>
        <w:pStyle w:val="TextBody"/>
        <w:bidi w:val="0"/>
        <w:spacing w:before="0" w:after="240"/>
        <w:jc w:val="center"/>
        <w:rPr/>
      </w:pPr>
      <w:r>
        <w:rPr/>
        <w:t> </w:t>
      </w:r>
    </w:p>
    <w:p>
      <w:pPr>
        <w:pStyle w:val="TextBody"/>
        <w:bidi w:val="0"/>
        <w:jc w:val="left"/>
        <w:rPr/>
      </w:pPr>
      <w:r>
        <w:rPr/>
        <w:t> </w:t>
      </w:r>
    </w:p>
    <w:p>
      <w:pPr>
        <w:pStyle w:val="TextBody"/>
        <w:bidi w:val="0"/>
        <w:spacing w:before="0" w:after="24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Designated Subsidiaries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Designated Subsidiaries as of the date of adoption of the Plan by the Board are listed below: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beam-ex31_1.htm"/>
      <w:bookmarkStart w:id="21" w:name="ksbeam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John Evans,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Beam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624" w:type="dxa"/>
        <w:jc w:val="left"/>
        <w:tblInd w:w="0" w:type="dxa"/>
        <w:tblLayout w:type="fixed"/>
        <w:tblCellMar>
          <w:top w:w="28" w:type="dxa"/>
          <w:left w:w="28" w:type="dxa"/>
          <w:bottom w:w="28" w:type="dxa"/>
          <w:right w:w="28" w:type="dxa"/>
        </w:tblCellMar>
      </w:tblPr>
      <w:tblGrid>
        <w:gridCol w:w="2086"/>
        <w:gridCol w:w="646"/>
        <w:gridCol w:w="38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4, 2026</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Evans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bookmarkStart w:id="22" w:name="beam-ex31_2.htm"/>
      <w:bookmarkStart w:id="23" w:name="ksbeamex31_2"/>
      <w:bookmarkEnd w:id="22"/>
      <w:bookmarkEnd w:id="23"/>
      <w:r>
        <w:rPr>
          <w:rFonts w:ascii="Times New Roman" w:hAnsi="Times New Roman"/>
          <w:b/>
          <w:color w:val="000000"/>
          <w:sz w:val="20"/>
        </w:rPr>
        <w:t>CERTIFICATION PURSUANT TO</w:t>
        <w:br/>
        <w:t>RULES 13a-14(a) AND 15d-14(a) UNDER THE SECURITIES EXCHANGE ACT OF 1934,</w:t>
        <w:br/>
        <w:t>AS ADOPTED PURSUANT TO SECTION 302 OF THE SARBANES-OXLEY ACT OF 2002</w:t>
      </w:r>
      <w:r>
        <w:br w:type="page"/>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Sravan Emany, certify that: </w:t>
      </w:r>
    </w:p>
    <w:tbl>
      <w:tblPr>
        <w:tblW w:w="6887" w:type="dxa"/>
        <w:jc w:val="left"/>
        <w:tblInd w:w="0" w:type="dxa"/>
        <w:tblLayout w:type="fixed"/>
        <w:tblCellMar>
          <w:top w:w="28" w:type="dxa"/>
          <w:left w:w="28" w:type="dxa"/>
          <w:bottom w:w="28" w:type="dxa"/>
          <w:right w:w="28" w:type="dxa"/>
        </w:tblCellMar>
      </w:tblPr>
      <w:tblGrid>
        <w:gridCol w:w="271"/>
        <w:gridCol w:w="6616"/>
      </w:tblGrid>
      <w:tr>
        <w:trPr/>
        <w:tc>
          <w:tcPr>
            <w:tcW w:w="271"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tc>
        <w:tc>
          <w:tcPr>
            <w:tcW w:w="66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Beam Therapeutics Inc.;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4"/>
        <w:gridCol w:w="9770"/>
      </w:tblGrid>
      <w:tr>
        <w:trPr/>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w:t>
            </w:r>
          </w:p>
        </w:tc>
        <w:tc>
          <w:tcPr>
            <w:tcW w:w="977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6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w:t>
            </w:r>
          </w:p>
        </w:tc>
        <w:tc>
          <w:tcPr>
            <w:tcW w:w="976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76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w:t>
            </w:r>
          </w:p>
        </w:tc>
        <w:tc>
          <w:tcPr>
            <w:tcW w:w="976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1"/>
        <w:gridCol w:w="9733"/>
      </w:tblGrid>
      <w:tr>
        <w:trPr/>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3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w:t>
            </w:r>
          </w:p>
        </w:tc>
        <w:tc>
          <w:tcPr>
            <w:tcW w:w="973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33" w:type="dxa"/>
            <w:tcBorders/>
            <w:tcMar>
              <w:top w:w="0" w:type="dxa"/>
              <w:left w:w="0" w:type="dxa"/>
              <w:bottom w:w="0" w:type="dxa"/>
              <w:right w:w="0" w:type="dxa"/>
            </w:tcMar>
            <w:vAlign w:val="center"/>
          </w:tcPr>
          <w:p>
            <w:pPr>
              <w:pStyle w:val="TableContents"/>
              <w:bidi w:val="0"/>
              <w:spacing w:before="120" w:after="283"/>
              <w:jc w:val="left"/>
              <w:rPr/>
            </w:pPr>
            <w:r>
              <w:rPr/>
              <w:t> </w:t>
            </w:r>
          </w:p>
        </w:tc>
      </w:tr>
    </w:tbl>
    <w:p>
      <w:pPr>
        <w:pStyle w:val="TextBody"/>
        <w:bidi w:val="0"/>
        <w:jc w:val="left"/>
        <w:rPr/>
      </w:pPr>
      <w:r>
        <w:rPr/>
        <w:t> </w:t>
      </w:r>
    </w:p>
    <w:tbl>
      <w:tblPr>
        <w:tblW w:w="3959" w:type="dxa"/>
        <w:jc w:val="left"/>
        <w:tblInd w:w="0" w:type="dxa"/>
        <w:tblLayout w:type="fixed"/>
        <w:tblCellMar>
          <w:top w:w="28" w:type="dxa"/>
          <w:left w:w="28" w:type="dxa"/>
          <w:bottom w:w="28" w:type="dxa"/>
          <w:right w:w="28" w:type="dxa"/>
        </w:tblCellMar>
      </w:tblPr>
      <w:tblGrid>
        <w:gridCol w:w="1846"/>
        <w:gridCol w:w="406"/>
        <w:gridCol w:w="146"/>
        <w:gridCol w:w="156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Sravan Emany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Sravan Emany</w:t>
            </w:r>
          </w:p>
        </w:tc>
      </w:tr>
    </w:tbl>
    <w:p>
      <w:pPr>
        <w:pStyle w:val="HorizontalLine"/>
        <w:pBdr>
          <w:bottom w:val="double" w:sz="2" w:space="0" w:color="808080"/>
        </w:pBdr>
        <w:bidi w:val="0"/>
        <w:spacing w:before="0" w:after="283"/>
        <w:jc w:val="left"/>
        <w:rPr/>
      </w:pPr>
      <w:r>
        <w:rPr/>
      </w:r>
    </w:p>
    <w:tbl>
      <w:tblPr>
        <w:tblW w:w="2914" w:type="dxa"/>
        <w:jc w:val="left"/>
        <w:tblInd w:w="0" w:type="dxa"/>
        <w:tblLayout w:type="fixed"/>
        <w:tblCellMar>
          <w:top w:w="28" w:type="dxa"/>
          <w:left w:w="28" w:type="dxa"/>
          <w:bottom w:w="28" w:type="dxa"/>
          <w:right w:w="28" w:type="dxa"/>
        </w:tblCellMar>
      </w:tblPr>
      <w:tblGrid>
        <w:gridCol w:w="161"/>
        <w:gridCol w:w="146"/>
        <w:gridCol w:w="146"/>
        <w:gridCol w:w="24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24" w:name="beam-ex32_1.htm"/>
      <w:bookmarkStart w:id="25" w:name="ksbeam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Quarterly Report of Beam Therapeutics Inc. (the “Company”) on Form 10-Q for the period ending June 30,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904" w:type="dxa"/>
        <w:jc w:val="left"/>
        <w:tblInd w:w="0" w:type="dxa"/>
        <w:tblLayout w:type="fixed"/>
        <w:tblCellMar>
          <w:top w:w="28" w:type="dxa"/>
          <w:left w:w="28" w:type="dxa"/>
          <w:bottom w:w="28" w:type="dxa"/>
          <w:right w:w="28" w:type="dxa"/>
        </w:tblCellMar>
      </w:tblPr>
      <w:tblGrid>
        <w:gridCol w:w="1846"/>
        <w:gridCol w:w="406"/>
        <w:gridCol w:w="14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bookmarkStart w:id="26" w:name="beam-ex32_2.htm"/>
      <w:bookmarkStart w:id="27" w:name="ksbeamex32_2"/>
      <w:bookmarkEnd w:id="26"/>
      <w:bookmarkEnd w:id="27"/>
      <w:r>
        <w:rPr>
          <w:rFonts w:ascii="Times New Roman" w:hAnsi="Times New Roman"/>
          <w:b/>
          <w:color w:val="000000"/>
          <w:sz w:val="20"/>
        </w:rPr>
        <w:t>CERTIFICATION PURSUANT TO</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Quarterly Report of Beam Therapeutics Inc. (the “Company”) on Form 10-Q for the period ended June 30,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1846"/>
        <w:gridCol w:w="406"/>
        <w:gridCol w:w="146"/>
        <w:gridCol w:w="246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Sravan Emany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Sravan Emany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5999/000119312520031290/d842502dex31.htm" TargetMode="External"/><Relationship Id="rId3" Type="http://schemas.openxmlformats.org/officeDocument/2006/relationships/hyperlink" Target="https://www.sec.gov/Archives/edgar/data/1745999/000095017023004866/beam-ex3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34676</Words>
  <Characters>190341</Characters>
  <CharactersWithSpaces>226078</CharactersWithSpaces>
  <Paragraphs>6108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