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283845</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299720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93980</wp:posOffset>
            </wp:positionV>
            <wp:extent cx="1428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106680</wp:posOffset>
            </wp:positionV>
            <wp:extent cx="1428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80" w:right="2100" w:hanging="3978"/>
        <w:spacing w:after="0" w:line="369" w:lineRule="auto"/>
        <w:tabs>
          <w:tab w:leader="none" w:pos="50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11" w:lineRule="exact"/>
        <w:rPr>
          <w:sz w:val="24"/>
          <w:szCs w:val="24"/>
          <w:color w:val="auto"/>
        </w:rPr>
      </w:pPr>
    </w:p>
    <w:p>
      <w:pPr>
        <w:ind w:left="500" w:hanging="498"/>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w:t>
      </w:r>
    </w:p>
    <w:p>
      <w:pPr>
        <w:spacing w:after="0" w:line="27" w:lineRule="exact"/>
        <w:rPr>
          <w:sz w:val="24"/>
          <w:szCs w:val="24"/>
          <w:color w:val="auto"/>
        </w:rPr>
      </w:pPr>
    </w:p>
    <w:p>
      <w:pPr>
        <w:ind w:left="500"/>
        <w:spacing w:after="0"/>
        <w:tabs>
          <w:tab w:leader="none" w:pos="2420" w:val="left"/>
        </w:tabs>
        <w:rPr>
          <w:sz w:val="20"/>
          <w:szCs w:val="20"/>
          <w:color w:val="auto"/>
        </w:rPr>
      </w:pPr>
      <w:r>
        <w:rPr>
          <w:rFonts w:ascii="Arial" w:cs="Arial" w:eastAsia="Arial" w:hAnsi="Arial"/>
          <w:sz w:val="17"/>
          <w:szCs w:val="17"/>
          <w:b w:val="1"/>
          <w:bCs w:val="1"/>
          <w:color w:val="auto"/>
        </w:rPr>
        <w:t>PERIOD FROM</w:t>
      </w:r>
      <w:r>
        <w:rPr>
          <w:sz w:val="20"/>
          <w:szCs w:val="20"/>
          <w:color w:val="auto"/>
        </w:rPr>
        <w:tab/>
      </w:r>
      <w:r>
        <w:rPr>
          <w:rFonts w:ascii="Arial" w:cs="Arial" w:eastAsia="Arial" w:hAnsi="Arial"/>
          <w:sz w:val="17"/>
          <w:szCs w:val="17"/>
          <w:b w:val="1"/>
          <w:bCs w:val="1"/>
          <w:color w:val="auto"/>
        </w:rPr>
        <w:t>TO</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95250</wp:posOffset>
            </wp:positionV>
            <wp:extent cx="1428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Beam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85090</wp:posOffset>
            </wp:positionV>
            <wp:extent cx="1428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14"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780" w:type="dxa"/>
            <w:vAlign w:val="bottom"/>
          </w:tcPr>
          <w:p>
            <w:pPr>
              <w:jc w:val="center"/>
              <w:ind w:left="1770"/>
              <w:spacing w:after="0"/>
              <w:rPr>
                <w:sz w:val="20"/>
                <w:szCs w:val="20"/>
                <w:color w:val="auto"/>
              </w:rPr>
            </w:pPr>
            <w:r>
              <w:rPr>
                <w:rFonts w:ascii="Arial" w:cs="Arial" w:eastAsia="Arial" w:hAnsi="Arial"/>
                <w:sz w:val="14"/>
                <w:szCs w:val="14"/>
                <w:b w:val="1"/>
                <w:bCs w:val="1"/>
                <w:color w:val="auto"/>
                <w:w w:val="94"/>
              </w:rPr>
              <w:t>Delaware</w:t>
            </w: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jc w:val="right"/>
              <w:ind w:right="2411"/>
              <w:spacing w:after="0"/>
              <w:rPr>
                <w:sz w:val="20"/>
                <w:szCs w:val="20"/>
                <w:color w:val="auto"/>
              </w:rPr>
            </w:pPr>
            <w:r>
              <w:rPr>
                <w:rFonts w:ascii="Arial" w:cs="Arial" w:eastAsia="Arial" w:hAnsi="Arial"/>
                <w:sz w:val="14"/>
                <w:szCs w:val="14"/>
                <w:b w:val="1"/>
                <w:bCs w:val="1"/>
                <w:color w:val="auto"/>
              </w:rPr>
              <w:t>81-5238376</w:t>
            </w:r>
          </w:p>
        </w:tc>
      </w:tr>
      <w:tr>
        <w:trPr>
          <w:trHeight w:val="141"/>
        </w:trPr>
        <w:tc>
          <w:tcPr>
            <w:tcW w:w="3780" w:type="dxa"/>
            <w:vAlign w:val="bottom"/>
          </w:tcPr>
          <w:p>
            <w:pPr>
              <w:jc w:val="center"/>
              <w:ind w:left="1790"/>
              <w:spacing w:after="0" w:line="141"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b w:val="1"/>
                <w:bCs w:val="1"/>
                <w:i w:val="1"/>
                <w:iCs w:val="1"/>
                <w:color w:val="auto"/>
                <w:w w:val="85"/>
              </w:rPr>
              <w:t>State or other jurisdiction of</w:t>
            </w: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ind w:right="2131"/>
              <w:spacing w:after="0" w:line="141"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I.R.S. Employer</w:t>
            </w:r>
          </w:p>
        </w:tc>
      </w:tr>
      <w:tr>
        <w:trPr>
          <w:trHeight w:val="175"/>
        </w:trPr>
        <w:tc>
          <w:tcPr>
            <w:tcW w:w="3780" w:type="dxa"/>
            <w:vAlign w:val="bottom"/>
          </w:tcPr>
          <w:p>
            <w:pPr>
              <w:jc w:val="center"/>
              <w:ind w:left="1790"/>
              <w:spacing w:after="0"/>
              <w:rPr>
                <w:sz w:val="20"/>
                <w:szCs w:val="20"/>
                <w:color w:val="auto"/>
              </w:rPr>
            </w:pPr>
            <w:r>
              <w:rPr>
                <w:rFonts w:ascii="Arial" w:cs="Arial" w:eastAsia="Arial" w:hAnsi="Arial"/>
                <w:sz w:val="14"/>
                <w:szCs w:val="14"/>
                <w:b w:val="1"/>
                <w:bCs w:val="1"/>
                <w:i w:val="1"/>
                <w:iCs w:val="1"/>
                <w:color w:val="auto"/>
                <w:w w:val="86"/>
              </w:rPr>
              <w:t>incorporation or organization</w:t>
            </w:r>
            <w:r>
              <w:rPr>
                <w:rFonts w:ascii="Arial" w:cs="Arial" w:eastAsia="Arial" w:hAnsi="Arial"/>
                <w:sz w:val="14"/>
                <w:szCs w:val="14"/>
                <w:b w:val="1"/>
                <w:bCs w:val="1"/>
                <w:color w:val="auto"/>
                <w:w w:val="86"/>
              </w:rPr>
              <w:t>)</w:t>
            </w:r>
          </w:p>
        </w:tc>
        <w:tc>
          <w:tcPr>
            <w:tcW w:w="7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tcPr>
          <w:p>
            <w:pPr>
              <w:jc w:val="center"/>
              <w:ind w:right="2111"/>
              <w:spacing w:after="0"/>
              <w:rPr>
                <w:sz w:val="20"/>
                <w:szCs w:val="20"/>
                <w:color w:val="auto"/>
              </w:rPr>
            </w:pPr>
            <w:r>
              <w:rPr>
                <w:rFonts w:ascii="Arial" w:cs="Arial" w:eastAsia="Arial" w:hAnsi="Arial"/>
                <w:sz w:val="14"/>
                <w:szCs w:val="14"/>
                <w:b w:val="1"/>
                <w:bCs w:val="1"/>
                <w:i w:val="1"/>
                <w:iCs w:val="1"/>
                <w:color w:val="auto"/>
                <w:w w:val="87"/>
              </w:rPr>
              <w:t>Identification No.</w:t>
            </w:r>
            <w:r>
              <w:rPr>
                <w:rFonts w:ascii="Arial" w:cs="Arial" w:eastAsia="Arial" w:hAnsi="Arial"/>
                <w:sz w:val="14"/>
                <w:szCs w:val="14"/>
                <w:b w:val="1"/>
                <w:bCs w:val="1"/>
                <w:color w:val="auto"/>
                <w:w w:val="87"/>
              </w:rPr>
              <w:t>)</w:t>
            </w:r>
          </w:p>
        </w:tc>
      </w:tr>
      <w:tr>
        <w:trPr>
          <w:trHeight w:val="249"/>
        </w:trPr>
        <w:tc>
          <w:tcPr>
            <w:tcW w:w="3780" w:type="dxa"/>
            <w:vAlign w:val="bottom"/>
          </w:tcPr>
          <w:p>
            <w:pPr>
              <w:jc w:val="center"/>
              <w:ind w:left="1770"/>
              <w:spacing w:after="0"/>
              <w:rPr>
                <w:sz w:val="20"/>
                <w:szCs w:val="20"/>
                <w:color w:val="auto"/>
              </w:rPr>
            </w:pPr>
            <w:r>
              <w:rPr>
                <w:rFonts w:ascii="Arial" w:cs="Arial" w:eastAsia="Arial" w:hAnsi="Arial"/>
                <w:sz w:val="14"/>
                <w:szCs w:val="14"/>
                <w:b w:val="1"/>
                <w:bCs w:val="1"/>
                <w:color w:val="auto"/>
                <w:w w:val="92"/>
              </w:rPr>
              <w:t>26 Landsdowne Street</w:t>
            </w:r>
          </w:p>
        </w:tc>
        <w:tc>
          <w:tcPr>
            <w:tcW w:w="7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163"/>
        </w:trPr>
        <w:tc>
          <w:tcPr>
            <w:tcW w:w="3780" w:type="dxa"/>
            <w:vAlign w:val="bottom"/>
          </w:tcPr>
          <w:p>
            <w:pPr>
              <w:jc w:val="center"/>
              <w:ind w:left="1770"/>
              <w:spacing w:after="0"/>
              <w:rPr>
                <w:sz w:val="20"/>
                <w:szCs w:val="20"/>
                <w:color w:val="auto"/>
              </w:rPr>
            </w:pPr>
            <w:r>
              <w:rPr>
                <w:rFonts w:ascii="Arial" w:cs="Arial" w:eastAsia="Arial" w:hAnsi="Arial"/>
                <w:sz w:val="14"/>
                <w:szCs w:val="14"/>
                <w:b w:val="1"/>
                <w:bCs w:val="1"/>
                <w:color w:val="auto"/>
                <w:w w:val="99"/>
              </w:rPr>
              <w:t>Cambridge, MA</w:t>
            </w: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jc w:val="right"/>
              <w:ind w:right="2571"/>
              <w:spacing w:after="0"/>
              <w:rPr>
                <w:sz w:val="20"/>
                <w:szCs w:val="20"/>
                <w:color w:val="auto"/>
              </w:rPr>
            </w:pPr>
            <w:r>
              <w:rPr>
                <w:rFonts w:ascii="Arial" w:cs="Arial" w:eastAsia="Arial" w:hAnsi="Arial"/>
                <w:sz w:val="14"/>
                <w:szCs w:val="14"/>
                <w:b w:val="1"/>
                <w:bCs w:val="1"/>
                <w:color w:val="auto"/>
              </w:rPr>
              <w:t>02139</w:t>
            </w:r>
          </w:p>
        </w:tc>
      </w:tr>
      <w:tr>
        <w:trPr>
          <w:trHeight w:val="175"/>
        </w:trPr>
        <w:tc>
          <w:tcPr>
            <w:tcW w:w="7800" w:type="dxa"/>
            <w:vAlign w:val="bottom"/>
            <w:gridSpan w:val="5"/>
          </w:tcPr>
          <w:p>
            <w:pPr>
              <w:jc w:val="center"/>
              <w:ind w:right="2180"/>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4"/>
                <w:szCs w:val="14"/>
                <w:b w:val="1"/>
                <w:bCs w:val="1"/>
                <w:i w:val="1"/>
                <w:iCs w:val="1"/>
                <w:color w:val="auto"/>
                <w:w w:val="83"/>
              </w:rPr>
              <w:t>Address of principal executive offices</w:t>
            </w:r>
            <w:r>
              <w:rPr>
                <w:rFonts w:ascii="Arial" w:cs="Arial" w:eastAsia="Arial" w:hAnsi="Arial"/>
                <w:sz w:val="14"/>
                <w:szCs w:val="14"/>
                <w:b w:val="1"/>
                <w:bCs w:val="1"/>
                <w:color w:val="auto"/>
                <w:w w:val="83"/>
              </w:rPr>
              <w:t>)</w:t>
            </w:r>
          </w:p>
        </w:tc>
        <w:tc>
          <w:tcPr>
            <w:tcW w:w="3460" w:type="dxa"/>
            <w:vAlign w:val="bottom"/>
          </w:tcPr>
          <w:p>
            <w:pPr>
              <w:jc w:val="center"/>
              <w:ind w:right="2111"/>
              <w:spacing w:after="0"/>
              <w:rPr>
                <w:sz w:val="20"/>
                <w:szCs w:val="20"/>
                <w:color w:val="auto"/>
              </w:rPr>
            </w:pPr>
            <w:r>
              <w:rPr>
                <w:rFonts w:ascii="Arial" w:cs="Arial" w:eastAsia="Arial" w:hAnsi="Arial"/>
                <w:sz w:val="14"/>
                <w:szCs w:val="14"/>
                <w:b w:val="1"/>
                <w:bCs w:val="1"/>
                <w:color w:val="auto"/>
                <w:w w:val="86"/>
              </w:rPr>
              <w:t>(</w:t>
            </w:r>
            <w:r>
              <w:rPr>
                <w:rFonts w:ascii="Arial" w:cs="Arial" w:eastAsia="Arial" w:hAnsi="Arial"/>
                <w:sz w:val="14"/>
                <w:szCs w:val="14"/>
                <w:b w:val="1"/>
                <w:bCs w:val="1"/>
                <w:i w:val="1"/>
                <w:iCs w:val="1"/>
                <w:color w:val="auto"/>
                <w:w w:val="86"/>
              </w:rPr>
              <w:t>Zip Code</w:t>
            </w:r>
            <w:r>
              <w:rPr>
                <w:rFonts w:ascii="Arial" w:cs="Arial" w:eastAsia="Arial" w:hAnsi="Arial"/>
                <w:sz w:val="14"/>
                <w:szCs w:val="14"/>
                <w:b w:val="1"/>
                <w:bCs w:val="1"/>
                <w:color w:val="auto"/>
                <w:w w:val="86"/>
              </w:rPr>
              <w:t>)</w:t>
            </w:r>
          </w:p>
        </w:tc>
      </w:tr>
      <w:tr>
        <w:trPr>
          <w:trHeight w:val="262"/>
        </w:trPr>
        <w:tc>
          <w:tcPr>
            <w:tcW w:w="7800" w:type="dxa"/>
            <w:vAlign w:val="bottom"/>
            <w:gridSpan w:val="5"/>
          </w:tcPr>
          <w:p>
            <w:pPr>
              <w:jc w:val="center"/>
              <w:ind w:left="3370"/>
              <w:spacing w:after="0"/>
              <w:rPr>
                <w:sz w:val="20"/>
                <w:szCs w:val="20"/>
                <w:color w:val="auto"/>
              </w:rPr>
            </w:pPr>
            <w:r>
              <w:rPr>
                <w:rFonts w:ascii="Arial" w:cs="Arial" w:eastAsia="Arial" w:hAnsi="Arial"/>
                <w:sz w:val="14"/>
                <w:szCs w:val="14"/>
                <w:b w:val="1"/>
                <w:bCs w:val="1"/>
                <w:color w:val="auto"/>
                <w:w w:val="92"/>
              </w:rPr>
              <w:t>Registrant’s telephone number, including area code: (857) 327-8775</w:t>
            </w:r>
          </w:p>
        </w:tc>
        <w:tc>
          <w:tcPr>
            <w:tcW w:w="3460" w:type="dxa"/>
            <w:vAlign w:val="bottom"/>
          </w:tcPr>
          <w:p>
            <w:pPr>
              <w:spacing w:after="0"/>
              <w:rPr>
                <w:sz w:val="22"/>
                <w:szCs w:val="22"/>
                <w:color w:val="auto"/>
              </w:rPr>
            </w:pPr>
          </w:p>
        </w:tc>
      </w:tr>
      <w:tr>
        <w:trPr>
          <w:trHeight w:val="187"/>
        </w:trPr>
        <w:tc>
          <w:tcPr>
            <w:tcW w:w="3780" w:type="dxa"/>
            <w:vAlign w:val="bottom"/>
          </w:tcPr>
          <w:p>
            <w:pPr>
              <w:spacing w:after="0"/>
              <w:rPr>
                <w:sz w:val="16"/>
                <w:szCs w:val="16"/>
                <w:color w:val="auto"/>
              </w:rPr>
            </w:pPr>
          </w:p>
        </w:tc>
        <w:tc>
          <w:tcPr>
            <w:tcW w:w="4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Securities registered pursuant to Section 12(b) of the Act:</w:t>
            </w:r>
          </w:p>
        </w:tc>
        <w:tc>
          <w:tcPr>
            <w:tcW w:w="3460" w:type="dxa"/>
            <w:vAlign w:val="bottom"/>
          </w:tcPr>
          <w:p>
            <w:pPr>
              <w:spacing w:after="0"/>
              <w:rPr>
                <w:sz w:val="16"/>
                <w:szCs w:val="16"/>
                <w:color w:val="auto"/>
              </w:rPr>
            </w:pPr>
          </w:p>
        </w:tc>
      </w:tr>
      <w:tr>
        <w:trPr>
          <w:trHeight w:val="150"/>
        </w:trPr>
        <w:tc>
          <w:tcPr>
            <w:tcW w:w="3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r>
      <w:tr>
        <w:trPr>
          <w:trHeight w:val="113"/>
        </w:trPr>
        <w:tc>
          <w:tcPr>
            <w:tcW w:w="3780" w:type="dxa"/>
            <w:vAlign w:val="bottom"/>
            <w:tcBorders>
              <w:left w:val="single" w:sz="8" w:color="auto"/>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3080" w:type="dxa"/>
            <w:vAlign w:val="bottom"/>
            <w:tcBorders>
              <w:right w:val="single" w:sz="8" w:color="auto"/>
            </w:tcBorders>
            <w:gridSpan w:val="2"/>
          </w:tcPr>
          <w:p>
            <w:pPr>
              <w:jc w:val="center"/>
              <w:ind w:right="740"/>
              <w:spacing w:after="0" w:line="113" w:lineRule="exact"/>
              <w:rPr>
                <w:sz w:val="20"/>
                <w:szCs w:val="20"/>
                <w:color w:val="auto"/>
              </w:rPr>
            </w:pPr>
            <w:r>
              <w:rPr>
                <w:rFonts w:ascii="Arial" w:cs="Arial" w:eastAsia="Arial" w:hAnsi="Arial"/>
                <w:sz w:val="12"/>
                <w:szCs w:val="12"/>
                <w:b w:val="1"/>
                <w:bCs w:val="1"/>
                <w:color w:val="auto"/>
              </w:rPr>
              <w:t>Trading</w:t>
            </w:r>
          </w:p>
        </w:tc>
        <w:tc>
          <w:tcPr>
            <w:tcW w:w="220" w:type="dxa"/>
            <w:vAlign w:val="bottom"/>
          </w:tcPr>
          <w:p>
            <w:pPr>
              <w:spacing w:after="0"/>
              <w:rPr>
                <w:sz w:val="9"/>
                <w:szCs w:val="9"/>
                <w:color w:val="auto"/>
              </w:rPr>
            </w:pPr>
          </w:p>
        </w:tc>
        <w:tc>
          <w:tcPr>
            <w:tcW w:w="3460" w:type="dxa"/>
            <w:vAlign w:val="bottom"/>
            <w:tcBorders>
              <w:right w:val="single" w:sz="8" w:color="auto"/>
            </w:tcBorders>
          </w:tcPr>
          <w:p>
            <w:pPr>
              <w:jc w:val="center"/>
              <w:ind w:right="71"/>
              <w:spacing w:after="0" w:line="113" w:lineRule="exact"/>
              <w:rPr>
                <w:sz w:val="20"/>
                <w:szCs w:val="20"/>
                <w:color w:val="auto"/>
              </w:rPr>
            </w:pPr>
            <w:r>
              <w:rPr>
                <w:rFonts w:ascii="Arial" w:cs="Arial" w:eastAsia="Arial" w:hAnsi="Arial"/>
                <w:sz w:val="12"/>
                <w:szCs w:val="12"/>
                <w:b w:val="1"/>
                <w:bCs w:val="1"/>
                <w:color w:val="auto"/>
                <w:w w:val="99"/>
              </w:rPr>
              <w:t>Name of each exchange</w:t>
            </w:r>
          </w:p>
        </w:tc>
      </w:tr>
      <w:tr>
        <w:trPr>
          <w:trHeight w:val="161"/>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72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85"/>
              </w:rPr>
              <w:t>Symbol(s)</w:t>
            </w:r>
          </w:p>
        </w:tc>
        <w:tc>
          <w:tcPr>
            <w:tcW w:w="220" w:type="dxa"/>
            <w:vAlign w:val="bottom"/>
            <w:tcBorders>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6"/>
              </w:rPr>
              <w:t>on which registered</w:t>
            </w:r>
          </w:p>
        </w:tc>
      </w:tr>
      <w:tr>
        <w:trPr>
          <w:trHeight w:val="146"/>
        </w:trPr>
        <w:tc>
          <w:tcPr>
            <w:tcW w:w="3780" w:type="dxa"/>
            <w:vAlign w:val="bottom"/>
            <w:tcBorders>
              <w:left w:val="single" w:sz="8" w:color="auto"/>
              <w:bottom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92"/>
              </w:rPr>
              <w:t>Common Stock, par value $0.01 per share</w:t>
            </w:r>
          </w:p>
        </w:tc>
        <w:tc>
          <w:tcPr>
            <w:tcW w:w="720" w:type="dxa"/>
            <w:vAlign w:val="bottom"/>
            <w:tcBorders>
              <w:bottom w:val="single" w:sz="8" w:color="auto"/>
            </w:tcBorders>
          </w:tcPr>
          <w:p>
            <w:pPr>
              <w:spacing w:after="0"/>
              <w:rPr>
                <w:sz w:val="12"/>
                <w:szCs w:val="12"/>
                <w:color w:val="auto"/>
              </w:rPr>
            </w:pPr>
          </w:p>
        </w:tc>
        <w:tc>
          <w:tcPr>
            <w:tcW w:w="3080" w:type="dxa"/>
            <w:vAlign w:val="bottom"/>
            <w:tcBorders>
              <w:bottom w:val="single" w:sz="8" w:color="auto"/>
              <w:right w:val="single" w:sz="8" w:color="auto"/>
            </w:tcBorders>
            <w:gridSpan w:val="2"/>
          </w:tcPr>
          <w:p>
            <w:pPr>
              <w:jc w:val="center"/>
              <w:ind w:right="740"/>
              <w:spacing w:after="0" w:line="146" w:lineRule="exact"/>
              <w:rPr>
                <w:sz w:val="20"/>
                <w:szCs w:val="20"/>
                <w:color w:val="auto"/>
              </w:rPr>
            </w:pPr>
            <w:r>
              <w:rPr>
                <w:rFonts w:ascii="Arial" w:cs="Arial" w:eastAsia="Arial" w:hAnsi="Arial"/>
                <w:sz w:val="14"/>
                <w:szCs w:val="14"/>
                <w:b w:val="1"/>
                <w:bCs w:val="1"/>
                <w:color w:val="auto"/>
              </w:rPr>
              <w:t>BEAM</w:t>
            </w:r>
          </w:p>
        </w:tc>
        <w:tc>
          <w:tcPr>
            <w:tcW w:w="220" w:type="dxa"/>
            <w:vAlign w:val="bottom"/>
            <w:tcBorders>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ind w:left="700"/>
              <w:spacing w:after="0" w:line="146" w:lineRule="exact"/>
              <w:rPr>
                <w:sz w:val="20"/>
                <w:szCs w:val="20"/>
                <w:color w:val="auto"/>
              </w:rPr>
            </w:pPr>
            <w:r>
              <w:rPr>
                <w:rFonts w:ascii="Arial" w:cs="Arial" w:eastAsia="Arial" w:hAnsi="Arial"/>
                <w:sz w:val="14"/>
                <w:szCs w:val="14"/>
                <w:b w:val="1"/>
                <w:bCs w:val="1"/>
                <w:color w:val="auto"/>
              </w:rPr>
              <w:t>Nasdaq Global Select Market</w:t>
            </w:r>
          </w:p>
        </w:tc>
      </w:tr>
      <w:tr>
        <w:trPr>
          <w:trHeight w:val="133"/>
        </w:trPr>
        <w:tc>
          <w:tcPr>
            <w:tcW w:w="3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60" w:type="dxa"/>
            <w:vAlign w:val="bottom"/>
          </w:tcPr>
          <w:p>
            <w:pPr>
              <w:spacing w:after="0"/>
              <w:rPr>
                <w:sz w:val="11"/>
                <w:szCs w:val="11"/>
                <w:color w:val="auto"/>
              </w:rPr>
            </w:pPr>
          </w:p>
        </w:tc>
      </w:tr>
    </w:tbl>
    <w:p>
      <w:pPr>
        <w:spacing w:after="0" w:line="89" w:lineRule="exact"/>
        <w:rPr>
          <w:sz w:val="24"/>
          <w:szCs w:val="24"/>
          <w:color w:val="auto"/>
        </w:rPr>
      </w:pPr>
    </w:p>
    <w:p>
      <w:pPr>
        <w:ind w:right="16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38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6" w:right="339" w:bottom="1440" w:gutter="0" w:footer="0" w:header="0"/>
        </w:sectPr>
      </w:pPr>
    </w:p>
    <w:p>
      <w:pPr>
        <w:spacing w:after="0" w:line="57" w:lineRule="exact"/>
        <w:rPr>
          <w:sz w:val="24"/>
          <w:szCs w:val="24"/>
          <w:color w:val="auto"/>
        </w:rPr>
      </w:pPr>
    </w:p>
    <w:p>
      <w:pPr>
        <w:spacing w:after="0" w:line="161" w:lineRule="exact"/>
        <w:tabs>
          <w:tab w:leader="none" w:pos="2020" w:val="left"/>
          <w:tab w:leader="none" w:pos="8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5" w:lineRule="exact"/>
        <w:rPr>
          <w:sz w:val="24"/>
          <w:szCs w:val="24"/>
          <w:color w:val="auto"/>
        </w:rPr>
      </w:pPr>
    </w:p>
    <w:p>
      <w:pPr>
        <w:spacing w:after="0" w:line="161" w:lineRule="exact"/>
        <w:tabs>
          <w:tab w:leader="none" w:pos="2020" w:val="left"/>
          <w:tab w:leader="none" w:pos="8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87" w:lineRule="exact"/>
        <w:rPr>
          <w:sz w:val="24"/>
          <w:szCs w:val="24"/>
          <w:color w:val="auto"/>
        </w:rPr>
      </w:pPr>
    </w:p>
    <w:p>
      <w:pPr>
        <w:ind w:left="8240"/>
        <w:spacing w:after="0"/>
        <w:rPr>
          <w:sz w:val="20"/>
          <w:szCs w:val="20"/>
          <w:color w:val="auto"/>
        </w:rPr>
      </w:pPr>
      <w:r>
        <w:rPr>
          <w:rFonts w:ascii="Arial" w:cs="Arial" w:eastAsia="Arial" w:hAnsi="Arial"/>
          <w:sz w:val="14"/>
          <w:szCs w:val="14"/>
          <w:color w:val="auto"/>
        </w:rPr>
        <w:t>Emerging growth company</w:t>
      </w:r>
    </w:p>
    <w:p>
      <w:pPr>
        <w:spacing w:after="0" w:line="107"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ind w:right="2920"/>
        <w:spacing w:after="0" w:line="24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registrant’s common stock outstanding as of August 4, 2020 was 51,732,014.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7139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7139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395605</wp:posOffset>
            </wp:positionV>
            <wp:extent cx="715581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720" w:space="200"/>
            <w:col w:w="320"/>
          </w:cols>
          <w:pgMar w:left="320" w:top="5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NOTE REGARDING FORWARD-LOOKING STATEMENTS</w:t>
      </w:r>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Such forward-looking statements reflect, among other things, our current expectations and anticipated results of operations; the expected timing of filing IND applications and the therapeutic applications of our technology; the timing, progress and success of our collaborations with third parties; our plans to establish a manufacturing facility; the impact of the COVID-19 pandemic on our business,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II, Item 1A of this report. Unless legally required, we assume no obligation to update any such forward-looking information to reflect actual results or changes in the factors affecting such forward-looking information.</w:t>
      </w:r>
    </w:p>
    <w:p>
      <w:pPr>
        <w:spacing w:after="0" w:line="7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When we use the terms “Beam,” the “Company,” “we,” “us” or “our” in this Quarterly Report on Form 10-Q, we mean Beam Therapeutics Inc. and its subsidiaries on a consolidated basis, unless the context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715581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PART I</w:t>
            </w:r>
          </w:p>
        </w:tc>
        <w:tc>
          <w:tcPr>
            <w:tcW w:w="9820" w:type="dxa"/>
            <w:vAlign w:val="bottom"/>
            <w:vMerge w:val="restart"/>
          </w:tcPr>
          <w:p>
            <w:pPr>
              <w:ind w:left="8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60" w:type="dxa"/>
            <w:vAlign w:val="bottom"/>
            <w:vMerge w:val="continue"/>
          </w:tcPr>
          <w:p>
            <w:pPr>
              <w:spacing w:after="0"/>
              <w:rPr>
                <w:sz w:val="16"/>
                <w:szCs w:val="16"/>
                <w:color w:val="auto"/>
              </w:rPr>
            </w:pPr>
          </w:p>
        </w:tc>
        <w:tc>
          <w:tcPr>
            <w:tcW w:w="98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140"/>
              <w:spacing w:after="0"/>
              <w:rPr>
                <w:sz w:val="20"/>
                <w:szCs w:val="20"/>
                <w:color w:val="auto"/>
              </w:rPr>
            </w:pPr>
            <w:r>
              <w:rPr>
                <w:rFonts w:ascii="Arial" w:cs="Arial" w:eastAsia="Arial" w:hAnsi="Arial"/>
                <w:sz w:val="17"/>
                <w:szCs w:val="17"/>
                <w:color w:val="auto"/>
              </w:rPr>
              <w:t>Item 1.</w:t>
            </w:r>
          </w:p>
        </w:tc>
        <w:tc>
          <w:tcPr>
            <w:tcW w:w="9820" w:type="dxa"/>
            <w:vAlign w:val="bottom"/>
          </w:tcPr>
          <w:p>
            <w:pPr>
              <w:ind w:left="8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9820" w:type="dxa"/>
            <w:vAlign w:val="bottom"/>
          </w:tcPr>
          <w:p>
            <w:pPr>
              <w:ind w:left="2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9820" w:type="dxa"/>
            <w:vAlign w:val="bottom"/>
          </w:tcPr>
          <w:p>
            <w:pPr>
              <w:ind w:left="24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Statements of Operations and Other Comprehensive Loss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9820" w:type="dxa"/>
            <w:vAlign w:val="bottom"/>
          </w:tcPr>
          <w:p>
            <w:pPr>
              <w:ind w:left="24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Condensed Consolidated Statements of Redeemable Convertible Preferred Stock and Stockholders’ Equity (Deficit)</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9820" w:type="dxa"/>
            <w:vAlign w:val="bottom"/>
          </w:tcPr>
          <w:p>
            <w:pPr>
              <w:ind w:left="24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9820" w:type="dxa"/>
            <w:vAlign w:val="bottom"/>
          </w:tcPr>
          <w:p>
            <w:pPr>
              <w:ind w:left="80"/>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140"/>
              <w:spacing w:after="0"/>
              <w:rPr>
                <w:sz w:val="20"/>
                <w:szCs w:val="20"/>
                <w:color w:val="auto"/>
              </w:rPr>
            </w:pPr>
            <w:r>
              <w:rPr>
                <w:rFonts w:ascii="Arial" w:cs="Arial" w:eastAsia="Arial" w:hAnsi="Arial"/>
                <w:sz w:val="17"/>
                <w:szCs w:val="17"/>
                <w:color w:val="auto"/>
              </w:rPr>
              <w:t>Item 2.</w:t>
            </w:r>
          </w:p>
        </w:tc>
        <w:tc>
          <w:tcPr>
            <w:tcW w:w="9820" w:type="dxa"/>
            <w:vAlign w:val="bottom"/>
          </w:tcPr>
          <w:p>
            <w:pPr>
              <w:ind w:left="80"/>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140"/>
              <w:spacing w:after="0"/>
              <w:rPr>
                <w:sz w:val="20"/>
                <w:szCs w:val="20"/>
                <w:color w:val="auto"/>
              </w:rPr>
            </w:pPr>
            <w:r>
              <w:rPr>
                <w:rFonts w:ascii="Arial" w:cs="Arial" w:eastAsia="Arial" w:hAnsi="Arial"/>
                <w:sz w:val="17"/>
                <w:szCs w:val="17"/>
                <w:color w:val="auto"/>
              </w:rPr>
              <w:t>Item 3.</w:t>
            </w:r>
          </w:p>
        </w:tc>
        <w:tc>
          <w:tcPr>
            <w:tcW w:w="9820" w:type="dxa"/>
            <w:vAlign w:val="bottom"/>
          </w:tcPr>
          <w:p>
            <w:pPr>
              <w:ind w:left="80"/>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40"/>
              <w:spacing w:after="0"/>
              <w:rPr>
                <w:sz w:val="20"/>
                <w:szCs w:val="20"/>
                <w:color w:val="auto"/>
              </w:rPr>
            </w:pPr>
            <w:r>
              <w:rPr>
                <w:rFonts w:ascii="Arial" w:cs="Arial" w:eastAsia="Arial" w:hAnsi="Arial"/>
                <w:sz w:val="17"/>
                <w:szCs w:val="17"/>
                <w:color w:val="auto"/>
              </w:rPr>
              <w:t>Item 4.</w:t>
            </w:r>
          </w:p>
        </w:tc>
        <w:tc>
          <w:tcPr>
            <w:tcW w:w="9820" w:type="dxa"/>
            <w:vAlign w:val="bottom"/>
          </w:tcPr>
          <w:p>
            <w:pPr>
              <w:ind w:left="8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60" w:type="dxa"/>
            <w:vAlign w:val="bottom"/>
          </w:tcPr>
          <w:p>
            <w:pPr>
              <w:ind w:left="140"/>
              <w:spacing w:after="0"/>
              <w:rPr>
                <w:sz w:val="20"/>
                <w:szCs w:val="20"/>
                <w:color w:val="auto"/>
              </w:rPr>
            </w:pPr>
            <w:r>
              <w:rPr>
                <w:rFonts w:ascii="Arial" w:cs="Arial" w:eastAsia="Arial" w:hAnsi="Arial"/>
                <w:sz w:val="17"/>
                <w:szCs w:val="17"/>
                <w:b w:val="1"/>
                <w:bCs w:val="1"/>
                <w:color w:val="auto"/>
              </w:rPr>
              <w:t>PART II</w:t>
            </w:r>
          </w:p>
        </w:tc>
        <w:tc>
          <w:tcPr>
            <w:tcW w:w="9820" w:type="dxa"/>
            <w:vAlign w:val="bottom"/>
          </w:tcPr>
          <w:p>
            <w:pPr>
              <w:ind w:left="8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Other Information</w:t>
              </w:r>
            </w:hyperlink>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140"/>
              <w:spacing w:after="0"/>
              <w:rPr>
                <w:sz w:val="20"/>
                <w:szCs w:val="20"/>
                <w:color w:val="auto"/>
              </w:rPr>
            </w:pPr>
            <w:r>
              <w:rPr>
                <w:rFonts w:ascii="Arial" w:cs="Arial" w:eastAsia="Arial" w:hAnsi="Arial"/>
                <w:sz w:val="17"/>
                <w:szCs w:val="17"/>
                <w:color w:val="auto"/>
              </w:rPr>
              <w:t>Item 1.</w:t>
            </w:r>
          </w:p>
        </w:tc>
        <w:tc>
          <w:tcPr>
            <w:tcW w:w="9820" w:type="dxa"/>
            <w:vAlign w:val="bottom"/>
          </w:tcPr>
          <w:p>
            <w:pPr>
              <w:ind w:left="8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140"/>
              <w:spacing w:after="0"/>
              <w:rPr>
                <w:sz w:val="20"/>
                <w:szCs w:val="20"/>
                <w:color w:val="auto"/>
              </w:rPr>
            </w:pPr>
            <w:r>
              <w:rPr>
                <w:rFonts w:ascii="Arial" w:cs="Arial" w:eastAsia="Arial" w:hAnsi="Arial"/>
                <w:sz w:val="17"/>
                <w:szCs w:val="17"/>
                <w:color w:val="auto"/>
              </w:rPr>
              <w:t>Item 1A.</w:t>
            </w:r>
          </w:p>
        </w:tc>
        <w:tc>
          <w:tcPr>
            <w:tcW w:w="9820" w:type="dxa"/>
            <w:vAlign w:val="bottom"/>
          </w:tcPr>
          <w:p>
            <w:pPr>
              <w:ind w:left="8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140"/>
              <w:spacing w:after="0"/>
              <w:rPr>
                <w:sz w:val="20"/>
                <w:szCs w:val="20"/>
                <w:color w:val="auto"/>
              </w:rPr>
            </w:pPr>
            <w:r>
              <w:rPr>
                <w:rFonts w:ascii="Arial" w:cs="Arial" w:eastAsia="Arial" w:hAnsi="Arial"/>
                <w:sz w:val="17"/>
                <w:szCs w:val="17"/>
                <w:color w:val="auto"/>
              </w:rPr>
              <w:t>Item 2.</w:t>
            </w:r>
          </w:p>
        </w:tc>
        <w:tc>
          <w:tcPr>
            <w:tcW w:w="9820" w:type="dxa"/>
            <w:vAlign w:val="bottom"/>
          </w:tcPr>
          <w:p>
            <w:pPr>
              <w:ind w:left="80"/>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Unregistered Sales of Equity Security and Uses of Proceeds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140"/>
              <w:spacing w:after="0"/>
              <w:rPr>
                <w:sz w:val="20"/>
                <w:szCs w:val="20"/>
                <w:color w:val="auto"/>
              </w:rPr>
            </w:pPr>
            <w:r>
              <w:rPr>
                <w:rFonts w:ascii="Arial" w:cs="Arial" w:eastAsia="Arial" w:hAnsi="Arial"/>
                <w:sz w:val="17"/>
                <w:szCs w:val="17"/>
                <w:color w:val="auto"/>
              </w:rPr>
              <w:t>Item 6.</w:t>
            </w:r>
          </w:p>
        </w:tc>
        <w:tc>
          <w:tcPr>
            <w:tcW w:w="9820" w:type="dxa"/>
            <w:vAlign w:val="bottom"/>
          </w:tcPr>
          <w:p>
            <w:pPr>
              <w:ind w:left="80"/>
              <w:spacing w:after="0"/>
              <w:rPr>
                <w:rFonts w:ascii="Arial" w:cs="Arial" w:eastAsia="Arial" w:hAnsi="Arial"/>
                <w:sz w:val="17"/>
                <w:szCs w:val="17"/>
                <w:u w:val="single" w:color="auto"/>
                <w:color w:val="0000EE"/>
              </w:rPr>
            </w:pPr>
            <w:hyperlink w:anchor="page85">
              <w:r>
                <w:rPr>
                  <w:rFonts w:ascii="Arial" w:cs="Arial" w:eastAsia="Arial" w:hAnsi="Arial"/>
                  <w:sz w:val="17"/>
                  <w:szCs w:val="17"/>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4"/>
        </w:trPr>
        <w:tc>
          <w:tcPr>
            <w:tcW w:w="86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Beam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Unaudited</w:t>
      </w:r>
      <w:r>
        <w:rPr>
          <w:rFonts w:ascii="Arial" w:cs="Arial" w:eastAsia="Arial" w:hAnsi="Arial"/>
          <w:sz w:val="17"/>
          <w:szCs w:val="17"/>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7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125,301</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37,221</w:t>
            </w:r>
          </w:p>
        </w:tc>
        <w:tc>
          <w:tcPr>
            <w:tcW w:w="0" w:type="dxa"/>
            <w:vAlign w:val="bottom"/>
          </w:tcPr>
          <w:p>
            <w:pPr>
              <w:spacing w:after="0"/>
              <w:rPr>
                <w:sz w:val="1"/>
                <w:szCs w:val="1"/>
                <w:color w:val="auto"/>
              </w:rPr>
            </w:pPr>
          </w:p>
        </w:tc>
      </w:tr>
      <w:tr>
        <w:trPr>
          <w:trHeight w:val="217"/>
        </w:trPr>
        <w:tc>
          <w:tcPr>
            <w:tcW w:w="7740" w:type="dxa"/>
            <w:vAlign w:val="bottom"/>
          </w:tcPr>
          <w:p>
            <w:pPr>
              <w:ind w:left="240"/>
              <w:spacing w:after="0"/>
              <w:rPr>
                <w:sz w:val="20"/>
                <w:szCs w:val="20"/>
                <w:color w:val="auto"/>
              </w:rPr>
            </w:pPr>
            <w:r>
              <w:rPr>
                <w:rFonts w:ascii="Arial" w:cs="Arial" w:eastAsia="Arial" w:hAnsi="Arial"/>
                <w:sz w:val="17"/>
                <w:szCs w:val="17"/>
                <w:color w:val="auto"/>
              </w:rPr>
              <w:t>Marketable securities</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102,649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54,627</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6,879</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2,696</w:t>
            </w:r>
          </w:p>
        </w:tc>
        <w:tc>
          <w:tcPr>
            <w:tcW w:w="0" w:type="dxa"/>
            <w:vAlign w:val="bottom"/>
          </w:tcPr>
          <w:p>
            <w:pPr>
              <w:spacing w:after="0"/>
              <w:rPr>
                <w:sz w:val="1"/>
                <w:szCs w:val="1"/>
                <w:color w:val="auto"/>
              </w:rPr>
            </w:pPr>
          </w:p>
        </w:tc>
      </w:tr>
      <w:tr>
        <w:trPr>
          <w:trHeight w:val="209"/>
        </w:trPr>
        <w:tc>
          <w:tcPr>
            <w:tcW w:w="774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234,829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94,544</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25,739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24,290</w:t>
            </w: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Restricted cash</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13,333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13,332</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22,856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18,957</w:t>
            </w:r>
          </w:p>
        </w:tc>
        <w:tc>
          <w:tcPr>
            <w:tcW w:w="0" w:type="dxa"/>
            <w:vAlign w:val="bottom"/>
          </w:tcPr>
          <w:p>
            <w:pPr>
              <w:spacing w:after="0"/>
              <w:rPr>
                <w:sz w:val="1"/>
                <w:szCs w:val="1"/>
                <w:color w:val="auto"/>
              </w:rPr>
            </w:pPr>
          </w:p>
        </w:tc>
      </w:tr>
      <w:tr>
        <w:trPr>
          <w:trHeight w:val="217"/>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3,218</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4,976</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assets</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299,975</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156,099</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6,154</w:t>
            </w: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7,846</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7,202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7,852</w:t>
            </w:r>
          </w:p>
        </w:tc>
        <w:tc>
          <w:tcPr>
            <w:tcW w:w="0" w:type="dxa"/>
            <w:vAlign w:val="bottom"/>
          </w:tcPr>
          <w:p>
            <w:pPr>
              <w:spacing w:after="0"/>
              <w:rPr>
                <w:sz w:val="1"/>
                <w:szCs w:val="1"/>
                <w:color w:val="auto"/>
              </w:rPr>
            </w:pPr>
          </w:p>
        </w:tc>
      </w:tr>
      <w:tr>
        <w:trPr>
          <w:trHeight w:val="217"/>
        </w:trPr>
        <w:tc>
          <w:tcPr>
            <w:tcW w:w="7740" w:type="dxa"/>
            <w:vAlign w:val="bottom"/>
          </w:tcPr>
          <w:p>
            <w:pPr>
              <w:ind w:left="240"/>
              <w:spacing w:after="0"/>
              <w:rPr>
                <w:sz w:val="20"/>
                <w:szCs w:val="20"/>
                <w:color w:val="auto"/>
              </w:rPr>
            </w:pPr>
            <w:r>
              <w:rPr>
                <w:rFonts w:ascii="Arial" w:cs="Arial" w:eastAsia="Arial" w:hAnsi="Arial"/>
                <w:sz w:val="17"/>
                <w:szCs w:val="17"/>
                <w:color w:val="auto"/>
              </w:rPr>
              <w:t>Derivative liabilities</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19,200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7,800</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portion of lease liability</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4,698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4,337</w:t>
            </w:r>
          </w:p>
        </w:tc>
        <w:tc>
          <w:tcPr>
            <w:tcW w:w="0" w:type="dxa"/>
            <w:vAlign w:val="bottom"/>
          </w:tcPr>
          <w:p>
            <w:pPr>
              <w:spacing w:after="0"/>
              <w:rPr>
                <w:sz w:val="1"/>
                <w:szCs w:val="1"/>
                <w:color w:val="auto"/>
              </w:rPr>
            </w:pPr>
          </w:p>
        </w:tc>
      </w:tr>
      <w:tr>
        <w:trPr>
          <w:trHeight w:val="217"/>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Current portion of equipment financing liability</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1,696</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1,303</w:t>
            </w: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38,950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29,138</w:t>
            </w: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Long-term lease liability</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24,901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21,187</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Long-term equipment financing liability</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4,896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4,411</w:t>
            </w:r>
          </w:p>
        </w:tc>
        <w:tc>
          <w:tcPr>
            <w:tcW w:w="0" w:type="dxa"/>
            <w:vAlign w:val="bottom"/>
          </w:tcPr>
          <w:p>
            <w:pPr>
              <w:spacing w:after="0"/>
              <w:rPr>
                <w:sz w:val="1"/>
                <w:szCs w:val="1"/>
                <w:color w:val="auto"/>
              </w:rPr>
            </w:pPr>
          </w:p>
        </w:tc>
      </w:tr>
      <w:tr>
        <w:trPr>
          <w:trHeight w:val="217"/>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liabilities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406</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11"/>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69,153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55,154</w:t>
            </w: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 xml:space="preserve">Commitments and contingencies (See Note 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Note 8, </w:t>
            </w:r>
            <w:r>
              <w:rPr>
                <w:rFonts w:ascii="Arial" w:cs="Arial" w:eastAsia="Arial" w:hAnsi="Arial"/>
                <w:sz w:val="17"/>
                <w:szCs w:val="17"/>
                <w:i w:val="1"/>
                <w:iCs w:val="1"/>
                <w:color w:val="auto"/>
              </w:rPr>
              <w:t>License agreements</w:t>
            </w: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Redeemable convertible preferred stock</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302,049</w:t>
            </w:r>
          </w:p>
        </w:tc>
        <w:tc>
          <w:tcPr>
            <w:tcW w:w="0" w:type="dxa"/>
            <w:vAlign w:val="bottom"/>
          </w:tcPr>
          <w:p>
            <w:pPr>
              <w:spacing w:after="0"/>
              <w:rPr>
                <w:sz w:val="1"/>
                <w:szCs w:val="1"/>
                <w:color w:val="auto"/>
              </w:rPr>
            </w:pP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2"/>
              </w:rPr>
              <w:t>Preferred stock, $0.01 par value; 25,000,000 and no shares authorized at June 30, 2020 and December 31,</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2019, respectively, and no shares issued or outstanding at June 30, 2020 and December 31, 2019,</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respectively</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740" w:type="dxa"/>
            <w:vAlign w:val="bottom"/>
          </w:tcPr>
          <w:p>
            <w:pPr>
              <w:ind w:left="240"/>
              <w:spacing w:after="0"/>
              <w:rPr>
                <w:sz w:val="20"/>
                <w:szCs w:val="20"/>
                <w:color w:val="auto"/>
              </w:rPr>
            </w:pPr>
            <w:r>
              <w:rPr>
                <w:rFonts w:ascii="Arial" w:cs="Arial" w:eastAsia="Arial" w:hAnsi="Arial"/>
                <w:sz w:val="17"/>
                <w:szCs w:val="17"/>
                <w:color w:val="auto"/>
              </w:rPr>
              <w:t>Common stock, $0.01 par value; 250,000,000 and 205,000,000 shares authorized, 51,525,807 and</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tcPr>
          <w:p>
            <w:pPr>
              <w:ind w:left="240"/>
              <w:spacing w:after="0"/>
              <w:rPr>
                <w:sz w:val="20"/>
                <w:szCs w:val="20"/>
                <w:color w:val="auto"/>
              </w:rPr>
            </w:pPr>
            <w:r>
              <w:rPr>
                <w:rFonts w:ascii="Arial" w:cs="Arial" w:eastAsia="Arial" w:hAnsi="Arial"/>
                <w:sz w:val="17"/>
                <w:szCs w:val="17"/>
                <w:color w:val="auto"/>
                <w:w w:val="95"/>
              </w:rPr>
              <w:t>9,981,991 issued, and 49,645,737 and 7,326,185 outstanding at June 30, 2020 and December 31, 2019,</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respectively</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496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497,873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1,851</w:t>
            </w:r>
          </w:p>
        </w:tc>
        <w:tc>
          <w:tcPr>
            <w:tcW w:w="0" w:type="dxa"/>
            <w:vAlign w:val="bottom"/>
          </w:tcPr>
          <w:p>
            <w:pPr>
              <w:spacing w:after="0"/>
              <w:rPr>
                <w:sz w:val="1"/>
                <w:szCs w:val="1"/>
                <w:color w:val="auto"/>
              </w:rPr>
            </w:pPr>
          </w:p>
        </w:tc>
      </w:tr>
      <w:tr>
        <w:trPr>
          <w:trHeight w:val="217"/>
        </w:trPr>
        <w:tc>
          <w:tcPr>
            <w:tcW w:w="7740" w:type="dxa"/>
            <w:vAlign w:val="bottom"/>
          </w:tcPr>
          <w:p>
            <w:pPr>
              <w:ind w:left="240"/>
              <w:spacing w:after="0"/>
              <w:rPr>
                <w:sz w:val="20"/>
                <w:szCs w:val="20"/>
                <w:color w:val="auto"/>
              </w:rPr>
            </w:pPr>
            <w:r>
              <w:rPr>
                <w:rFonts w:ascii="Arial" w:cs="Arial" w:eastAsia="Arial" w:hAnsi="Arial"/>
                <w:sz w:val="17"/>
                <w:szCs w:val="17"/>
                <w:color w:val="auto"/>
              </w:rPr>
              <w:t>Accumulated other comprehensive income</w:t>
            </w:r>
          </w:p>
        </w:tc>
        <w:tc>
          <w:tcPr>
            <w:tcW w:w="300" w:type="dxa"/>
            <w:vAlign w:val="bottom"/>
          </w:tcPr>
          <w:p>
            <w:pPr>
              <w:spacing w:after="0"/>
              <w:rPr>
                <w:sz w:val="18"/>
                <w:szCs w:val="18"/>
                <w:color w:val="auto"/>
              </w:rPr>
            </w:pPr>
          </w:p>
        </w:tc>
        <w:tc>
          <w:tcPr>
            <w:tcW w:w="1360" w:type="dxa"/>
            <w:vAlign w:val="bottom"/>
          </w:tcPr>
          <w:p>
            <w:pPr>
              <w:jc w:val="right"/>
              <w:ind w:right="36"/>
              <w:spacing w:after="0"/>
              <w:rPr>
                <w:sz w:val="20"/>
                <w:szCs w:val="20"/>
                <w:color w:val="auto"/>
              </w:rPr>
            </w:pPr>
            <w:r>
              <w:rPr>
                <w:rFonts w:ascii="Arial" w:cs="Arial" w:eastAsia="Arial" w:hAnsi="Arial"/>
                <w:sz w:val="17"/>
                <w:szCs w:val="17"/>
                <w:color w:val="auto"/>
              </w:rPr>
              <w:t>173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deficit</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(267,720)</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(203,044)</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stockholders’ equity (deficit)</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230,822</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(201,104)</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liabilities, redeemable convertible preferred stock, and stockholders’ equity (deficit)</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299,975</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156,099</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Beam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Other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Unaudited</w:t>
      </w:r>
      <w:r>
        <w:rPr>
          <w:rFonts w:ascii="Arial" w:cs="Arial" w:eastAsia="Arial" w:hAnsi="Arial"/>
          <w:sz w:val="17"/>
          <w:szCs w:val="17"/>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6"/>
        </w:trPr>
        <w:tc>
          <w:tcPr>
            <w:tcW w:w="59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6"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6"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License revenue</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19,354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12,680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40,903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21,859</w:t>
            </w:r>
          </w:p>
        </w:tc>
        <w:tc>
          <w:tcPr>
            <w:tcW w:w="0" w:type="dxa"/>
            <w:vAlign w:val="bottom"/>
          </w:tcPr>
          <w:p>
            <w:pPr>
              <w:spacing w:after="0"/>
              <w:rPr>
                <w:sz w:val="1"/>
                <w:szCs w:val="1"/>
                <w:color w:val="auto"/>
              </w:rPr>
            </w:pPr>
          </w:p>
        </w:tc>
      </w:tr>
      <w:tr>
        <w:trPr>
          <w:trHeight w:val="217"/>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6,937</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4,977</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13,749</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8,906</w:t>
            </w: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26,291</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17,657</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54,652</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30,765</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(17,651)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(54,640)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(30,759)</w:t>
            </w: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tcPr>
          <w:p>
            <w:pPr>
              <w:ind w:left="240"/>
              <w:spacing w:after="0"/>
              <w:rPr>
                <w:sz w:val="20"/>
                <w:szCs w:val="20"/>
                <w:color w:val="auto"/>
              </w:rPr>
            </w:pPr>
            <w:r>
              <w:rPr>
                <w:rFonts w:ascii="Arial" w:cs="Arial" w:eastAsia="Arial" w:hAnsi="Arial"/>
                <w:sz w:val="17"/>
                <w:szCs w:val="17"/>
                <w:color w:val="auto"/>
              </w:rPr>
              <w:t>Change in fair value of derivative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and other income, net</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767</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790</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1,364</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1,288</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other expense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(7,933)</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(17,861)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(64,676)</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(31,471)</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7"/>
                <w:szCs w:val="17"/>
                <w:color w:val="auto"/>
              </w:rPr>
              <w:t>Unrealized gain on 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tcBorders>
              <w:bottom w:val="single" w:sz="8" w:color="CFF0FC"/>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517</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83</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157</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(33,701)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(17,778)</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(64,519)</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(31,388)</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Reconciliation of net loss to net loss 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(17,861)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(64,676)</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(31,471)</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including dividends on preferred stock</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(3,226)</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(1,277)</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(6,189)</w:t>
            </w: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Net loss attributable to common stockholders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(21,087)</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(65,953)</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(37,660)</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 per common share attributable to common stockholders, basic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960" w:type="dxa"/>
            <w:vAlign w:val="bottom"/>
          </w:tcPr>
          <w:p>
            <w:pPr>
              <w:spacing w:after="0"/>
              <w:rPr>
                <w:sz w:val="20"/>
                <w:szCs w:val="20"/>
                <w:color w:val="auto"/>
              </w:rPr>
            </w:pPr>
            <w:r>
              <w:rPr>
                <w:rFonts w:ascii="Arial" w:cs="Arial" w:eastAsia="Arial" w:hAnsi="Arial"/>
                <w:sz w:val="17"/>
                <w:szCs w:val="17"/>
                <w:color w:val="auto"/>
              </w:rPr>
              <w:t>diluted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(0.69)</w:t>
            </w:r>
          </w:p>
        </w:tc>
        <w:tc>
          <w:tcPr>
            <w:tcW w:w="12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(1.65)</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184"/>
        </w:trPr>
        <w:tc>
          <w:tcPr>
            <w:tcW w:w="5960" w:type="dxa"/>
            <w:vAlign w:val="bottom"/>
            <w:tcBorders>
              <w:top w:val="single" w:sz="8" w:color="CFF0FC"/>
            </w:tcBorders>
            <w:shd w:val="clear" w:color="auto" w:fill="CFF0FC"/>
          </w:tcPr>
          <w:p>
            <w:pPr>
              <w:spacing w:after="0" w:line="184" w:lineRule="exact"/>
              <w:rPr>
                <w:sz w:val="20"/>
                <w:szCs w:val="20"/>
                <w:color w:val="auto"/>
              </w:rPr>
            </w:pPr>
            <w:r>
              <w:rPr>
                <w:rFonts w:ascii="Arial" w:cs="Arial" w:eastAsia="Arial" w:hAnsi="Arial"/>
                <w:sz w:val="17"/>
                <w:szCs w:val="17"/>
                <w:color w:val="auto"/>
              </w:rPr>
              <w:t>Weighted-average common shares used in net loss per share attributable to</w:t>
            </w: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common stockholders,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49,430,138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6,238,798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40,077,788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6,018,364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Beam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Redeemable Convertible Preferred Stock and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Unaudited</w:t>
      </w:r>
      <w:r>
        <w:rPr>
          <w:rFonts w:ascii="Arial" w:cs="Arial" w:eastAsia="Arial" w:hAnsi="Arial"/>
          <w:sz w:val="17"/>
          <w:szCs w:val="17"/>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ectPr>
          <w:pgSz w:w="11900" w:h="16838" w:orient="portrait"/>
          <w:cols w:equalWidth="0" w:num="1">
            <w:col w:w="11240"/>
          </w:cols>
          <w:pgMar w:left="320" w:top="532" w:right="339" w:bottom="1440" w:gutter="0" w:footer="0" w:header="0"/>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1800" w:type="dxa"/>
            <w:vAlign w:val="bottom"/>
            <w:gridSpan w:val="5"/>
          </w:tcPr>
          <w:p>
            <w:pPr>
              <w:jc w:val="right"/>
              <w:ind w:right="212"/>
              <w:spacing w:after="0"/>
              <w:rPr>
                <w:sz w:val="20"/>
                <w:szCs w:val="20"/>
                <w:color w:val="auto"/>
              </w:rPr>
            </w:pPr>
            <w:r>
              <w:rPr>
                <w:rFonts w:ascii="Arial" w:cs="Arial" w:eastAsia="Arial" w:hAnsi="Arial"/>
                <w:sz w:val="13"/>
                <w:szCs w:val="13"/>
                <w:b w:val="1"/>
                <w:bCs w:val="1"/>
                <w:color w:val="auto"/>
                <w:w w:val="98"/>
              </w:rPr>
              <w:t>Redeemable Convertible</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180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46"/>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at December 31, 2018</w:t>
            </w:r>
          </w:p>
        </w:tc>
        <w:tc>
          <w:tcPr>
            <w:tcW w:w="1000" w:type="dxa"/>
            <w:vAlign w:val="bottom"/>
            <w:gridSpan w:val="2"/>
          </w:tcPr>
          <w:p>
            <w:pPr>
              <w:ind w:left="200"/>
              <w:spacing w:after="0" w:line="146"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52"/>
              <w:spacing w:after="0" w:line="146" w:lineRule="exact"/>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41"/>
        </w:trPr>
        <w:tc>
          <w:tcPr>
            <w:tcW w:w="3700" w:type="dxa"/>
            <w:vAlign w:val="bottom"/>
            <w:vMerge w:val="continue"/>
          </w:tcPr>
          <w:p>
            <w:pPr>
              <w:spacing w:after="0"/>
              <w:rPr>
                <w:sz w:val="12"/>
                <w:szCs w:val="12"/>
                <w:color w:val="auto"/>
              </w:rPr>
            </w:pPr>
          </w:p>
        </w:tc>
        <w:tc>
          <w:tcPr>
            <w:tcW w:w="900" w:type="dxa"/>
            <w:vAlign w:val="bottom"/>
            <w:tcBorders>
              <w:top w:val="single" w:sz="8" w:color="auto"/>
            </w:tcBorders>
          </w:tcPr>
          <w:p>
            <w:pPr>
              <w:jc w:val="right"/>
              <w:ind w:right="53"/>
              <w:spacing w:after="0" w:line="141" w:lineRule="exact"/>
              <w:rPr>
                <w:sz w:val="20"/>
                <w:szCs w:val="20"/>
                <w:color w:val="auto"/>
              </w:rPr>
            </w:pPr>
            <w:r>
              <w:rPr>
                <w:rFonts w:ascii="Arial" w:cs="Arial" w:eastAsia="Arial" w:hAnsi="Arial"/>
                <w:sz w:val="14"/>
                <w:szCs w:val="14"/>
                <w:color w:val="auto"/>
                <w:w w:val="97"/>
              </w:rPr>
              <w:t>119,308,387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32"/>
              <w:spacing w:after="0" w:line="141" w:lineRule="exact"/>
              <w:rPr>
                <w:sz w:val="20"/>
                <w:szCs w:val="20"/>
                <w:color w:val="auto"/>
              </w:rPr>
            </w:pPr>
            <w:r>
              <w:rPr>
                <w:rFonts w:ascii="Arial" w:cs="Arial" w:eastAsia="Arial" w:hAnsi="Arial"/>
                <w:sz w:val="14"/>
                <w:szCs w:val="14"/>
                <w:color w:val="auto"/>
              </w:rPr>
              <w:t>251,434</w:t>
            </w:r>
          </w:p>
        </w:tc>
        <w:tc>
          <w:tcPr>
            <w:tcW w:w="0" w:type="dxa"/>
            <w:vAlign w:val="bottom"/>
          </w:tcPr>
          <w:p>
            <w:pPr>
              <w:spacing w:after="0"/>
              <w:rPr>
                <w:sz w:val="1"/>
                <w:szCs w:val="1"/>
                <w:color w:val="auto"/>
              </w:rPr>
            </w:pPr>
          </w:p>
        </w:tc>
      </w:tr>
      <w:tr>
        <w:trPr>
          <w:trHeight w:val="141"/>
        </w:trPr>
        <w:tc>
          <w:tcPr>
            <w:tcW w:w="3700" w:type="dxa"/>
            <w:vAlign w:val="bottom"/>
          </w:tcPr>
          <w:p>
            <w:pPr>
              <w:ind w:left="240"/>
              <w:spacing w:after="0" w:line="141" w:lineRule="exact"/>
              <w:rPr>
                <w:sz w:val="20"/>
                <w:szCs w:val="20"/>
                <w:color w:val="auto"/>
              </w:rPr>
            </w:pPr>
            <w:r>
              <w:rPr>
                <w:rFonts w:ascii="Arial" w:cs="Arial" w:eastAsia="Arial" w:hAnsi="Arial"/>
                <w:sz w:val="14"/>
                <w:szCs w:val="14"/>
                <w:color w:val="auto"/>
                <w:w w:val="90"/>
              </w:rPr>
              <w:t>Issuance of Series B redeemable convertible preferred stock,</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net of issuance costs of $0.1 million</w:t>
            </w:r>
          </w:p>
        </w:tc>
        <w:tc>
          <w:tcPr>
            <w:tcW w:w="900" w:type="dxa"/>
            <w:vAlign w:val="bottom"/>
          </w:tcPr>
          <w:p>
            <w:pPr>
              <w:jc w:val="right"/>
              <w:ind w:right="53"/>
              <w:spacing w:after="0" w:line="153" w:lineRule="exact"/>
              <w:rPr>
                <w:sz w:val="20"/>
                <w:szCs w:val="20"/>
                <w:color w:val="auto"/>
              </w:rPr>
            </w:pPr>
            <w:r>
              <w:rPr>
                <w:rFonts w:ascii="Arial" w:cs="Arial" w:eastAsia="Arial" w:hAnsi="Arial"/>
                <w:sz w:val="14"/>
                <w:szCs w:val="14"/>
                <w:color w:val="auto"/>
              </w:rPr>
              <w:t>11,308,397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37,901</w:t>
            </w:r>
          </w:p>
        </w:tc>
        <w:tc>
          <w:tcPr>
            <w:tcW w:w="0" w:type="dxa"/>
            <w:vAlign w:val="bottom"/>
          </w:tcPr>
          <w:p>
            <w:pPr>
              <w:spacing w:after="0"/>
              <w:rPr>
                <w:sz w:val="1"/>
                <w:szCs w:val="1"/>
                <w:color w:val="auto"/>
              </w:rPr>
            </w:pPr>
          </w:p>
        </w:tc>
      </w:tr>
      <w:tr>
        <w:trPr>
          <w:trHeight w:val="141"/>
        </w:trPr>
        <w:tc>
          <w:tcPr>
            <w:tcW w:w="3700" w:type="dxa"/>
            <w:vAlign w:val="bottom"/>
          </w:tcPr>
          <w:p>
            <w:pPr>
              <w:ind w:left="240"/>
              <w:spacing w:after="0" w:line="141" w:lineRule="exact"/>
              <w:rPr>
                <w:sz w:val="20"/>
                <w:szCs w:val="20"/>
                <w:color w:val="auto"/>
              </w:rPr>
            </w:pPr>
            <w:r>
              <w:rPr>
                <w:rFonts w:ascii="Arial" w:cs="Arial" w:eastAsia="Arial" w:hAnsi="Arial"/>
                <w:sz w:val="14"/>
                <w:szCs w:val="14"/>
                <w:color w:val="auto"/>
              </w:rPr>
              <w:t>Accretion of redeemable convertible preferred stock to</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redemption value</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2,963</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Vesting of restricted common stock</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w w:val="99"/>
              </w:rPr>
              <w:t>Issuance of common stock related to license agreement</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Exercise of common stock options</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700" w:type="dxa"/>
            <w:vAlign w:val="bottom"/>
          </w:tcPr>
          <w:p>
            <w:pPr>
              <w:ind w:left="240"/>
              <w:spacing w:after="0" w:line="159" w:lineRule="exact"/>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700" w:type="dxa"/>
            <w:vAlign w:val="bottom"/>
          </w:tcPr>
          <w:p>
            <w:pPr>
              <w:spacing w:after="0" w:line="146" w:lineRule="exact"/>
              <w:rPr>
                <w:sz w:val="20"/>
                <w:szCs w:val="20"/>
                <w:color w:val="auto"/>
              </w:rPr>
            </w:pPr>
            <w:r>
              <w:rPr>
                <w:rFonts w:ascii="Arial" w:cs="Arial" w:eastAsia="Arial" w:hAnsi="Arial"/>
                <w:sz w:val="14"/>
                <w:szCs w:val="14"/>
                <w:color w:val="auto"/>
              </w:rPr>
              <w:t>Balance at March 31, 2019</w:t>
            </w:r>
          </w:p>
        </w:tc>
        <w:tc>
          <w:tcPr>
            <w:tcW w:w="900" w:type="dxa"/>
            <w:vAlign w:val="bottom"/>
            <w:tcBorders>
              <w:top w:val="single" w:sz="8" w:color="auto"/>
              <w:bottom w:val="single" w:sz="8" w:color="auto"/>
            </w:tcBorders>
          </w:tcPr>
          <w:p>
            <w:pPr>
              <w:jc w:val="right"/>
              <w:ind w:right="53"/>
              <w:spacing w:after="0" w:line="146" w:lineRule="exact"/>
              <w:rPr>
                <w:sz w:val="20"/>
                <w:szCs w:val="20"/>
                <w:color w:val="auto"/>
              </w:rPr>
            </w:pPr>
            <w:r>
              <w:rPr>
                <w:rFonts w:ascii="Arial" w:cs="Arial" w:eastAsia="Arial" w:hAnsi="Arial"/>
                <w:sz w:val="14"/>
                <w:szCs w:val="14"/>
                <w:color w:val="auto"/>
                <w:w w:val="97"/>
              </w:rPr>
              <w:t>130,616,784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292,298</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40"/>
              <w:spacing w:after="0" w:line="153" w:lineRule="exact"/>
              <w:rPr>
                <w:sz w:val="20"/>
                <w:szCs w:val="20"/>
                <w:color w:val="auto"/>
              </w:rPr>
            </w:pPr>
            <w:r>
              <w:rPr>
                <w:rFonts w:ascii="Arial" w:cs="Arial" w:eastAsia="Arial" w:hAnsi="Arial"/>
                <w:sz w:val="14"/>
                <w:szCs w:val="14"/>
                <w:color w:val="auto"/>
              </w:rPr>
              <w:t>Accretion of redeemable convertible preferred stock to</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redemption value</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Vesting of restricted common stock</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Exercise of common stock options</w:t>
            </w: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240"/>
              <w:spacing w:after="0" w:line="153" w:lineRule="exact"/>
              <w:rPr>
                <w:sz w:val="20"/>
                <w:szCs w:val="20"/>
                <w:color w:val="auto"/>
              </w:rPr>
            </w:pPr>
            <w:r>
              <w:rPr>
                <w:rFonts w:ascii="Arial" w:cs="Arial" w:eastAsia="Arial" w:hAnsi="Arial"/>
                <w:sz w:val="14"/>
                <w:szCs w:val="14"/>
                <w:color w:val="auto"/>
              </w:rPr>
              <w:t>Other comprehensive income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240"/>
              <w:spacing w:after="0" w:line="159" w:lineRule="exact"/>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700" w:type="dxa"/>
            <w:vAlign w:val="bottom"/>
          </w:tcPr>
          <w:p>
            <w:pPr>
              <w:spacing w:after="0" w:line="146" w:lineRule="exact"/>
              <w:rPr>
                <w:sz w:val="20"/>
                <w:szCs w:val="20"/>
                <w:color w:val="auto"/>
              </w:rPr>
            </w:pPr>
            <w:r>
              <w:rPr>
                <w:rFonts w:ascii="Arial" w:cs="Arial" w:eastAsia="Arial" w:hAnsi="Arial"/>
                <w:sz w:val="14"/>
                <w:szCs w:val="14"/>
                <w:color w:val="auto"/>
              </w:rPr>
              <w:t>Balance at June 30, 2019</w:t>
            </w:r>
          </w:p>
        </w:tc>
        <w:tc>
          <w:tcPr>
            <w:tcW w:w="900" w:type="dxa"/>
            <w:vAlign w:val="bottom"/>
            <w:tcBorders>
              <w:top w:val="single" w:sz="8" w:color="auto"/>
              <w:bottom w:val="single" w:sz="8" w:color="auto"/>
            </w:tcBorders>
          </w:tcPr>
          <w:p>
            <w:pPr>
              <w:jc w:val="right"/>
              <w:ind w:right="53"/>
              <w:spacing w:after="0" w:line="146" w:lineRule="exact"/>
              <w:rPr>
                <w:sz w:val="20"/>
                <w:szCs w:val="20"/>
                <w:color w:val="auto"/>
              </w:rPr>
            </w:pPr>
            <w:r>
              <w:rPr>
                <w:rFonts w:ascii="Arial" w:cs="Arial" w:eastAsia="Arial" w:hAnsi="Arial"/>
                <w:sz w:val="14"/>
                <w:szCs w:val="14"/>
                <w:color w:val="auto"/>
                <w:w w:val="97"/>
              </w:rPr>
              <w:t>130,616,784</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295,524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1"/>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12"/>
              <w:spacing w:after="0" w:line="141"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32"/>
              <w:spacing w:after="0" w:line="141" w:lineRule="exact"/>
              <w:rPr>
                <w:sz w:val="20"/>
                <w:szCs w:val="20"/>
                <w:color w:val="auto"/>
              </w:rPr>
            </w:pPr>
            <w:r>
              <w:rPr>
                <w:rFonts w:ascii="Arial" w:cs="Arial" w:eastAsia="Arial" w:hAnsi="Arial"/>
                <w:sz w:val="13"/>
                <w:szCs w:val="13"/>
                <w:b w:val="1"/>
                <w:bCs w:val="1"/>
                <w:color w:val="auto"/>
              </w:rPr>
              <w:t>Total</w:t>
            </w:r>
          </w:p>
        </w:tc>
      </w:tr>
      <w:tr>
        <w:trPr>
          <w:trHeight w:val="153"/>
        </w:trPr>
        <w:tc>
          <w:tcPr>
            <w:tcW w:w="180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00" w:type="dxa"/>
            <w:vAlign w:val="bottom"/>
          </w:tcPr>
          <w:p>
            <w:pPr>
              <w:jc w:val="right"/>
              <w:ind w:right="192"/>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4"/>
              </w:rPr>
              <w:t>Comprehensive</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3"/>
              </w:rPr>
              <w:t>Stockholders’</w:t>
            </w:r>
          </w:p>
        </w:tc>
      </w:tr>
      <w:tr>
        <w:trPr>
          <w:trHeight w:val="146"/>
        </w:trPr>
        <w:tc>
          <w:tcPr>
            <w:tcW w:w="900" w:type="dxa"/>
            <w:vAlign w:val="bottom"/>
            <w:tcBorders>
              <w:top w:val="single" w:sz="8" w:color="auto"/>
            </w:tcBorders>
            <w:gridSpan w:val="2"/>
          </w:tcPr>
          <w:p>
            <w:pPr>
              <w:ind w:left="160"/>
              <w:spacing w:after="0" w:line="146"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2"/>
              <w:spacing w:after="0" w:line="146"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6"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2"/>
                <w:szCs w:val="12"/>
                <w:color w:val="auto"/>
              </w:rPr>
            </w:pPr>
          </w:p>
        </w:tc>
        <w:tc>
          <w:tcPr>
            <w:tcW w:w="1060" w:type="dxa"/>
            <w:vAlign w:val="bottom"/>
            <w:gridSpan w:val="3"/>
          </w:tcPr>
          <w:p>
            <w:pPr>
              <w:ind w:left="40"/>
              <w:spacing w:after="0" w:line="146" w:lineRule="exact"/>
              <w:rPr>
                <w:sz w:val="20"/>
                <w:szCs w:val="20"/>
                <w:color w:val="auto"/>
              </w:rPr>
            </w:pPr>
            <w:r>
              <w:rPr>
                <w:rFonts w:ascii="Arial" w:cs="Arial" w:eastAsia="Arial" w:hAnsi="Arial"/>
                <w:sz w:val="13"/>
                <w:szCs w:val="13"/>
                <w:b w:val="1"/>
                <w:bCs w:val="1"/>
                <w:color w:val="auto"/>
              </w:rPr>
              <w:t>(Loss) Income</w:t>
            </w:r>
          </w:p>
        </w:tc>
        <w:tc>
          <w:tcPr>
            <w:tcW w:w="120" w:type="dxa"/>
            <w:vAlign w:val="bottom"/>
          </w:tcPr>
          <w:p>
            <w:pPr>
              <w:spacing w:after="0"/>
              <w:rPr>
                <w:sz w:val="12"/>
                <w:szCs w:val="12"/>
                <w:color w:val="auto"/>
              </w:rPr>
            </w:pPr>
          </w:p>
        </w:tc>
        <w:tc>
          <w:tcPr>
            <w:tcW w:w="80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92"/>
              <w:spacing w:after="0" w:line="146" w:lineRule="exact"/>
              <w:rPr>
                <w:sz w:val="20"/>
                <w:szCs w:val="20"/>
                <w:color w:val="auto"/>
              </w:rPr>
            </w:pPr>
            <w:r>
              <w:rPr>
                <w:rFonts w:ascii="Arial" w:cs="Arial" w:eastAsia="Arial" w:hAnsi="Arial"/>
                <w:sz w:val="13"/>
                <w:szCs w:val="13"/>
                <w:b w:val="1"/>
                <w:bCs w:val="1"/>
                <w:color w:val="auto"/>
              </w:rPr>
              <w:t>Deficit</w:t>
            </w:r>
          </w:p>
        </w:tc>
      </w:tr>
      <w:tr>
        <w:trPr>
          <w:trHeight w:val="166"/>
        </w:trPr>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5,565,368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7,256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(117,406)</w:t>
            </w:r>
          </w:p>
        </w:tc>
      </w:tr>
      <w:tr>
        <w:trPr>
          <w:trHeight w:val="288"/>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74"/>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(2,963)</w:t>
            </w:r>
          </w:p>
        </w:tc>
      </w:tr>
      <w:tr>
        <w:trPr>
          <w:trHeight w:val="153"/>
        </w:trPr>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388,562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3"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16,725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113</w:t>
            </w:r>
          </w:p>
        </w:tc>
      </w:tr>
      <w:tr>
        <w:trPr>
          <w:trHeight w:val="153"/>
        </w:trPr>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869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869</w:t>
            </w:r>
          </w:p>
        </w:tc>
      </w:tr>
      <w:tr>
        <w:trPr>
          <w:trHeight w:val="153"/>
        </w:trPr>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12,502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7</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(13,610)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(13,610)</w:t>
            </w:r>
          </w:p>
        </w:tc>
      </w:tr>
      <w:tr>
        <w:trPr>
          <w:trHeight w:val="146"/>
        </w:trPr>
        <w:tc>
          <w:tcPr>
            <w:tcW w:w="8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5,983,157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5,278</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(138,328)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(132,990)</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7"/>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(3,226)</w:t>
            </w:r>
          </w:p>
        </w:tc>
      </w:tr>
      <w:tr>
        <w:trPr>
          <w:trHeight w:val="153"/>
        </w:trPr>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393,440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3"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w:t>
            </w:r>
          </w:p>
        </w:tc>
      </w:tr>
      <w:tr>
        <w:trPr>
          <w:trHeight w:val="153"/>
        </w:trPr>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2,073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2,073</w:t>
            </w:r>
          </w:p>
        </w:tc>
      </w:tr>
      <w:tr>
        <w:trPr>
          <w:trHeight w:val="153"/>
        </w:trPr>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57,496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48</w:t>
            </w:r>
          </w:p>
        </w:tc>
      </w:tr>
      <w:tr>
        <w:trPr>
          <w:trHeight w:val="153"/>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2"/>
              <w:spacing w:after="0" w:line="153" w:lineRule="exact"/>
              <w:rPr>
                <w:sz w:val="20"/>
                <w:szCs w:val="20"/>
                <w:color w:val="auto"/>
              </w:rPr>
            </w:pPr>
            <w:r>
              <w:rPr>
                <w:rFonts w:ascii="Arial" w:cs="Arial" w:eastAsia="Arial" w:hAnsi="Arial"/>
                <w:sz w:val="14"/>
                <w:szCs w:val="14"/>
                <w:color w:val="auto"/>
              </w:rPr>
              <w:t>83</w:t>
            </w:r>
          </w:p>
        </w:tc>
      </w:tr>
      <w:tr>
        <w:trPr>
          <w:trHeight w:val="159"/>
        </w:trPr>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(17,861)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(17,861)</w:t>
            </w:r>
          </w:p>
        </w:tc>
      </w:tr>
      <w:tr>
        <w:trPr>
          <w:trHeight w:val="146"/>
        </w:trPr>
        <w:tc>
          <w:tcPr>
            <w:tcW w:w="8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6,434,093</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4,168</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(156,189)</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(151,873)</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-2279015</wp:posOffset>
            </wp:positionV>
            <wp:extent cx="7139940" cy="2279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227965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5500" w:space="220"/>
            <w:col w:w="5520"/>
          </w:cols>
          <w:pgMar w:left="320" w:top="532"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15581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Beam 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Equity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Unaudited</w:t>
      </w:r>
      <w:r>
        <w:rPr>
          <w:rFonts w:ascii="Arial" w:cs="Arial" w:eastAsia="Arial" w:hAnsi="Arial"/>
          <w:sz w:val="17"/>
          <w:szCs w:val="17"/>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52"/>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153"/>
              <w:spacing w:after="0"/>
              <w:rPr>
                <w:sz w:val="20"/>
                <w:szCs w:val="20"/>
                <w:color w:val="auto"/>
              </w:rPr>
            </w:pPr>
            <w:r>
              <w:rPr>
                <w:rFonts w:ascii="Arial" w:cs="Arial" w:eastAsia="Arial" w:hAnsi="Arial"/>
                <w:sz w:val="13"/>
                <w:szCs w:val="13"/>
                <w:b w:val="1"/>
                <w:bCs w:val="1"/>
                <w:color w:val="auto"/>
                <w:w w:val="89"/>
              </w:rPr>
              <w:t>Total</w:t>
            </w:r>
          </w:p>
        </w:tc>
      </w:tr>
      <w:tr>
        <w:trPr>
          <w:trHeight w:val="141"/>
        </w:trPr>
        <w:tc>
          <w:tcPr>
            <w:tcW w:w="3680" w:type="dxa"/>
            <w:vAlign w:val="bottom"/>
          </w:tcPr>
          <w:p>
            <w:pPr>
              <w:spacing w:after="0"/>
              <w:rPr>
                <w:sz w:val="12"/>
                <w:szCs w:val="12"/>
                <w:color w:val="auto"/>
              </w:rPr>
            </w:pPr>
          </w:p>
        </w:tc>
        <w:tc>
          <w:tcPr>
            <w:tcW w:w="1920" w:type="dxa"/>
            <w:vAlign w:val="bottom"/>
            <w:tcBorders>
              <w:right w:val="single" w:sz="8" w:color="auto"/>
            </w:tcBorders>
            <w:gridSpan w:val="4"/>
          </w:tcPr>
          <w:p>
            <w:pPr>
              <w:jc w:val="right"/>
              <w:ind w:right="312"/>
              <w:spacing w:after="0" w:line="141" w:lineRule="exact"/>
              <w:rPr>
                <w:sz w:val="20"/>
                <w:szCs w:val="20"/>
                <w:color w:val="auto"/>
              </w:rPr>
            </w:pPr>
            <w:r>
              <w:rPr>
                <w:rFonts w:ascii="Arial" w:cs="Arial" w:eastAsia="Arial" w:hAnsi="Arial"/>
                <w:sz w:val="13"/>
                <w:szCs w:val="13"/>
                <w:b w:val="1"/>
                <w:bCs w:val="1"/>
                <w:color w:val="auto"/>
              </w:rPr>
              <w:t>Redeemable Convertible</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800" w:type="dxa"/>
            <w:vAlign w:val="bottom"/>
          </w:tcPr>
          <w:p>
            <w:pPr>
              <w:jc w:val="center"/>
              <w:ind w:right="212"/>
              <w:spacing w:after="0" w:line="141"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97"/>
              </w:rPr>
              <w:t>Stockholders’</w:t>
            </w:r>
          </w:p>
        </w:tc>
      </w:tr>
      <w:tr>
        <w:trPr>
          <w:trHeight w:val="153"/>
        </w:trPr>
        <w:tc>
          <w:tcPr>
            <w:tcW w:w="3680" w:type="dxa"/>
            <w:vAlign w:val="bottom"/>
          </w:tcPr>
          <w:p>
            <w:pPr>
              <w:spacing w:after="0"/>
              <w:rPr>
                <w:sz w:val="13"/>
                <w:szCs w:val="13"/>
                <w:color w:val="auto"/>
              </w:rPr>
            </w:pPr>
          </w:p>
        </w:tc>
        <w:tc>
          <w:tcPr>
            <w:tcW w:w="1920" w:type="dxa"/>
            <w:vAlign w:val="bottom"/>
            <w:tcBorders>
              <w:right w:val="single" w:sz="8" w:color="auto"/>
            </w:tcBorders>
            <w:gridSpan w:val="4"/>
          </w:tcPr>
          <w:p>
            <w:pPr>
              <w:jc w:val="right"/>
              <w:ind w:right="552"/>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3"/>
                <w:szCs w:val="13"/>
                <w:color w:val="auto"/>
              </w:rPr>
            </w:pPr>
          </w:p>
        </w:tc>
        <w:tc>
          <w:tcPr>
            <w:tcW w:w="1740" w:type="dxa"/>
            <w:vAlign w:val="bottom"/>
            <w:gridSpan w:val="4"/>
          </w:tcPr>
          <w:p>
            <w:pPr>
              <w:jc w:val="right"/>
              <w:ind w:right="432"/>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Paid-in</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740" w:type="dxa"/>
            <w:vAlign w:val="bottom"/>
          </w:tcPr>
          <w:p>
            <w:pPr>
              <w:jc w:val="center"/>
              <w:ind w:right="153"/>
              <w:spacing w:after="0"/>
              <w:rPr>
                <w:sz w:val="20"/>
                <w:szCs w:val="20"/>
                <w:color w:val="auto"/>
              </w:rPr>
            </w:pPr>
            <w:r>
              <w:rPr>
                <w:rFonts w:ascii="Arial" w:cs="Arial" w:eastAsia="Arial" w:hAnsi="Arial"/>
                <w:sz w:val="13"/>
                <w:szCs w:val="13"/>
                <w:b w:val="1"/>
                <w:bCs w:val="1"/>
                <w:color w:val="auto"/>
                <w:w w:val="90"/>
              </w:rPr>
              <w:t>(Deficit)</w:t>
            </w:r>
          </w:p>
        </w:tc>
      </w:tr>
      <w:tr>
        <w:trPr>
          <w:trHeight w:val="146"/>
        </w:trPr>
        <w:tc>
          <w:tcPr>
            <w:tcW w:w="3680" w:type="dxa"/>
            <w:vAlign w:val="bottom"/>
          </w:tcPr>
          <w:p>
            <w:pPr>
              <w:spacing w:after="0"/>
              <w:rPr>
                <w:sz w:val="12"/>
                <w:szCs w:val="12"/>
                <w:color w:val="auto"/>
              </w:rPr>
            </w:pPr>
          </w:p>
        </w:tc>
        <w:tc>
          <w:tcPr>
            <w:tcW w:w="940" w:type="dxa"/>
            <w:vAlign w:val="bottom"/>
            <w:tcBorders>
              <w:top w:val="single" w:sz="8" w:color="auto"/>
            </w:tcBorders>
          </w:tcPr>
          <w:p>
            <w:pPr>
              <w:jc w:val="right"/>
              <w:ind w:right="273"/>
              <w:spacing w:after="0" w:line="146"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right"/>
              <w:ind w:right="232"/>
              <w:spacing w:after="0" w:line="146" w:lineRule="exact"/>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2"/>
                <w:szCs w:val="12"/>
                <w:color w:val="auto"/>
              </w:rPr>
            </w:pPr>
          </w:p>
        </w:tc>
        <w:tc>
          <w:tcPr>
            <w:tcW w:w="840" w:type="dxa"/>
            <w:vAlign w:val="bottom"/>
            <w:tcBorders>
              <w:top w:val="single" w:sz="8" w:color="auto"/>
            </w:tcBorders>
          </w:tcPr>
          <w:p>
            <w:pPr>
              <w:jc w:val="right"/>
              <w:ind w:right="212"/>
              <w:spacing w:after="0" w:line="146"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2"/>
              <w:spacing w:after="0" w:line="146"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2"/>
              </w:rPr>
              <w:t>Capital</w:t>
            </w:r>
          </w:p>
        </w:tc>
        <w:tc>
          <w:tcPr>
            <w:tcW w:w="960" w:type="dxa"/>
            <w:vAlign w:val="bottom"/>
            <w:gridSpan w:val="2"/>
          </w:tcPr>
          <w:p>
            <w:pPr>
              <w:jc w:val="center"/>
              <w:ind w:right="52"/>
              <w:spacing w:after="0" w:line="146" w:lineRule="exact"/>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740" w:type="dxa"/>
            <w:vAlign w:val="bottom"/>
          </w:tcPr>
          <w:p>
            <w:pPr>
              <w:jc w:val="center"/>
              <w:ind w:right="153"/>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46"/>
        </w:trPr>
        <w:tc>
          <w:tcPr>
            <w:tcW w:w="3680" w:type="dxa"/>
            <w:vAlign w:val="bottom"/>
            <w:tcBorders>
              <w:top w:val="single" w:sz="8" w:color="CFF0FC"/>
            </w:tcBorders>
            <w:shd w:val="clear" w:color="auto" w:fill="CFF0FC"/>
          </w:tcPr>
          <w:p>
            <w:pPr>
              <w:spacing w:after="0" w:line="146" w:lineRule="exact"/>
              <w:rPr>
                <w:sz w:val="20"/>
                <w:szCs w:val="20"/>
                <w:color w:val="auto"/>
              </w:rPr>
            </w:pPr>
            <w:r>
              <w:rPr>
                <w:rFonts w:ascii="Arial" w:cs="Arial" w:eastAsia="Arial" w:hAnsi="Arial"/>
                <w:sz w:val="14"/>
                <w:szCs w:val="14"/>
                <w:color w:val="auto"/>
              </w:rPr>
              <w:t>Balance at December 31, 2019</w:t>
            </w:r>
          </w:p>
        </w:tc>
        <w:tc>
          <w:tcPr>
            <w:tcW w:w="940" w:type="dxa"/>
            <w:vAlign w:val="bottom"/>
            <w:tcBorders>
              <w:top w:val="single" w:sz="8" w:color="auto"/>
            </w:tcBorders>
            <w:shd w:val="clear" w:color="auto" w:fill="CFF0FC"/>
          </w:tcPr>
          <w:p>
            <w:pPr>
              <w:jc w:val="right"/>
              <w:ind w:right="33"/>
              <w:spacing w:after="0" w:line="146" w:lineRule="exact"/>
              <w:rPr>
                <w:sz w:val="20"/>
                <w:szCs w:val="20"/>
                <w:color w:val="auto"/>
              </w:rPr>
            </w:pPr>
            <w:r>
              <w:rPr>
                <w:rFonts w:ascii="Arial" w:cs="Arial" w:eastAsia="Arial" w:hAnsi="Arial"/>
                <w:sz w:val="14"/>
                <w:szCs w:val="14"/>
                <w:color w:val="auto"/>
              </w:rPr>
              <w:t>130,616,784</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right w:val="single" w:sz="8" w:color="auto"/>
            </w:tcBorders>
            <w:shd w:val="clear" w:color="auto" w:fill="CFF0FC"/>
          </w:tcPr>
          <w:p>
            <w:pPr>
              <w:jc w:val="right"/>
              <w:ind w:right="112"/>
              <w:spacing w:after="0" w:line="146" w:lineRule="exact"/>
              <w:rPr>
                <w:sz w:val="20"/>
                <w:szCs w:val="20"/>
                <w:color w:val="auto"/>
              </w:rPr>
            </w:pPr>
            <w:r>
              <w:rPr>
                <w:rFonts w:ascii="Arial" w:cs="Arial" w:eastAsia="Arial" w:hAnsi="Arial"/>
                <w:sz w:val="14"/>
                <w:szCs w:val="14"/>
                <w:color w:val="auto"/>
              </w:rPr>
              <w:t>302,049</w:t>
            </w:r>
          </w:p>
        </w:tc>
        <w:tc>
          <w:tcPr>
            <w:tcW w:w="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ind w:right="52"/>
              <w:spacing w:after="0" w:line="146" w:lineRule="exact"/>
              <w:rPr>
                <w:sz w:val="20"/>
                <w:szCs w:val="20"/>
                <w:color w:val="auto"/>
              </w:rPr>
            </w:pPr>
            <w:r>
              <w:rPr>
                <w:rFonts w:ascii="Arial" w:cs="Arial" w:eastAsia="Arial" w:hAnsi="Arial"/>
                <w:sz w:val="14"/>
                <w:szCs w:val="14"/>
                <w:color w:val="auto"/>
              </w:rPr>
              <w:t>7,326,185</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ind w:right="32"/>
              <w:spacing w:after="0" w:line="146" w:lineRule="exact"/>
              <w:rPr>
                <w:sz w:val="20"/>
                <w:szCs w:val="20"/>
                <w:color w:val="auto"/>
              </w:rPr>
            </w:pPr>
            <w:r>
              <w:rPr>
                <w:rFonts w:ascii="Arial" w:cs="Arial" w:eastAsia="Arial" w:hAnsi="Arial"/>
                <w:sz w:val="14"/>
                <w:szCs w:val="14"/>
                <w:color w:val="auto"/>
              </w:rPr>
              <w:t>73</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ind w:right="52"/>
              <w:spacing w:after="0" w:line="146" w:lineRule="exact"/>
              <w:rPr>
                <w:sz w:val="20"/>
                <w:szCs w:val="20"/>
                <w:color w:val="auto"/>
              </w:rPr>
            </w:pPr>
            <w:r>
              <w:rPr>
                <w:rFonts w:ascii="Arial" w:cs="Arial" w:eastAsia="Arial" w:hAnsi="Arial"/>
                <w:sz w:val="14"/>
                <w:szCs w:val="14"/>
                <w:color w:val="auto"/>
              </w:rPr>
              <w:t>1,851</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ind w:right="52"/>
              <w:spacing w:after="0" w:line="146" w:lineRule="exact"/>
              <w:rPr>
                <w:sz w:val="20"/>
                <w:szCs w:val="20"/>
                <w:color w:val="auto"/>
              </w:rPr>
            </w:pPr>
            <w:r>
              <w:rPr>
                <w:rFonts w:ascii="Arial" w:cs="Arial" w:eastAsia="Arial" w:hAnsi="Arial"/>
                <w:sz w:val="14"/>
                <w:szCs w:val="14"/>
                <w:color w:val="auto"/>
              </w:rPr>
              <w:t>16</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4"/>
                <w:szCs w:val="14"/>
                <w:color w:val="auto"/>
              </w:rPr>
              <w:t>(203,044)</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46" w:lineRule="exact"/>
              <w:rPr>
                <w:sz w:val="20"/>
                <w:szCs w:val="20"/>
                <w:color w:val="auto"/>
              </w:rPr>
            </w:pPr>
            <w:r>
              <w:rPr>
                <w:rFonts w:ascii="Arial" w:cs="Arial" w:eastAsia="Arial" w:hAnsi="Arial"/>
                <w:sz w:val="14"/>
                <w:szCs w:val="14"/>
                <w:color w:val="auto"/>
              </w:rPr>
              <w:t>(201,104)</w:t>
            </w:r>
          </w:p>
        </w:tc>
      </w:tr>
      <w:tr>
        <w:trPr>
          <w:trHeight w:val="135"/>
        </w:trPr>
        <w:tc>
          <w:tcPr>
            <w:tcW w:w="3680" w:type="dxa"/>
            <w:vAlign w:val="bottom"/>
          </w:tcPr>
          <w:p>
            <w:pPr>
              <w:ind w:left="240"/>
              <w:spacing w:after="0" w:line="135" w:lineRule="exact"/>
              <w:rPr>
                <w:sz w:val="20"/>
                <w:szCs w:val="20"/>
                <w:color w:val="auto"/>
              </w:rPr>
            </w:pPr>
            <w:r>
              <w:rPr>
                <w:rFonts w:ascii="Arial" w:cs="Arial" w:eastAsia="Arial" w:hAnsi="Arial"/>
                <w:sz w:val="14"/>
                <w:szCs w:val="14"/>
                <w:color w:val="auto"/>
              </w:rPr>
              <w:t>Accretion of redeemable convertible preferred stock to</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3680" w:type="dxa"/>
            <w:vAlign w:val="bottom"/>
          </w:tcPr>
          <w:p>
            <w:pPr>
              <w:ind w:left="240"/>
              <w:spacing w:after="0" w:line="159" w:lineRule="exact"/>
              <w:rPr>
                <w:sz w:val="20"/>
                <w:szCs w:val="20"/>
                <w:color w:val="auto"/>
              </w:rPr>
            </w:pPr>
            <w:r>
              <w:rPr>
                <w:rFonts w:ascii="Arial" w:cs="Arial" w:eastAsia="Arial" w:hAnsi="Arial"/>
                <w:sz w:val="14"/>
                <w:szCs w:val="14"/>
                <w:color w:val="auto"/>
              </w:rPr>
              <w:t>redemption value</w:t>
            </w:r>
          </w:p>
        </w:tc>
        <w:tc>
          <w:tcPr>
            <w:tcW w:w="940" w:type="dxa"/>
            <w:vAlign w:val="bottom"/>
          </w:tcPr>
          <w:p>
            <w:pPr>
              <w:jc w:val="right"/>
              <w:ind w:right="33"/>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1,277</w:t>
            </w:r>
          </w:p>
        </w:tc>
        <w:tc>
          <w:tcPr>
            <w:tcW w:w="40" w:type="dxa"/>
            <w:vAlign w:val="bottom"/>
          </w:tcPr>
          <w:p>
            <w:pPr>
              <w:spacing w:after="0"/>
              <w:rPr>
                <w:sz w:val="13"/>
                <w:szCs w:val="13"/>
                <w:color w:val="auto"/>
              </w:rPr>
            </w:pPr>
          </w:p>
        </w:tc>
        <w:tc>
          <w:tcPr>
            <w:tcW w:w="8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(1,277)</w:t>
            </w:r>
          </w:p>
        </w:tc>
      </w:tr>
      <w:tr>
        <w:trPr>
          <w:trHeight w:val="135"/>
        </w:trPr>
        <w:tc>
          <w:tcPr>
            <w:tcW w:w="3680" w:type="dxa"/>
            <w:vAlign w:val="bottom"/>
            <w:shd w:val="clear" w:color="auto" w:fill="CFF0FC"/>
          </w:tcPr>
          <w:p>
            <w:pPr>
              <w:ind w:left="240"/>
              <w:spacing w:after="0" w:line="135" w:lineRule="exact"/>
              <w:rPr>
                <w:sz w:val="20"/>
                <w:szCs w:val="20"/>
                <w:color w:val="auto"/>
              </w:rPr>
            </w:pPr>
            <w:r>
              <w:rPr>
                <w:rFonts w:ascii="Arial" w:cs="Arial" w:eastAsia="Arial" w:hAnsi="Arial"/>
                <w:sz w:val="14"/>
                <w:szCs w:val="14"/>
                <w:color w:val="auto"/>
                <w:w w:val="98"/>
              </w:rPr>
              <w:t>Conversion of redeemable convertible preferred stock to</w:t>
            </w: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59"/>
        </w:trPr>
        <w:tc>
          <w:tcPr>
            <w:tcW w:w="3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common stock upon closing of initial public offering</w:t>
            </w:r>
          </w:p>
        </w:tc>
        <w:tc>
          <w:tcPr>
            <w:tcW w:w="9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(130,616,784)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jc w:val="right"/>
              <w:ind w:right="52"/>
              <w:spacing w:after="0" w:line="159" w:lineRule="exact"/>
              <w:rPr>
                <w:sz w:val="20"/>
                <w:szCs w:val="20"/>
                <w:color w:val="auto"/>
              </w:rPr>
            </w:pPr>
            <w:r>
              <w:rPr>
                <w:rFonts w:ascii="Arial" w:cs="Arial" w:eastAsia="Arial" w:hAnsi="Arial"/>
                <w:sz w:val="14"/>
                <w:szCs w:val="14"/>
                <w:color w:val="auto"/>
              </w:rPr>
              <w:t>(303,326)</w:t>
            </w:r>
          </w:p>
        </w:tc>
        <w:tc>
          <w:tcPr>
            <w:tcW w:w="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2"/>
              <w:spacing w:after="0" w:line="159" w:lineRule="exact"/>
              <w:rPr>
                <w:sz w:val="20"/>
                <w:szCs w:val="20"/>
                <w:color w:val="auto"/>
              </w:rPr>
            </w:pPr>
            <w:r>
              <w:rPr>
                <w:rFonts w:ascii="Arial" w:cs="Arial" w:eastAsia="Arial" w:hAnsi="Arial"/>
                <w:sz w:val="14"/>
                <w:szCs w:val="14"/>
                <w:color w:val="auto"/>
                <w:w w:val="99"/>
              </w:rPr>
              <w:t>29,127,523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2"/>
              <w:spacing w:after="0" w:line="159" w:lineRule="exact"/>
              <w:rPr>
                <w:sz w:val="20"/>
                <w:szCs w:val="20"/>
                <w:color w:val="auto"/>
              </w:rPr>
            </w:pPr>
            <w:r>
              <w:rPr>
                <w:rFonts w:ascii="Arial" w:cs="Arial" w:eastAsia="Arial" w:hAnsi="Arial"/>
                <w:sz w:val="14"/>
                <w:szCs w:val="14"/>
                <w:color w:val="auto"/>
              </w:rPr>
              <w:t>291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2"/>
              <w:spacing w:after="0" w:line="159" w:lineRule="exact"/>
              <w:rPr>
                <w:sz w:val="20"/>
                <w:szCs w:val="20"/>
                <w:color w:val="auto"/>
              </w:rPr>
            </w:pPr>
            <w:r>
              <w:rPr>
                <w:rFonts w:ascii="Arial" w:cs="Arial" w:eastAsia="Arial" w:hAnsi="Arial"/>
                <w:sz w:val="14"/>
                <w:szCs w:val="14"/>
                <w:color w:val="auto"/>
              </w:rPr>
              <w:t>303,035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3"/>
              <w:spacing w:after="0" w:line="159" w:lineRule="exact"/>
              <w:rPr>
                <w:sz w:val="20"/>
                <w:szCs w:val="20"/>
                <w:color w:val="auto"/>
              </w:rPr>
            </w:pPr>
            <w:r>
              <w:rPr>
                <w:rFonts w:ascii="Arial" w:cs="Arial" w:eastAsia="Arial" w:hAnsi="Arial"/>
                <w:sz w:val="14"/>
                <w:szCs w:val="14"/>
                <w:color w:val="auto"/>
              </w:rPr>
              <w:t>303,326</w:t>
            </w:r>
          </w:p>
        </w:tc>
      </w:tr>
      <w:tr>
        <w:trPr>
          <w:trHeight w:val="135"/>
        </w:trPr>
        <w:tc>
          <w:tcPr>
            <w:tcW w:w="3680" w:type="dxa"/>
            <w:vAlign w:val="bottom"/>
          </w:tcPr>
          <w:p>
            <w:pPr>
              <w:ind w:left="240"/>
              <w:spacing w:after="0" w:line="135" w:lineRule="exact"/>
              <w:rPr>
                <w:sz w:val="20"/>
                <w:szCs w:val="20"/>
                <w:color w:val="auto"/>
              </w:rPr>
            </w:pPr>
            <w:r>
              <w:rPr>
                <w:rFonts w:ascii="Arial" w:cs="Arial" w:eastAsia="Arial" w:hAnsi="Arial"/>
                <w:sz w:val="14"/>
                <w:szCs w:val="14"/>
                <w:color w:val="auto"/>
                <w:w w:val="93"/>
              </w:rPr>
              <w:t>Issuance of common stock from initial public offering, net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3680" w:type="dxa"/>
            <w:vAlign w:val="bottom"/>
          </w:tcPr>
          <w:p>
            <w:pPr>
              <w:ind w:left="240"/>
              <w:spacing w:after="0" w:line="159" w:lineRule="exact"/>
              <w:rPr>
                <w:sz w:val="20"/>
                <w:szCs w:val="20"/>
                <w:color w:val="auto"/>
              </w:rPr>
            </w:pPr>
            <w:r>
              <w:rPr>
                <w:rFonts w:ascii="Arial" w:cs="Arial" w:eastAsia="Arial" w:hAnsi="Arial"/>
                <w:sz w:val="14"/>
                <w:szCs w:val="14"/>
                <w:color w:val="auto"/>
              </w:rPr>
              <w:t>issuance costs of $18.7 million</w:t>
            </w:r>
          </w:p>
        </w:tc>
        <w:tc>
          <w:tcPr>
            <w:tcW w:w="940" w:type="dxa"/>
            <w:vAlign w:val="bottom"/>
          </w:tcPr>
          <w:p>
            <w:pPr>
              <w:jc w:val="right"/>
              <w:ind w:right="33"/>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4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9"/>
              </w:rPr>
              <w:t>12,176,471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188,201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ind w:right="33"/>
              <w:spacing w:after="0" w:line="159" w:lineRule="exact"/>
              <w:rPr>
                <w:sz w:val="20"/>
                <w:szCs w:val="20"/>
                <w:color w:val="auto"/>
              </w:rPr>
            </w:pPr>
            <w:r>
              <w:rPr>
                <w:rFonts w:ascii="Arial" w:cs="Arial" w:eastAsia="Arial" w:hAnsi="Arial"/>
                <w:sz w:val="14"/>
                <w:szCs w:val="14"/>
                <w:color w:val="auto"/>
              </w:rPr>
              <w:t>188,323</w:t>
            </w:r>
          </w:p>
        </w:tc>
      </w:tr>
      <w:tr>
        <w:trPr>
          <w:trHeight w:val="153"/>
        </w:trPr>
        <w:tc>
          <w:tcPr>
            <w:tcW w:w="368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Vesting of restricted common stock</w:t>
            </w:r>
          </w:p>
        </w:tc>
        <w:tc>
          <w:tcPr>
            <w:tcW w:w="9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387,866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2"/>
              <w:spacing w:after="0" w:line="153"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w:t>
            </w:r>
          </w:p>
        </w:tc>
      </w:tr>
      <w:tr>
        <w:trPr>
          <w:trHeight w:val="153"/>
        </w:trPr>
        <w:tc>
          <w:tcPr>
            <w:tcW w:w="3680" w:type="dxa"/>
            <w:vAlign w:val="bottom"/>
          </w:tcPr>
          <w:p>
            <w:pPr>
              <w:ind w:left="240"/>
              <w:spacing w:after="0" w:line="153" w:lineRule="exact"/>
              <w:rPr>
                <w:sz w:val="20"/>
                <w:szCs w:val="20"/>
                <w:color w:val="auto"/>
              </w:rPr>
            </w:pPr>
            <w:r>
              <w:rPr>
                <w:rFonts w:ascii="Arial" w:cs="Arial" w:eastAsia="Arial" w:hAnsi="Arial"/>
                <w:sz w:val="14"/>
                <w:szCs w:val="14"/>
                <w:color w:val="auto"/>
              </w:rPr>
              <w:t>Stock-based compensation</w:t>
            </w:r>
          </w:p>
        </w:tc>
        <w:tc>
          <w:tcPr>
            <w:tcW w:w="9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4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2,792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2,792</w:t>
            </w:r>
          </w:p>
        </w:tc>
      </w:tr>
      <w:tr>
        <w:trPr>
          <w:trHeight w:val="153"/>
        </w:trPr>
        <w:tc>
          <w:tcPr>
            <w:tcW w:w="368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Exercise of common stock options</w:t>
            </w:r>
          </w:p>
        </w:tc>
        <w:tc>
          <w:tcPr>
            <w:tcW w:w="9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59,305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2"/>
              <w:spacing w:after="0" w:line="153" w:lineRule="exact"/>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151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152</w:t>
            </w:r>
          </w:p>
        </w:tc>
      </w:tr>
      <w:tr>
        <w:trPr>
          <w:trHeight w:val="153"/>
        </w:trPr>
        <w:tc>
          <w:tcPr>
            <w:tcW w:w="3680" w:type="dxa"/>
            <w:vAlign w:val="bottom"/>
          </w:tcPr>
          <w:p>
            <w:pPr>
              <w:ind w:left="240"/>
              <w:spacing w:after="0" w:line="153" w:lineRule="exact"/>
              <w:rPr>
                <w:sz w:val="20"/>
                <w:szCs w:val="20"/>
                <w:color w:val="auto"/>
              </w:rPr>
            </w:pPr>
            <w:r>
              <w:rPr>
                <w:rFonts w:ascii="Arial" w:cs="Arial" w:eastAsia="Arial" w:hAnsi="Arial"/>
                <w:sz w:val="14"/>
                <w:szCs w:val="14"/>
                <w:color w:val="auto"/>
              </w:rPr>
              <w:t>Other comprehensive loss</w:t>
            </w:r>
          </w:p>
        </w:tc>
        <w:tc>
          <w:tcPr>
            <w:tcW w:w="9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4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(360)</w:t>
            </w:r>
          </w:p>
        </w:tc>
      </w:tr>
      <w:tr>
        <w:trPr>
          <w:trHeight w:val="153"/>
        </w:trPr>
        <w:tc>
          <w:tcPr>
            <w:tcW w:w="368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(30,458)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(30,458)</w:t>
            </w:r>
          </w:p>
        </w:tc>
      </w:tr>
      <w:tr>
        <w:trPr>
          <w:trHeight w:val="186"/>
        </w:trPr>
        <w:tc>
          <w:tcPr>
            <w:tcW w:w="3680" w:type="dxa"/>
            <w:vAlign w:val="bottom"/>
            <w:tcBorders>
              <w:bottom w:val="single" w:sz="8" w:color="CFF0FC"/>
            </w:tcBorders>
          </w:tcPr>
          <w:p>
            <w:pPr>
              <w:spacing w:after="0" w:line="146" w:lineRule="exact"/>
              <w:rPr>
                <w:sz w:val="20"/>
                <w:szCs w:val="20"/>
                <w:color w:val="auto"/>
              </w:rPr>
            </w:pPr>
            <w:r>
              <w:rPr>
                <w:rFonts w:ascii="Arial" w:cs="Arial" w:eastAsia="Arial" w:hAnsi="Arial"/>
                <w:sz w:val="14"/>
                <w:szCs w:val="14"/>
                <w:color w:val="auto"/>
              </w:rPr>
              <w:t>Balance at March 31, 2020</w:t>
            </w:r>
          </w:p>
        </w:tc>
        <w:tc>
          <w:tcPr>
            <w:tcW w:w="940" w:type="dxa"/>
            <w:vAlign w:val="bottom"/>
            <w:tcBorders>
              <w:top w:val="single" w:sz="8" w:color="auto"/>
              <w:bottom w:val="single" w:sz="8" w:color="auto"/>
            </w:tcBorders>
          </w:tcPr>
          <w:p>
            <w:pPr>
              <w:jc w:val="right"/>
              <w:ind w:right="33"/>
              <w:spacing w:after="0" w:line="146"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right w:val="single" w:sz="8" w:color="auto"/>
            </w:tcBorders>
          </w:tcPr>
          <w:p>
            <w:pPr>
              <w:jc w:val="right"/>
              <w:ind w:right="112"/>
              <w:spacing w:after="0" w:line="146"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w w:val="99"/>
              </w:rPr>
              <w:t>49,077,350</w:t>
            </w:r>
          </w:p>
        </w:tc>
        <w:tc>
          <w:tcPr>
            <w:tcW w:w="10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491</w:t>
            </w:r>
          </w:p>
        </w:tc>
        <w:tc>
          <w:tcPr>
            <w:tcW w:w="10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494,749</w:t>
            </w:r>
          </w:p>
        </w:tc>
        <w:tc>
          <w:tcPr>
            <w:tcW w:w="10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(344)</w:t>
            </w:r>
          </w:p>
        </w:tc>
        <w:tc>
          <w:tcPr>
            <w:tcW w:w="10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(233,502)</w:t>
            </w:r>
          </w:p>
        </w:tc>
        <w:tc>
          <w:tcPr>
            <w:tcW w:w="10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33"/>
              <w:spacing w:after="0" w:line="146" w:lineRule="exact"/>
              <w:rPr>
                <w:sz w:val="20"/>
                <w:szCs w:val="20"/>
                <w:color w:val="auto"/>
              </w:rPr>
            </w:pPr>
            <w:r>
              <w:rPr>
                <w:rFonts w:ascii="Arial" w:cs="Arial" w:eastAsia="Arial" w:hAnsi="Arial"/>
                <w:sz w:val="14"/>
                <w:szCs w:val="14"/>
                <w:color w:val="auto"/>
              </w:rPr>
              <w:t>261,394</w:t>
            </w:r>
          </w:p>
        </w:tc>
      </w:tr>
      <w:tr>
        <w:trPr>
          <w:trHeight w:val="132"/>
        </w:trPr>
        <w:tc>
          <w:tcPr>
            <w:tcW w:w="3680" w:type="dxa"/>
            <w:vAlign w:val="bottom"/>
            <w:shd w:val="clear" w:color="auto" w:fill="CFF0FC"/>
          </w:tcPr>
          <w:p>
            <w:pPr>
              <w:ind w:left="240"/>
              <w:spacing w:after="0" w:line="132" w:lineRule="exact"/>
              <w:rPr>
                <w:sz w:val="20"/>
                <w:szCs w:val="20"/>
                <w:color w:val="auto"/>
              </w:rPr>
            </w:pPr>
            <w:r>
              <w:rPr>
                <w:rFonts w:ascii="Arial" w:cs="Arial" w:eastAsia="Arial" w:hAnsi="Arial"/>
                <w:sz w:val="14"/>
                <w:szCs w:val="14"/>
                <w:color w:val="auto"/>
              </w:rPr>
              <w:t>Vesting of restricted common stock</w:t>
            </w:r>
          </w:p>
        </w:tc>
        <w:tc>
          <w:tcPr>
            <w:tcW w:w="940" w:type="dxa"/>
            <w:vAlign w:val="bottom"/>
            <w:shd w:val="clear" w:color="auto" w:fill="CFF0FC"/>
          </w:tcPr>
          <w:p>
            <w:pPr>
              <w:jc w:val="right"/>
              <w:ind w:right="33"/>
              <w:spacing w:after="0" w:line="132"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tcBorders>
              <w:right w:val="single" w:sz="8" w:color="auto"/>
            </w:tcBorders>
            <w:shd w:val="clear" w:color="auto" w:fill="CFF0FC"/>
          </w:tcPr>
          <w:p>
            <w:pPr>
              <w:jc w:val="right"/>
              <w:ind w:right="112"/>
              <w:spacing w:after="0" w:line="132"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2"/>
              <w:spacing w:after="0" w:line="132" w:lineRule="exact"/>
              <w:rPr>
                <w:sz w:val="20"/>
                <w:szCs w:val="20"/>
                <w:color w:val="auto"/>
              </w:rPr>
            </w:pPr>
            <w:r>
              <w:rPr>
                <w:rFonts w:ascii="Arial" w:cs="Arial" w:eastAsia="Arial" w:hAnsi="Arial"/>
                <w:sz w:val="14"/>
                <w:szCs w:val="14"/>
                <w:color w:val="auto"/>
              </w:rPr>
              <w:t>387,870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2"/>
              <w:spacing w:after="0" w:line="132"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2"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2"/>
              <w:spacing w:after="0" w:line="132"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2"/>
              <w:spacing w:after="0" w:line="132"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3"/>
              <w:spacing w:after="0" w:line="132" w:lineRule="exact"/>
              <w:rPr>
                <w:sz w:val="20"/>
                <w:szCs w:val="20"/>
                <w:color w:val="auto"/>
              </w:rPr>
            </w:pPr>
            <w:r>
              <w:rPr>
                <w:rFonts w:ascii="Arial" w:cs="Arial" w:eastAsia="Arial" w:hAnsi="Arial"/>
                <w:sz w:val="14"/>
                <w:szCs w:val="14"/>
                <w:color w:val="auto"/>
              </w:rPr>
              <w:t>—</w:t>
            </w:r>
          </w:p>
        </w:tc>
      </w:tr>
      <w:tr>
        <w:trPr>
          <w:trHeight w:val="153"/>
        </w:trPr>
        <w:tc>
          <w:tcPr>
            <w:tcW w:w="3680" w:type="dxa"/>
            <w:vAlign w:val="bottom"/>
          </w:tcPr>
          <w:p>
            <w:pPr>
              <w:ind w:left="240"/>
              <w:spacing w:after="0" w:line="153" w:lineRule="exact"/>
              <w:rPr>
                <w:sz w:val="20"/>
                <w:szCs w:val="20"/>
                <w:color w:val="auto"/>
              </w:rPr>
            </w:pPr>
            <w:r>
              <w:rPr>
                <w:rFonts w:ascii="Arial" w:cs="Arial" w:eastAsia="Arial" w:hAnsi="Arial"/>
                <w:sz w:val="14"/>
                <w:szCs w:val="14"/>
                <w:color w:val="auto"/>
              </w:rPr>
              <w:t>Stock-based compensation</w:t>
            </w:r>
          </w:p>
        </w:tc>
        <w:tc>
          <w:tcPr>
            <w:tcW w:w="9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4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2,769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2,769</w:t>
            </w:r>
          </w:p>
        </w:tc>
      </w:tr>
      <w:tr>
        <w:trPr>
          <w:trHeight w:val="153"/>
        </w:trPr>
        <w:tc>
          <w:tcPr>
            <w:tcW w:w="368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Exercise of common stock options</w:t>
            </w:r>
          </w:p>
        </w:tc>
        <w:tc>
          <w:tcPr>
            <w:tcW w:w="9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180,517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2"/>
              <w:spacing w:after="0" w:line="153" w:lineRule="exact"/>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359</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360</w:t>
            </w:r>
          </w:p>
        </w:tc>
      </w:tr>
      <w:tr>
        <w:trPr>
          <w:trHeight w:val="153"/>
        </w:trPr>
        <w:tc>
          <w:tcPr>
            <w:tcW w:w="3680" w:type="dxa"/>
            <w:vAlign w:val="bottom"/>
          </w:tcPr>
          <w:p>
            <w:pPr>
              <w:ind w:left="240"/>
              <w:spacing w:after="0" w:line="153" w:lineRule="exact"/>
              <w:rPr>
                <w:sz w:val="20"/>
                <w:szCs w:val="20"/>
                <w:color w:val="auto"/>
              </w:rPr>
            </w:pPr>
            <w:r>
              <w:rPr>
                <w:rFonts w:ascii="Arial" w:cs="Arial" w:eastAsia="Arial" w:hAnsi="Arial"/>
                <w:sz w:val="14"/>
                <w:szCs w:val="14"/>
                <w:color w:val="auto"/>
              </w:rPr>
              <w:t>Other comprehensive income</w:t>
            </w:r>
          </w:p>
        </w:tc>
        <w:tc>
          <w:tcPr>
            <w:tcW w:w="9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auto"/>
            </w:tcBorders>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40" w:type="dxa"/>
            <w:vAlign w:val="bottom"/>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ind w:right="33"/>
              <w:spacing w:after="0" w:line="153" w:lineRule="exact"/>
              <w:rPr>
                <w:sz w:val="20"/>
                <w:szCs w:val="20"/>
                <w:color w:val="auto"/>
              </w:rPr>
            </w:pPr>
            <w:r>
              <w:rPr>
                <w:rFonts w:ascii="Arial" w:cs="Arial" w:eastAsia="Arial" w:hAnsi="Arial"/>
                <w:sz w:val="14"/>
                <w:szCs w:val="14"/>
                <w:color w:val="auto"/>
              </w:rPr>
              <w:t>517</w:t>
            </w:r>
          </w:p>
        </w:tc>
      </w:tr>
      <w:tr>
        <w:trPr>
          <w:trHeight w:val="153"/>
        </w:trPr>
        <w:tc>
          <w:tcPr>
            <w:tcW w:w="3680" w:type="dxa"/>
            <w:vAlign w:val="bottom"/>
            <w:shd w:val="clear" w:color="auto" w:fill="CFF0FC"/>
          </w:tcPr>
          <w:p>
            <w:pPr>
              <w:ind w:left="240"/>
              <w:spacing w:after="0" w:line="153" w:lineRule="exact"/>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ind w:right="33"/>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jc w:val="right"/>
              <w:ind w:right="112"/>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2"/>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(34,218)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(34,218)</w:t>
            </w:r>
          </w:p>
        </w:tc>
      </w:tr>
      <w:tr>
        <w:trPr>
          <w:trHeight w:val="146"/>
        </w:trPr>
        <w:tc>
          <w:tcPr>
            <w:tcW w:w="3680" w:type="dxa"/>
            <w:vAlign w:val="bottom"/>
          </w:tcPr>
          <w:p>
            <w:pPr>
              <w:spacing w:after="0" w:line="146" w:lineRule="exact"/>
              <w:rPr>
                <w:sz w:val="20"/>
                <w:szCs w:val="20"/>
                <w:color w:val="auto"/>
              </w:rPr>
            </w:pPr>
            <w:r>
              <w:rPr>
                <w:rFonts w:ascii="Arial" w:cs="Arial" w:eastAsia="Arial" w:hAnsi="Arial"/>
                <w:sz w:val="14"/>
                <w:szCs w:val="14"/>
                <w:color w:val="auto"/>
              </w:rPr>
              <w:t>Balance at June 30, 2020</w:t>
            </w:r>
          </w:p>
        </w:tc>
        <w:tc>
          <w:tcPr>
            <w:tcW w:w="940" w:type="dxa"/>
            <w:vAlign w:val="bottom"/>
            <w:tcBorders>
              <w:top w:val="single" w:sz="8" w:color="auto"/>
              <w:bottom w:val="single" w:sz="8" w:color="auto"/>
            </w:tcBorders>
          </w:tcPr>
          <w:p>
            <w:pPr>
              <w:jc w:val="right"/>
              <w:ind w:right="33"/>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right w:val="single" w:sz="8" w:color="auto"/>
            </w:tcBorders>
          </w:tcPr>
          <w:p>
            <w:pPr>
              <w:jc w:val="right"/>
              <w:ind w:right="112"/>
              <w:spacing w:after="0" w:line="14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w w:val="99"/>
              </w:rPr>
              <w:t>49,645,737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497,873</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(267,720)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6"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33"/>
              <w:spacing w:after="0" w:line="146" w:lineRule="exact"/>
              <w:rPr>
                <w:sz w:val="20"/>
                <w:szCs w:val="20"/>
                <w:color w:val="auto"/>
              </w:rPr>
            </w:pPr>
            <w:r>
              <w:rPr>
                <w:rFonts w:ascii="Arial" w:cs="Arial" w:eastAsia="Arial" w:hAnsi="Arial"/>
                <w:sz w:val="14"/>
                <w:szCs w:val="14"/>
                <w:color w:val="auto"/>
              </w:rPr>
              <w:t>230,822</w:t>
            </w: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Beam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Unaudited</w:t>
      </w:r>
      <w:r>
        <w:rPr>
          <w:rFonts w:ascii="Arial" w:cs="Arial" w:eastAsia="Arial" w:hAnsi="Arial"/>
          <w:sz w:val="15"/>
          <w:szCs w:val="15"/>
          <w:b w:val="1"/>
          <w:bCs w:val="1"/>
          <w:color w:val="auto"/>
        </w:rPr>
        <w: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74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2"/>
                <w:szCs w:val="12"/>
                <w:color w:val="auto"/>
              </w:rPr>
            </w:pPr>
          </w:p>
        </w:tc>
        <w:tc>
          <w:tcPr>
            <w:tcW w:w="1160" w:type="dxa"/>
            <w:vAlign w:val="bottom"/>
            <w:gridSpan w:val="2"/>
          </w:tcPr>
          <w:p>
            <w:pPr>
              <w:jc w:val="right"/>
              <w:ind w:right="80"/>
              <w:spacing w:after="0" w:line="146" w:lineRule="exact"/>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Operating activities</w:t>
            </w:r>
          </w:p>
        </w:tc>
        <w:tc>
          <w:tcPr>
            <w:tcW w:w="9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24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(64,676)</w:t>
            </w:r>
          </w:p>
        </w:tc>
        <w:tc>
          <w:tcPr>
            <w:tcW w:w="11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(31,471)</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460"/>
              <w:spacing w:after="0"/>
              <w:rPr>
                <w:sz w:val="20"/>
                <w:szCs w:val="20"/>
                <w:color w:val="auto"/>
              </w:rPr>
            </w:pPr>
            <w:r>
              <w:rPr>
                <w:rFonts w:ascii="Arial" w:cs="Arial" w:eastAsia="Arial" w:hAnsi="Arial"/>
                <w:sz w:val="15"/>
                <w:szCs w:val="15"/>
                <w:color w:val="auto"/>
              </w:rPr>
              <w:t>Depreciation</w:t>
            </w:r>
          </w:p>
        </w:tc>
        <w:tc>
          <w:tcPr>
            <w:tcW w:w="94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2,245</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1,593</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Amortization of investment premiums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w:t>
            </w:r>
          </w:p>
        </w:tc>
        <w:tc>
          <w:tcPr>
            <w:tcW w:w="0" w:type="dxa"/>
            <w:vAlign w:val="bottom"/>
          </w:tcPr>
          <w:p>
            <w:pPr>
              <w:spacing w:after="0"/>
              <w:rPr>
                <w:sz w:val="1"/>
                <w:szCs w:val="1"/>
                <w:color w:val="auto"/>
              </w:rPr>
            </w:pPr>
          </w:p>
        </w:tc>
      </w:tr>
      <w:tr>
        <w:trPr>
          <w:trHeight w:val="202"/>
        </w:trPr>
        <w:tc>
          <w:tcPr>
            <w:tcW w:w="7740" w:type="dxa"/>
            <w:vAlign w:val="bottom"/>
          </w:tcPr>
          <w:p>
            <w:pPr>
              <w:ind w:left="460"/>
              <w:spacing w:after="0"/>
              <w:rPr>
                <w:sz w:val="20"/>
                <w:szCs w:val="20"/>
                <w:color w:val="auto"/>
              </w:rPr>
            </w:pPr>
            <w:r>
              <w:rPr>
                <w:rFonts w:ascii="Arial" w:cs="Arial" w:eastAsia="Arial" w:hAnsi="Arial"/>
                <w:sz w:val="15"/>
                <w:szCs w:val="15"/>
                <w:color w:val="auto"/>
              </w:rPr>
              <w:t>Stock-based compensation expense</w:t>
            </w:r>
          </w:p>
        </w:tc>
        <w:tc>
          <w:tcPr>
            <w:tcW w:w="94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5,561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2,942</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Change in operating lease right-of-use assets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1,985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578</w:t>
            </w:r>
          </w:p>
        </w:tc>
        <w:tc>
          <w:tcPr>
            <w:tcW w:w="0" w:type="dxa"/>
            <w:vAlign w:val="bottom"/>
          </w:tcPr>
          <w:p>
            <w:pPr>
              <w:spacing w:after="0"/>
              <w:rPr>
                <w:sz w:val="1"/>
                <w:szCs w:val="1"/>
                <w:color w:val="auto"/>
              </w:rPr>
            </w:pPr>
          </w:p>
        </w:tc>
      </w:tr>
      <w:tr>
        <w:trPr>
          <w:trHeight w:val="202"/>
        </w:trPr>
        <w:tc>
          <w:tcPr>
            <w:tcW w:w="7740" w:type="dxa"/>
            <w:vAlign w:val="bottom"/>
          </w:tcPr>
          <w:p>
            <w:pPr>
              <w:ind w:left="460"/>
              <w:spacing w:after="0"/>
              <w:rPr>
                <w:sz w:val="20"/>
                <w:szCs w:val="20"/>
                <w:color w:val="auto"/>
              </w:rPr>
            </w:pPr>
            <w:r>
              <w:rPr>
                <w:rFonts w:ascii="Arial" w:cs="Arial" w:eastAsia="Arial" w:hAnsi="Arial"/>
                <w:sz w:val="15"/>
                <w:szCs w:val="15"/>
                <w:color w:val="auto"/>
              </w:rPr>
              <w:t>Non-cash research and development license expense</w:t>
            </w:r>
          </w:p>
        </w:tc>
        <w:tc>
          <w:tcPr>
            <w:tcW w:w="94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264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Change in fair value of derivative liabilities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11,400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02"/>
        </w:trPr>
        <w:tc>
          <w:tcPr>
            <w:tcW w:w="7740" w:type="dxa"/>
            <w:vAlign w:val="bottom"/>
          </w:tcPr>
          <w:p>
            <w:pPr>
              <w:ind w:left="460"/>
              <w:spacing w:after="0"/>
              <w:rPr>
                <w:sz w:val="20"/>
                <w:szCs w:val="20"/>
                <w:color w:val="auto"/>
              </w:rPr>
            </w:pPr>
            <w:r>
              <w:rPr>
                <w:rFonts w:ascii="Arial" w:cs="Arial" w:eastAsia="Arial" w:hAnsi="Arial"/>
                <w:sz w:val="15"/>
                <w:szCs w:val="15"/>
                <w:color w:val="auto"/>
              </w:rPr>
              <w:t>Other</w:t>
            </w:r>
          </w:p>
        </w:tc>
        <w:tc>
          <w:tcPr>
            <w:tcW w:w="9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(517)</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46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700"/>
              <w:spacing w:after="0"/>
              <w:rPr>
                <w:sz w:val="20"/>
                <w:szCs w:val="20"/>
                <w:color w:val="auto"/>
              </w:rPr>
            </w:pPr>
            <w:r>
              <w:rPr>
                <w:rFonts w:ascii="Arial" w:cs="Arial" w:eastAsia="Arial" w:hAnsi="Arial"/>
                <w:sz w:val="15"/>
                <w:szCs w:val="15"/>
                <w:color w:val="auto"/>
              </w:rPr>
              <w:t>Prepaid expenses and other current assets</w:t>
            </w:r>
          </w:p>
        </w:tc>
        <w:tc>
          <w:tcPr>
            <w:tcW w:w="9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(4,215)</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(797)</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700"/>
              <w:spacing w:after="0"/>
              <w:rPr>
                <w:sz w:val="20"/>
                <w:szCs w:val="20"/>
                <w:color w:val="auto"/>
              </w:rPr>
            </w:pPr>
            <w:r>
              <w:rPr>
                <w:rFonts w:ascii="Arial" w:cs="Arial" w:eastAsia="Arial" w:hAnsi="Arial"/>
                <w:sz w:val="15"/>
                <w:szCs w:val="15"/>
                <w:color w:val="auto"/>
              </w:rPr>
              <w:t>Other long-term assets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02"/>
        </w:trPr>
        <w:tc>
          <w:tcPr>
            <w:tcW w:w="7740" w:type="dxa"/>
            <w:vAlign w:val="bottom"/>
          </w:tcPr>
          <w:p>
            <w:pPr>
              <w:ind w:left="700"/>
              <w:spacing w:after="0"/>
              <w:rPr>
                <w:sz w:val="20"/>
                <w:szCs w:val="20"/>
                <w:color w:val="auto"/>
              </w:rPr>
            </w:pPr>
            <w:r>
              <w:rPr>
                <w:rFonts w:ascii="Arial" w:cs="Arial" w:eastAsia="Arial" w:hAnsi="Arial"/>
                <w:sz w:val="15"/>
                <w:szCs w:val="15"/>
                <w:color w:val="auto"/>
              </w:rPr>
              <w:t>Accounts payable</w:t>
            </w:r>
          </w:p>
        </w:tc>
        <w:tc>
          <w:tcPr>
            <w:tcW w:w="9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1,540</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700"/>
              <w:spacing w:after="0"/>
              <w:rPr>
                <w:sz w:val="20"/>
                <w:szCs w:val="20"/>
                <w:color w:val="auto"/>
              </w:rPr>
            </w:pPr>
            <w:r>
              <w:rPr>
                <w:rFonts w:ascii="Arial" w:cs="Arial" w:eastAsia="Arial" w:hAnsi="Arial"/>
                <w:sz w:val="15"/>
                <w:szCs w:val="15"/>
                <w:color w:val="auto"/>
              </w:rPr>
              <w:t>Accrued expenses and other liabilities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1,421</w:t>
            </w:r>
          </w:p>
        </w:tc>
        <w:tc>
          <w:tcPr>
            <w:tcW w:w="0" w:type="dxa"/>
            <w:vAlign w:val="bottom"/>
          </w:tcPr>
          <w:p>
            <w:pPr>
              <w:spacing w:after="0"/>
              <w:rPr>
                <w:sz w:val="1"/>
                <w:szCs w:val="1"/>
                <w:color w:val="auto"/>
              </w:rPr>
            </w:pPr>
          </w:p>
        </w:tc>
      </w:tr>
      <w:tr>
        <w:trPr>
          <w:trHeight w:val="202"/>
        </w:trPr>
        <w:tc>
          <w:tcPr>
            <w:tcW w:w="7740" w:type="dxa"/>
            <w:vAlign w:val="bottom"/>
          </w:tcPr>
          <w:p>
            <w:pPr>
              <w:ind w:left="700"/>
              <w:spacing w:after="0"/>
              <w:rPr>
                <w:sz w:val="20"/>
                <w:szCs w:val="20"/>
                <w:color w:val="auto"/>
              </w:rPr>
            </w:pPr>
            <w:r>
              <w:rPr>
                <w:rFonts w:ascii="Arial" w:cs="Arial" w:eastAsia="Arial" w:hAnsi="Arial"/>
                <w:sz w:val="15"/>
                <w:szCs w:val="15"/>
                <w:color w:val="auto"/>
              </w:rPr>
              <w:t>Operating lease liabilities</w:t>
            </w:r>
          </w:p>
        </w:tc>
        <w:tc>
          <w:tcPr>
            <w:tcW w:w="9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(1,801)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(792)</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700"/>
              <w:spacing w:after="0"/>
              <w:rPr>
                <w:sz w:val="20"/>
                <w:szCs w:val="20"/>
                <w:color w:val="auto"/>
              </w:rPr>
            </w:pPr>
            <w:r>
              <w:rPr>
                <w:rFonts w:ascii="Arial" w:cs="Arial" w:eastAsia="Arial" w:hAnsi="Arial"/>
                <w:sz w:val="15"/>
                <w:szCs w:val="15"/>
                <w:color w:val="auto"/>
              </w:rPr>
              <w:t>Financing milestone liabilities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(13,750)</w:t>
            </w:r>
          </w:p>
        </w:tc>
        <w:tc>
          <w:tcPr>
            <w:tcW w:w="0" w:type="dxa"/>
            <w:vAlign w:val="bottom"/>
          </w:tcPr>
          <w:p>
            <w:pPr>
              <w:spacing w:after="0"/>
              <w:rPr>
                <w:sz w:val="1"/>
                <w:szCs w:val="1"/>
                <w:color w:val="auto"/>
              </w:rPr>
            </w:pPr>
          </w:p>
        </w:tc>
      </w:tr>
      <w:tr>
        <w:trPr>
          <w:trHeight w:val="202"/>
        </w:trPr>
        <w:tc>
          <w:tcPr>
            <w:tcW w:w="7740" w:type="dxa"/>
            <w:vAlign w:val="bottom"/>
            <w:tcBorders>
              <w:bottom w:val="single" w:sz="8" w:color="CFF0FC"/>
            </w:tcBorders>
          </w:tcPr>
          <w:p>
            <w:pPr>
              <w:ind w:left="700"/>
              <w:spacing w:after="0"/>
              <w:rPr>
                <w:sz w:val="20"/>
                <w:szCs w:val="20"/>
                <w:color w:val="auto"/>
              </w:rPr>
            </w:pPr>
            <w:r>
              <w:rPr>
                <w:rFonts w:ascii="Arial" w:cs="Arial" w:eastAsia="Arial" w:hAnsi="Arial"/>
                <w:sz w:val="15"/>
                <w:szCs w:val="15"/>
                <w:color w:val="auto"/>
              </w:rPr>
              <w:t>Other long-term liabilities</w:t>
            </w:r>
          </w:p>
        </w:tc>
        <w:tc>
          <w:tcPr>
            <w:tcW w:w="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0"/>
        </w:trPr>
        <w:tc>
          <w:tcPr>
            <w:tcW w:w="7740" w:type="dxa"/>
            <w:vAlign w:val="bottom"/>
            <w:shd w:val="clear" w:color="auto" w:fill="CFF0FC"/>
          </w:tcPr>
          <w:p>
            <w:pPr>
              <w:ind w:left="940"/>
              <w:spacing w:after="0"/>
              <w:rPr>
                <w:sz w:val="20"/>
                <w:szCs w:val="20"/>
                <w:color w:val="auto"/>
              </w:rPr>
            </w:pPr>
            <w:r>
              <w:rPr>
                <w:rFonts w:ascii="Arial" w:cs="Arial" w:eastAsia="Arial" w:hAnsi="Arial"/>
                <w:sz w:val="15"/>
                <w:szCs w:val="15"/>
                <w:color w:val="auto"/>
              </w:rPr>
              <w:t>Net cash used in operating activities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(50,230)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(37,211)</w:t>
            </w:r>
          </w:p>
        </w:tc>
        <w:tc>
          <w:tcPr>
            <w:tcW w:w="0" w:type="dxa"/>
            <w:vAlign w:val="bottom"/>
          </w:tcPr>
          <w:p>
            <w:pPr>
              <w:spacing w:after="0"/>
              <w:rPr>
                <w:sz w:val="1"/>
                <w:szCs w:val="1"/>
                <w:color w:val="auto"/>
              </w:rPr>
            </w:pPr>
          </w:p>
        </w:tc>
      </w:tr>
      <w:tr>
        <w:trPr>
          <w:trHeight w:val="202"/>
        </w:trPr>
        <w:tc>
          <w:tcPr>
            <w:tcW w:w="774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Purchases of property and equipment</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(5,413)</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(8,939)</w:t>
            </w:r>
          </w:p>
        </w:tc>
        <w:tc>
          <w:tcPr>
            <w:tcW w:w="0" w:type="dxa"/>
            <w:vAlign w:val="bottom"/>
          </w:tcPr>
          <w:p>
            <w:pPr>
              <w:spacing w:after="0"/>
              <w:rPr>
                <w:sz w:val="1"/>
                <w:szCs w:val="1"/>
                <w:color w:val="auto"/>
              </w:rPr>
            </w:pPr>
          </w:p>
        </w:tc>
      </w:tr>
      <w:tr>
        <w:trPr>
          <w:trHeight w:val="202"/>
        </w:trPr>
        <w:tc>
          <w:tcPr>
            <w:tcW w:w="7740" w:type="dxa"/>
            <w:vAlign w:val="bottom"/>
          </w:tcPr>
          <w:p>
            <w:pPr>
              <w:ind w:left="240"/>
              <w:spacing w:after="0"/>
              <w:rPr>
                <w:sz w:val="20"/>
                <w:szCs w:val="20"/>
                <w:color w:val="auto"/>
              </w:rPr>
            </w:pPr>
            <w:r>
              <w:rPr>
                <w:rFonts w:ascii="Arial" w:cs="Arial" w:eastAsia="Arial" w:hAnsi="Arial"/>
                <w:sz w:val="15"/>
                <w:szCs w:val="15"/>
                <w:color w:val="auto"/>
              </w:rPr>
              <w:t>Purchases of marketable securities</w:t>
            </w:r>
          </w:p>
        </w:tc>
        <w:tc>
          <w:tcPr>
            <w:tcW w:w="9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9"/>
              </w:rPr>
              <w:t>(135,959)</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(88,493)</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Maturities of marketable securities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88,198</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Purchase of long-term investment</w:t>
            </w:r>
          </w:p>
        </w:tc>
        <w:tc>
          <w:tcPr>
            <w:tcW w:w="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w:t>
            </w:r>
          </w:p>
        </w:tc>
        <w:tc>
          <w:tcPr>
            <w:tcW w:w="1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7740" w:type="dxa"/>
            <w:vAlign w:val="bottom"/>
            <w:shd w:val="clear" w:color="auto" w:fill="CFF0FC"/>
          </w:tcPr>
          <w:p>
            <w:pPr>
              <w:ind w:left="940"/>
              <w:spacing w:after="0"/>
              <w:rPr>
                <w:sz w:val="20"/>
                <w:szCs w:val="20"/>
                <w:color w:val="auto"/>
              </w:rPr>
            </w:pPr>
            <w:r>
              <w:rPr>
                <w:rFonts w:ascii="Arial" w:cs="Arial" w:eastAsia="Arial" w:hAnsi="Arial"/>
                <w:sz w:val="15"/>
                <w:szCs w:val="15"/>
                <w:color w:val="auto"/>
              </w:rPr>
              <w:t>Net cash used in investing activities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(53,924)</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(97,432)</w:t>
            </w:r>
          </w:p>
        </w:tc>
        <w:tc>
          <w:tcPr>
            <w:tcW w:w="0" w:type="dxa"/>
            <w:vAlign w:val="bottom"/>
          </w:tcPr>
          <w:p>
            <w:pPr>
              <w:spacing w:after="0"/>
              <w:rPr>
                <w:sz w:val="1"/>
                <w:szCs w:val="1"/>
                <w:color w:val="auto"/>
              </w:rPr>
            </w:pPr>
          </w:p>
        </w:tc>
      </w:tr>
      <w:tr>
        <w:trPr>
          <w:trHeight w:val="202"/>
        </w:trPr>
        <w:tc>
          <w:tcPr>
            <w:tcW w:w="774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Proceeds from issuance of Series B Preferred Stock, net</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37,901</w:t>
            </w:r>
          </w:p>
        </w:tc>
        <w:tc>
          <w:tcPr>
            <w:tcW w:w="0" w:type="dxa"/>
            <w:vAlign w:val="bottom"/>
          </w:tcPr>
          <w:p>
            <w:pPr>
              <w:spacing w:after="0"/>
              <w:rPr>
                <w:sz w:val="1"/>
                <w:szCs w:val="1"/>
                <w:color w:val="auto"/>
              </w:rPr>
            </w:pPr>
          </w:p>
        </w:tc>
      </w:tr>
      <w:tr>
        <w:trPr>
          <w:trHeight w:val="202"/>
        </w:trPr>
        <w:tc>
          <w:tcPr>
            <w:tcW w:w="7740" w:type="dxa"/>
            <w:vAlign w:val="bottom"/>
          </w:tcPr>
          <w:p>
            <w:pPr>
              <w:ind w:left="240"/>
              <w:spacing w:after="0"/>
              <w:rPr>
                <w:sz w:val="20"/>
                <w:szCs w:val="20"/>
                <w:color w:val="auto"/>
              </w:rPr>
            </w:pPr>
            <w:r>
              <w:rPr>
                <w:rFonts w:ascii="Arial" w:cs="Arial" w:eastAsia="Arial" w:hAnsi="Arial"/>
                <w:sz w:val="15"/>
                <w:szCs w:val="15"/>
                <w:color w:val="auto"/>
              </w:rPr>
              <w:t>Proceeds from initial public offering, net of underwriting discount</w:t>
            </w:r>
          </w:p>
        </w:tc>
        <w:tc>
          <w:tcPr>
            <w:tcW w:w="94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192,510</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Payment of initial public offering costs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2"/>
        </w:trPr>
        <w:tc>
          <w:tcPr>
            <w:tcW w:w="7740" w:type="dxa"/>
            <w:vAlign w:val="bottom"/>
          </w:tcPr>
          <w:p>
            <w:pPr>
              <w:ind w:left="240"/>
              <w:spacing w:after="0"/>
              <w:rPr>
                <w:sz w:val="20"/>
                <w:szCs w:val="20"/>
                <w:color w:val="auto"/>
              </w:rPr>
            </w:pPr>
            <w:r>
              <w:rPr>
                <w:rFonts w:ascii="Arial" w:cs="Arial" w:eastAsia="Arial" w:hAnsi="Arial"/>
                <w:sz w:val="15"/>
                <w:szCs w:val="15"/>
                <w:color w:val="auto"/>
              </w:rPr>
              <w:t>Proceeds from equipment financings</w:t>
            </w:r>
          </w:p>
        </w:tc>
        <w:tc>
          <w:tcPr>
            <w:tcW w:w="94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1,625</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Repayment of equipment financings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(747)</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Proceeds from exercise of stock options</w:t>
            </w:r>
          </w:p>
        </w:tc>
        <w:tc>
          <w:tcPr>
            <w:tcW w:w="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512</w:t>
            </w:r>
          </w:p>
        </w:tc>
        <w:tc>
          <w:tcPr>
            <w:tcW w:w="1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0"/>
        </w:trPr>
        <w:tc>
          <w:tcPr>
            <w:tcW w:w="7740" w:type="dxa"/>
            <w:vAlign w:val="bottom"/>
            <w:shd w:val="clear" w:color="auto" w:fill="CFF0FC"/>
          </w:tcPr>
          <w:p>
            <w:pPr>
              <w:ind w:left="940"/>
              <w:spacing w:after="0"/>
              <w:rPr>
                <w:sz w:val="20"/>
                <w:szCs w:val="20"/>
                <w:color w:val="auto"/>
              </w:rPr>
            </w:pPr>
            <w:r>
              <w:rPr>
                <w:rFonts w:ascii="Arial" w:cs="Arial" w:eastAsia="Arial" w:hAnsi="Arial"/>
                <w:sz w:val="15"/>
                <w:szCs w:val="15"/>
                <w:color w:val="auto"/>
              </w:rPr>
              <w:t>Net cash provided by financing activities</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192,235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37,888</w:t>
            </w: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88,081</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(96,755)</w:t>
            </w:r>
          </w:p>
        </w:tc>
        <w:tc>
          <w:tcPr>
            <w:tcW w:w="0" w:type="dxa"/>
            <w:vAlign w:val="bottom"/>
          </w:tcPr>
          <w:p>
            <w:pPr>
              <w:spacing w:after="0"/>
              <w:rPr>
                <w:sz w:val="1"/>
                <w:szCs w:val="1"/>
                <w:color w:val="auto"/>
              </w:rPr>
            </w:pPr>
          </w:p>
        </w:tc>
      </w:tr>
      <w:tr>
        <w:trPr>
          <w:trHeight w:val="202"/>
        </w:trPr>
        <w:tc>
          <w:tcPr>
            <w:tcW w:w="77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cash—beginning of period</w:t>
            </w:r>
          </w:p>
        </w:tc>
        <w:tc>
          <w:tcPr>
            <w:tcW w:w="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50,553</w:t>
            </w:r>
          </w:p>
        </w:tc>
        <w:tc>
          <w:tcPr>
            <w:tcW w:w="1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9"/>
              </w:rPr>
              <w:t>147,936</w:t>
            </w:r>
          </w:p>
        </w:tc>
        <w:tc>
          <w:tcPr>
            <w:tcW w:w="0" w:type="dxa"/>
            <w:vAlign w:val="bottom"/>
          </w:tcPr>
          <w:p>
            <w:pPr>
              <w:spacing w:after="0"/>
              <w:rPr>
                <w:sz w:val="1"/>
                <w:szCs w:val="1"/>
                <w:color w:val="auto"/>
              </w:rPr>
            </w:pPr>
          </w:p>
        </w:tc>
      </w:tr>
      <w:tr>
        <w:trPr>
          <w:trHeight w:val="197"/>
        </w:trPr>
        <w:tc>
          <w:tcPr>
            <w:tcW w:w="774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 restricted cash—end of period</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138,634</w:t>
            </w:r>
          </w:p>
        </w:tc>
        <w:tc>
          <w:tcPr>
            <w:tcW w:w="1160" w:type="dxa"/>
            <w:vAlign w:val="bottom"/>
            <w:gridSpan w:val="2"/>
            <w:shd w:val="clear" w:color="auto" w:fill="CFF0FC"/>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51,181</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740" w:type="dxa"/>
            <w:vAlign w:val="bottom"/>
          </w:tcPr>
          <w:p>
            <w:pPr>
              <w:spacing w:after="0"/>
              <w:rPr>
                <w:sz w:val="20"/>
                <w:szCs w:val="20"/>
                <w:color w:val="auto"/>
              </w:rPr>
            </w:pPr>
            <w:r>
              <w:rPr>
                <w:rFonts w:ascii="Arial" w:cs="Arial" w:eastAsia="Arial" w:hAnsi="Arial"/>
                <w:sz w:val="15"/>
                <w:szCs w:val="15"/>
                <w:color w:val="auto"/>
              </w:rPr>
              <w:t>Cash paid for interest</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282</w:t>
            </w:r>
          </w:p>
        </w:tc>
        <w:tc>
          <w:tcPr>
            <w:tcW w:w="11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774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Conversion of redeemable convertible preferred stock to common stock upon closing of the initial public offering</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303,326</w:t>
            </w:r>
          </w:p>
        </w:tc>
        <w:tc>
          <w:tcPr>
            <w:tcW w:w="1160" w:type="dxa"/>
            <w:vAlign w:val="bottom"/>
            <w:gridSpan w:val="2"/>
            <w:shd w:val="clear" w:color="auto" w:fill="CFF0FC"/>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5"/>
                <w:szCs w:val="15"/>
                <w:color w:val="auto"/>
              </w:rPr>
              <w:t>Property and equipment additions in accounts payable and accrued expenses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vMerge w:val="continue"/>
          </w:tcPr>
          <w:p>
            <w:pPr>
              <w:spacing w:after="0"/>
              <w:rPr>
                <w:sz w:val="17"/>
                <w:szCs w:val="17"/>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747</w:t>
            </w:r>
          </w:p>
        </w:tc>
        <w:tc>
          <w:tcPr>
            <w:tcW w:w="11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884</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5"/>
                <w:szCs w:val="15"/>
                <w:color w:val="auto"/>
              </w:rPr>
              <w:t>Operating lease liabilities arising from obtaining right-of-use assets</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vMerge w:val="continue"/>
            <w:shd w:val="clear" w:color="auto" w:fill="CFF0FC"/>
          </w:tcPr>
          <w:p>
            <w:pPr>
              <w:spacing w:after="0"/>
              <w:rPr>
                <w:sz w:val="15"/>
                <w:szCs w:val="15"/>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5,795</w:t>
            </w:r>
          </w:p>
        </w:tc>
        <w:tc>
          <w:tcPr>
            <w:tcW w:w="1160" w:type="dxa"/>
            <w:vAlign w:val="bottom"/>
            <w:gridSpan w:val="2"/>
            <w:shd w:val="clear" w:color="auto" w:fill="CFF0FC"/>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5"/>
                <w:szCs w:val="15"/>
                <w:color w:val="auto"/>
              </w:rPr>
              <w:t>Receipt of common stock in exchange for technology license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vMerge w:val="continue"/>
          </w:tcPr>
          <w:p>
            <w:pPr>
              <w:spacing w:after="0"/>
              <w:rPr>
                <w:sz w:val="17"/>
                <w:szCs w:val="17"/>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5"/>
                <w:szCs w:val="15"/>
                <w:color w:val="auto"/>
              </w:rPr>
              <w:t>Issuance of common stock for research and development license</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vMerge w:val="continue"/>
            <w:shd w:val="clear" w:color="auto" w:fill="CFF0FC"/>
          </w:tcPr>
          <w:p>
            <w:pPr>
              <w:spacing w:after="0"/>
              <w:rPr>
                <w:sz w:val="15"/>
                <w:szCs w:val="15"/>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5"/>
                <w:szCs w:val="15"/>
                <w:color w:val="auto"/>
              </w:rPr>
              <w:t>Equity issuance costs in accounts payable and accrued expenses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vMerge w:val="continue"/>
          </w:tcPr>
          <w:p>
            <w:pPr>
              <w:spacing w:after="0"/>
              <w:rPr>
                <w:sz w:val="17"/>
                <w:szCs w:val="17"/>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5"/>
                <w:szCs w:val="15"/>
                <w:color w:val="auto"/>
              </w:rPr>
              <w:t>Accretion of redeemable convertible preferred stock to redemption value, including dividends on preferred stock</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vMerge w:val="continue"/>
            <w:shd w:val="clear" w:color="auto" w:fill="CFF0FC"/>
          </w:tcPr>
          <w:p>
            <w:pPr>
              <w:spacing w:after="0"/>
              <w:rPr>
                <w:sz w:val="15"/>
                <w:szCs w:val="15"/>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1,277</w:t>
            </w:r>
          </w:p>
        </w:tc>
        <w:tc>
          <w:tcPr>
            <w:tcW w:w="1160" w:type="dxa"/>
            <w:vAlign w:val="bottom"/>
            <w:gridSpan w:val="2"/>
            <w:shd w:val="clear" w:color="auto" w:fill="CFF0FC"/>
          </w:tcPr>
          <w:p>
            <w:pPr>
              <w:jc w:val="right"/>
              <w:ind w:right="9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6,189</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Beam Therapeutics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w:t>
      </w:r>
      <w:r>
        <w:rPr>
          <w:rFonts w:ascii="Arial" w:cs="Arial" w:eastAsia="Arial" w:hAnsi="Arial"/>
          <w:sz w:val="17"/>
          <w:szCs w:val="17"/>
          <w:b w:val="1"/>
          <w:bCs w:val="1"/>
          <w:i w:val="1"/>
          <w:iCs w:val="1"/>
          <w:color w:val="auto"/>
        </w:rPr>
        <w:t>Unaudited</w:t>
      </w:r>
      <w:r>
        <w:rPr>
          <w:rFonts w:ascii="Arial" w:cs="Arial" w:eastAsia="Arial" w:hAnsi="Arial"/>
          <w:sz w:val="17"/>
          <w:szCs w:val="17"/>
          <w:b w:val="1"/>
          <w:b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 and basis of presentation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11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Beam Therapeutics Inc. (the “Company” or “Beam”) is a research stage biotechnology company committed to creating a new class of precision genetic medicines, based on the Company’s proprietary base editing technology, with a vision of providing life-long cures to patients suffering from serious diseases. The Company was incorporated in January 2017 as a Delaware corporation and began operations in July 2017. Its principal offices are in Cambridge, Massachusetts.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Since its inception, the Company has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7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connection with the Company’s initial public offering, or IPO, the Company’s board of directors approved a one-for-4.4843 reverse stock split of its issued and outstanding common stock and stock options and a proportional adjustment to the existing conversion ratios for the Company’s redeemable convertible preferred stock effective as of January 24, 2020. Accordingly, all common stock shares, per share amounts, and additional paid in capital amounts for all periods presented in the accompanying financial statements have been retroactively adjusted, where applicable, to reflect the reverse stock split and adjustment to the preferred stock conversion ratios.</w:t>
      </w:r>
    </w:p>
    <w:p>
      <w:pPr>
        <w:spacing w:after="0" w:line="7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the IPO, all outstanding shares of redeemable convertible preferred stock converted into 29,127,523 shares of the Company’s common stock.</w:t>
      </w:r>
    </w:p>
    <w:p>
      <w:pPr>
        <w:spacing w:after="0" w:line="7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Since its inception, the Company has incurred substantial losses and had an accumulated deficit of $267.7 million as of June 30, 2020. The Company expects to generate operating losses and negative operating cash flows for the foreseeable future. The Company expects that its cash, cash equivalents, and marketable securities as of June 30, 2020 of $228.0 million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United States generally accepted accounting principles, or GAAP, and pursuant to the rules and regulations of the Securities and Exchange Commission, or SEC. Certain information and footnote disclosures normally included in financial statements prepared in accordance with GAAP have been condensed or omitted pursuant to such rules and regulations.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 w:name="page10"/>
    <w:bookmarkEnd w:id="9"/>
    <w:p>
      <w:pPr>
        <w:ind w:right="100"/>
        <w:spacing w:after="0" w:line="272"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June 30, 2020, the results of its operations and other comprehensive loss, and redeemable convertible preferred stock and stockholders’ equity (deficit), for the three and six months ended June 30, 2020 and 2019, and cash flows for the six months ended June 30, 2020 and 2019. Such adjustments are of a normal and recurring nature. The results for the three and six months ended June 30, 2020 are not necessarily indicative of the results for the year ending December 31, 2020, or for any future period. These interim financial statements should be read in conjunction with the audited financial statements as of and for the year ended December 31, 2019, and notes thereto, which are included in the Company’s Annual Report on Form 10-K that was filed with the SEC on March 30, 2020.</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accompanying condensed consolidated financial statements include the accounts of Beam Therapeutics Inc. and its wholly owned subsidiaries, Blink Therapeutics Inc., or Blink, which is a Delaware subsidiary that holds certain intellectual property related to RNA base editing, and Beam Therapeutics Securities Corporation, which is a Massachusetts subsidiary created to buy, sell and hold securities. All intercompany transactions and balances have been eliminated in consolidation.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COVID-19-related significant risks and uncertainties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With the global spread of the ongoing coronavirus disease of 2019, or COVID-19, pandemic in the first six months of 2020, the Company has implemented business continuity plans designed to address and mitigate the impact of the COVID-19 pandemic on its business. In March 2020, to protect the health of its employees, and their families and communities, the Company restricted access to its offices to personnel who performed critical activities that must be completed on-site, limited the number of such personnel that could be present at its facilities at any one time, and requested that most of its employees work remotely. In May 2020, restrictions eased, and the number of remote employees were reduced. The Company expects to continue to incur additional costs to provide a safe working environment to its onsite employees.</w:t>
      </w:r>
    </w:p>
    <w:p>
      <w:pPr>
        <w:spacing w:after="0" w:line="8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extent to which the COVID-19 pandemic impacts the Company’s business, its corporate development objectives, results of operations and financial condition, and the value of and market for its common stock, will continue to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the Company’s business, financial condition, results of operations and growth prospects.</w:t>
      </w:r>
    </w:p>
    <w:p>
      <w:pPr>
        <w:spacing w:after="0" w:line="50" w:lineRule="exact"/>
        <w:rPr>
          <w:sz w:val="20"/>
          <w:szCs w:val="20"/>
          <w:color w:val="auto"/>
        </w:rPr>
      </w:pPr>
    </w:p>
    <w:p>
      <w:pPr>
        <w:ind w:right="120"/>
        <w:spacing w:after="0" w:line="344" w:lineRule="auto"/>
        <w:rPr>
          <w:sz w:val="20"/>
          <w:szCs w:val="20"/>
          <w:color w:val="auto"/>
        </w:rPr>
      </w:pPr>
      <w:r>
        <w:rPr>
          <w:rFonts w:ascii="Arial" w:cs="Arial" w:eastAsia="Arial" w:hAnsi="Arial"/>
          <w:sz w:val="15"/>
          <w:szCs w:val="15"/>
          <w:color w:val="auto"/>
        </w:rPr>
        <w:t>While the COVID-19 pandemic did not significantly impact the Company’s business or results of operations during the six months ended June 30, 2020, the length and extent of the pandemic, its consequences, and containment efforts will determine the future impact on the Company’s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15"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The Company’s significant accounting policies are disclosed in the audited consolidated financial statements for the year ended December 31, 2019, and notes thereto, which are included in the Company’s Annual Report on Form 10-K that was filed with the SEC on March 30, 2020. Since the date of those financial statements, there have been no material changes to Beam’s 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1" w:lineRule="exact"/>
        <w:rPr>
          <w:sz w:val="20"/>
          <w:szCs w:val="20"/>
          <w:color w:val="auto"/>
        </w:rPr>
      </w:pPr>
    </w:p>
    <w:p>
      <w:pPr>
        <w:jc w:val="both"/>
        <w:ind w:right="300"/>
        <w:spacing w:after="0" w:line="28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and expenses, and the disclosure of contingent assets and liabilities as of and during the reporting period. The Company bases its estimates and assumptions on historical experience when available and on various factors that it believes to be reasonable under the circumstances. The Company evaluates its estimates and assumptions on an ongoing basis. Actual results could differ from these estimates.</w:t>
      </w:r>
    </w:p>
    <w:p>
      <w:pPr>
        <w:spacing w:after="0" w:line="6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COVID-19 pandemic may have an impact on the development timelines of the Company’s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1"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Cash and cash equivalents consist of standard checking accounts, money market accounts, and all highly liquid investments with an original maturity of three months or less at the date of purchase. Restricted cash represents collateral provided for letters of credit issued as security deposits in connection with the Company’s leases of its corporate facilities.</w:t>
      </w:r>
    </w:p>
    <w:p>
      <w:pPr>
        <w:spacing w:after="0" w:line="7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following table reconciles cash, cash equivalents, and restricted cash reported within the Company’s condensed consolidated balance sheets to the total of the amounts shown in the condensed consolidated statements of cash flows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56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582"/>
              <w:spacing w:after="0"/>
              <w:rPr>
                <w:sz w:val="20"/>
                <w:szCs w:val="20"/>
                <w:color w:val="auto"/>
              </w:rPr>
            </w:pPr>
            <w:r>
              <w:rPr>
                <w:rFonts w:ascii="Arial" w:cs="Arial" w:eastAsia="Arial" w:hAnsi="Arial"/>
                <w:sz w:val="14"/>
                <w:szCs w:val="14"/>
                <w:b w:val="1"/>
                <w:bCs w:val="1"/>
                <w:color w:val="auto"/>
              </w:rPr>
              <w:t>June 30,</w:t>
            </w:r>
          </w:p>
        </w:tc>
      </w:tr>
      <w:tr>
        <w:trPr>
          <w:trHeight w:val="161"/>
        </w:trPr>
        <w:tc>
          <w:tcPr>
            <w:tcW w:w="7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2019</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125,301</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37,852</w:t>
            </w:r>
          </w:p>
        </w:tc>
      </w:tr>
      <w:tr>
        <w:trPr>
          <w:trHeight w:val="217"/>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13,333</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13,329</w:t>
            </w:r>
          </w:p>
        </w:tc>
      </w:tr>
      <w:tr>
        <w:trPr>
          <w:trHeight w:val="210"/>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cash, cash equivalents, and restricted cash</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138,634</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51,181</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1"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or ASC 808, which clarifies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ASC 808 will be effective for the Company in the first quarter of fiscal 2021, with early adoption permitted. A retrospective adoption to the date the Company adopted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is required by recognizing a cumulative-effect adjustment to the opening balance or retained earnings of the earliest period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The Company is currently evaluating the impact of the adoption of this standard on its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 of the following (in thousands):</w:t>
      </w:r>
    </w:p>
    <w:tbl>
      <w:tblPr>
        <w:tblLayout w:type="fixed"/>
        <w:tblInd w:w="0" w:type="dxa"/>
        <w:tblCellMar>
          <w:top w:w="0" w:type="dxa"/>
          <w:left w:w="0" w:type="dxa"/>
          <w:bottom w:w="0" w:type="dxa"/>
          <w:right w:w="0" w:type="dxa"/>
        </w:tblCellMar>
      </w:tblPr>
      <w:tr>
        <w:trPr>
          <w:trHeight w:val="143"/>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4"/>
          </w:tcPr>
          <w:p>
            <w:pPr>
              <w:jc w:val="center"/>
              <w:ind w:left="432"/>
              <w:spacing w:after="0" w:line="143" w:lineRule="exact"/>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jc w:val="right"/>
              <w:ind w:right="418"/>
              <w:spacing w:after="0" w:line="14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8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3"/>
              </w:rPr>
              <w:t>2020</w:t>
            </w: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Lab equipment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center"/>
              <w:ind w:right="192"/>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14,826</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12,029</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12,705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12,653</w:t>
            </w:r>
          </w:p>
        </w:tc>
        <w:tc>
          <w:tcPr>
            <w:tcW w:w="0" w:type="dxa"/>
            <w:vAlign w:val="bottom"/>
          </w:tcPr>
          <w:p>
            <w:pPr>
              <w:spacing w:after="0"/>
              <w:rPr>
                <w:sz w:val="1"/>
                <w:szCs w:val="1"/>
                <w:color w:val="auto"/>
              </w:rPr>
            </w:pPr>
          </w:p>
        </w:tc>
      </w:tr>
      <w:tr>
        <w:trPr>
          <w:trHeight w:val="218"/>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Furniture and fixtures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7"/>
                <w:szCs w:val="17"/>
                <w:color w:val="auto"/>
              </w:rPr>
              <w:t>Computer equipment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18"/>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Construction in process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3,030</w:t>
            </w: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2,185</w:t>
            </w:r>
          </w:p>
        </w:tc>
        <w:tc>
          <w:tcPr>
            <w:tcW w:w="0" w:type="dxa"/>
            <w:vAlign w:val="bottom"/>
          </w:tcPr>
          <w:p>
            <w:pPr>
              <w:spacing w:after="0"/>
              <w:rPr>
                <w:sz w:val="1"/>
                <w:szCs w:val="1"/>
                <w:color w:val="auto"/>
              </w:rPr>
            </w:pPr>
          </w:p>
        </w:tc>
      </w:tr>
      <w:tr>
        <w:trPr>
          <w:trHeight w:val="209"/>
        </w:trPr>
        <w:tc>
          <w:tcPr>
            <w:tcW w:w="5860" w:type="dxa"/>
            <w:vAlign w:val="bottom"/>
          </w:tcPr>
          <w:p>
            <w:pPr>
              <w:ind w:left="240"/>
              <w:spacing w:after="0"/>
              <w:rPr>
                <w:sz w:val="20"/>
                <w:szCs w:val="20"/>
                <w:color w:val="auto"/>
              </w:rPr>
            </w:pPr>
            <w:r>
              <w:rPr>
                <w:rFonts w:ascii="Arial" w:cs="Arial" w:eastAsia="Arial" w:hAnsi="Arial"/>
                <w:sz w:val="17"/>
                <w:szCs w:val="17"/>
                <w:color w:val="auto"/>
              </w:rPr>
              <w:t>Total property and equipment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32,148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28,454</w:t>
            </w:r>
          </w:p>
        </w:tc>
        <w:tc>
          <w:tcPr>
            <w:tcW w:w="0" w:type="dxa"/>
            <w:vAlign w:val="bottom"/>
          </w:tcPr>
          <w:p>
            <w:pPr>
              <w:spacing w:after="0"/>
              <w:rPr>
                <w:sz w:val="1"/>
                <w:szCs w:val="1"/>
                <w:color w:val="auto"/>
              </w:rPr>
            </w:pPr>
          </w:p>
        </w:tc>
      </w:tr>
      <w:tr>
        <w:trPr>
          <w:trHeight w:val="218"/>
        </w:trPr>
        <w:tc>
          <w:tcPr>
            <w:tcW w:w="5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(6,409)</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(4,164)</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center"/>
              <w:ind w:right="192"/>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25,739</w:t>
            </w:r>
          </w:p>
        </w:tc>
        <w:tc>
          <w:tcPr>
            <w:tcW w:w="5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24,290</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w w:val="99"/>
              </w:rPr>
              <w:t>The following table summarizes depreciation expense incurred (in thousands):</w:t>
            </w: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vMerge w:val="restart"/>
          </w:tcPr>
          <w:p>
            <w:pPr>
              <w:jc w:val="right"/>
              <w:ind w:right="292"/>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7"/>
            <w:vMerge w:val="restart"/>
          </w:tcPr>
          <w:p>
            <w:pPr>
              <w:jc w:val="right"/>
              <w:ind w:right="49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59"/>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6"/>
              <w:spacing w:after="0" w:line="146"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172"/>
              <w:spacing w:after="0" w:line="146"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8"/>
              <w:spacing w:after="0" w:line="146"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Depreciation expense</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1,145</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858</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w w:val="84"/>
              </w:rPr>
              <w:t>2,245</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1,593</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of financial instruments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The Company’s financial instruments that are measured at fair value on a recurring basis consist of cash equivalents, marketable securities, and success payment derivative liabilities pursuant to the license agreement between Harvard University, or Harvard, and the Company, or the Harvard License Agreement, and the license agreement between Broad Institute of MIT and Harvard, or Broad Institute, and Blink, or the Broad License Agreement.</w:t>
      </w:r>
    </w:p>
    <w:p>
      <w:pPr>
        <w:spacing w:after="0" w:line="55"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The Company also holds investments in privately issued corporate equity securities, which are accounted for investments in equity securities. These investments do not have readily determinable fair values and the Company values such investments based on the cost of the equity securities adjusted for observable market transactions or impairments, if any. As of June 30, 2020, the Company held $2.5 million of investments in privately issued corporate equity securities. During the three and six months ended June 30, 2020, as a result of an observable market transaction (Level 2), the Company adjusted the value of its investment and recorded unrealized gains of $0.5 million in interest and other income, net in the Company’s consolidated statements of operations and other comprehensive loss.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1" w:name="page12"/>
    <w:bookmarkEnd w:id="11"/>
    <w:p>
      <w:pPr>
        <w:ind w:right="440"/>
        <w:spacing w:after="0" w:line="308"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41" w:lineRule="exact"/>
        <w:rPr>
          <w:sz w:val="20"/>
          <w:szCs w:val="20"/>
          <w:color w:val="auto"/>
        </w:rPr>
      </w:pPr>
    </w:p>
    <w:p>
      <w:pPr>
        <w:ind w:left="740" w:hanging="36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for identical assets or liabilities.</w:t>
      </w:r>
    </w:p>
    <w:p>
      <w:pPr>
        <w:spacing w:after="0" w:line="213" w:lineRule="exact"/>
        <w:rPr>
          <w:rFonts w:ascii="Arial" w:cs="Arial" w:eastAsia="Arial" w:hAnsi="Arial"/>
          <w:sz w:val="17"/>
          <w:szCs w:val="17"/>
          <w:color w:val="auto"/>
        </w:rPr>
      </w:pPr>
    </w:p>
    <w:p>
      <w:pPr>
        <w:ind w:left="740" w:right="260" w:hanging="367"/>
        <w:spacing w:after="0" w:line="275"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65" w:lineRule="exact"/>
        <w:rPr>
          <w:rFonts w:ascii="Arial" w:cs="Arial" w:eastAsia="Arial" w:hAnsi="Arial"/>
          <w:sz w:val="17"/>
          <w:szCs w:val="17"/>
          <w:color w:val="auto"/>
        </w:rPr>
      </w:pPr>
    </w:p>
    <w:p>
      <w:pPr>
        <w:ind w:left="740" w:right="240" w:hanging="367"/>
        <w:spacing w:after="0" w:line="275"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that reflect our own assumptions about the assumptions market participants would use in pricing the asset or liability in which there is little, if any, market activity for the asset or liability at the measurement date.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fair value of the Company’s financial assets and liabilities by level within the fair value hierarchy at June 30,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37"/>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97"/>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1"/>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08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3</w:t>
            </w:r>
          </w:p>
        </w:tc>
      </w:tr>
      <w:tr>
        <w:trPr>
          <w:trHeight w:val="172"/>
        </w:trPr>
        <w:tc>
          <w:tcPr>
            <w:tcW w:w="4340" w:type="dxa"/>
            <w:vAlign w:val="bottom"/>
            <w:tcBorders>
              <w:top w:val="single" w:sz="8" w:color="CFF0FC"/>
            </w:tcBorders>
            <w:gridSpan w:val="3"/>
            <w:shd w:val="clear" w:color="auto" w:fill="CFF0FC"/>
          </w:tcPr>
          <w:p>
            <w:pPr>
              <w:spacing w:after="0" w:line="172" w:lineRule="exact"/>
              <w:rPr>
                <w:sz w:val="20"/>
                <w:szCs w:val="20"/>
                <w:color w:val="auto"/>
              </w:rPr>
            </w:pPr>
            <w:r>
              <w:rPr>
                <w:rFonts w:ascii="Arial" w:cs="Arial" w:eastAsia="Arial" w:hAnsi="Arial"/>
                <w:sz w:val="17"/>
                <w:szCs w:val="17"/>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r>
      <w:tr>
        <w:trPr>
          <w:trHeight w:val="38"/>
        </w:trPr>
        <w:tc>
          <w:tcPr>
            <w:tcW w:w="440" w:type="dxa"/>
            <w:vAlign w:val="bottom"/>
            <w:shd w:val="clear" w:color="auto" w:fill="000000"/>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36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17"/>
        </w:trPr>
        <w:tc>
          <w:tcPr>
            <w:tcW w:w="4340" w:type="dxa"/>
            <w:vAlign w:val="bottom"/>
            <w:gridSpan w:val="3"/>
          </w:tcPr>
          <w:p>
            <w:pPr>
              <w:ind w:left="240"/>
              <w:spacing w:after="0"/>
              <w:rPr>
                <w:sz w:val="20"/>
                <w:szCs w:val="20"/>
                <w:color w:val="auto"/>
              </w:rPr>
            </w:pPr>
            <w:r>
              <w:rPr>
                <w:rFonts w:ascii="Arial" w:cs="Arial" w:eastAsia="Arial" w:hAnsi="Arial"/>
                <w:sz w:val="17"/>
                <w:szCs w:val="17"/>
                <w:color w:val="auto"/>
              </w:rPr>
              <w:t>Cash equivalents: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440" w:type="dxa"/>
            <w:vAlign w:val="bottom"/>
            <w:shd w:val="clear" w:color="auto" w:fill="CFF0FC"/>
          </w:tcPr>
          <w:p>
            <w:pPr>
              <w:spacing w:after="0"/>
              <w:rPr>
                <w:sz w:val="18"/>
                <w:szCs w:val="18"/>
                <w:color w:val="auto"/>
              </w:rPr>
            </w:pPr>
          </w:p>
        </w:tc>
        <w:tc>
          <w:tcPr>
            <w:tcW w:w="390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55,653</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55,653</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55,653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r>
      <w:tr>
        <w:trPr>
          <w:trHeight w:val="217"/>
        </w:trPr>
        <w:tc>
          <w:tcPr>
            <w:tcW w:w="4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7"/>
                <w:szCs w:val="17"/>
                <w:color w:val="auto"/>
              </w:rPr>
              <w:t>Commercial paper</w:t>
            </w:r>
          </w:p>
        </w:tc>
        <w:tc>
          <w:tcPr>
            <w:tcW w:w="1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54,738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54,738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54,738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18"/>
        </w:trPr>
        <w:tc>
          <w:tcPr>
            <w:tcW w:w="440" w:type="dxa"/>
            <w:vAlign w:val="bottom"/>
            <w:shd w:val="clear" w:color="auto" w:fill="CFF0FC"/>
          </w:tcPr>
          <w:p>
            <w:pPr>
              <w:spacing w:after="0"/>
              <w:rPr>
                <w:sz w:val="18"/>
                <w:szCs w:val="18"/>
                <w:color w:val="auto"/>
              </w:rPr>
            </w:pPr>
          </w:p>
        </w:tc>
        <w:tc>
          <w:tcPr>
            <w:tcW w:w="390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Corporate notes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2,008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2,008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2,008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r>
      <w:tr>
        <w:trPr>
          <w:trHeight w:val="217"/>
        </w:trPr>
        <w:tc>
          <w:tcPr>
            <w:tcW w:w="4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12,998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12,998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12,998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18"/>
        </w:trPr>
        <w:tc>
          <w:tcPr>
            <w:tcW w:w="4340" w:type="dxa"/>
            <w:vAlign w:val="bottom"/>
            <w:gridSpan w:val="3"/>
            <w:shd w:val="clear" w:color="auto" w:fill="CFF0FC"/>
          </w:tcPr>
          <w:p>
            <w:pPr>
              <w:ind w:left="240"/>
              <w:spacing w:after="0"/>
              <w:rPr>
                <w:sz w:val="20"/>
                <w:szCs w:val="20"/>
                <w:color w:val="auto"/>
              </w:rPr>
            </w:pPr>
            <w:r>
              <w:rPr>
                <w:rFonts w:ascii="Arial" w:cs="Arial" w:eastAsia="Arial" w:hAnsi="Arial"/>
                <w:sz w:val="17"/>
                <w:szCs w:val="17"/>
                <w:color w:val="auto"/>
              </w:rPr>
              <w:t>Marketable securities: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7"/>
        </w:trPr>
        <w:tc>
          <w:tcPr>
            <w:tcW w:w="4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7"/>
                <w:szCs w:val="17"/>
                <w:color w:val="auto"/>
              </w:rPr>
              <w:t>Commercial paper</w:t>
            </w:r>
          </w:p>
        </w:tc>
        <w:tc>
          <w:tcPr>
            <w:tcW w:w="1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29,735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29,735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29,735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18"/>
        </w:trPr>
        <w:tc>
          <w:tcPr>
            <w:tcW w:w="440" w:type="dxa"/>
            <w:vAlign w:val="bottom"/>
            <w:shd w:val="clear" w:color="auto" w:fill="CFF0FC"/>
          </w:tcPr>
          <w:p>
            <w:pPr>
              <w:spacing w:after="0"/>
              <w:rPr>
                <w:sz w:val="18"/>
                <w:szCs w:val="18"/>
                <w:color w:val="auto"/>
              </w:rPr>
            </w:pPr>
          </w:p>
        </w:tc>
        <w:tc>
          <w:tcPr>
            <w:tcW w:w="390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Corporate notes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54,670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54,670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54,670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r>
      <w:tr>
        <w:trPr>
          <w:trHeight w:val="217"/>
        </w:trPr>
        <w:tc>
          <w:tcPr>
            <w:tcW w:w="440" w:type="dxa"/>
            <w:vAlign w:val="bottom"/>
            <w:tcBorders>
              <w:bottom w:val="single" w:sz="8" w:color="CFF0FC"/>
            </w:tcBorders>
          </w:tcPr>
          <w:p>
            <w:pPr>
              <w:spacing w:after="0"/>
              <w:rPr>
                <w:sz w:val="18"/>
                <w:szCs w:val="18"/>
                <w:color w:val="auto"/>
              </w:rPr>
            </w:pPr>
          </w:p>
        </w:tc>
        <w:tc>
          <w:tcPr>
            <w:tcW w:w="3900" w:type="dxa"/>
            <w:vAlign w:val="bottom"/>
            <w:tcBorders>
              <w:bottom w:val="single" w:sz="8" w:color="CFF0FC"/>
            </w:tcBorders>
            <w:gridSpan w:val="2"/>
          </w:tcPr>
          <w:p>
            <w:pPr>
              <w:ind w:left="20"/>
              <w:spacing w:after="0"/>
              <w:rPr>
                <w:sz w:val="20"/>
                <w:szCs w:val="20"/>
                <w:color w:val="auto"/>
              </w:rPr>
            </w:pPr>
            <w:r>
              <w:rPr>
                <w:rFonts w:ascii="Arial" w:cs="Arial" w:eastAsia="Arial" w:hAnsi="Arial"/>
                <w:sz w:val="17"/>
                <w:szCs w:val="17"/>
                <w:color w:val="auto"/>
              </w:rPr>
              <w:t>U.S. Treasury securities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18,244</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18,244</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18,244</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r>
      <w:tr>
        <w:trPr>
          <w:trHeight w:val="210"/>
        </w:trPr>
        <w:tc>
          <w:tcPr>
            <w:tcW w:w="43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228,046</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228,046</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55,653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172,393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r>
      <w:tr>
        <w:trPr>
          <w:trHeight w:val="20"/>
        </w:trPr>
        <w:tc>
          <w:tcPr>
            <w:tcW w:w="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7"/>
        </w:trPr>
        <w:tc>
          <w:tcPr>
            <w:tcW w:w="700" w:type="dxa"/>
            <w:vAlign w:val="bottom"/>
            <w:tcBorders>
              <w:bottom w:val="single" w:sz="8" w:color="auto"/>
            </w:tcBorders>
            <w:gridSpan w:val="2"/>
            <w:shd w:val="clear" w:color="auto" w:fill="CFF0FC"/>
          </w:tcPr>
          <w:p>
            <w:pPr>
              <w:spacing w:after="0" w:line="179" w:lineRule="exact"/>
              <w:rPr>
                <w:sz w:val="20"/>
                <w:szCs w:val="20"/>
                <w:color w:val="auto"/>
              </w:rPr>
            </w:pPr>
            <w:r>
              <w:rPr>
                <w:rFonts w:ascii="Arial" w:cs="Arial" w:eastAsia="Arial" w:hAnsi="Arial"/>
                <w:sz w:val="17"/>
                <w:szCs w:val="17"/>
                <w:color w:val="auto"/>
                <w:w w:val="97"/>
              </w:rPr>
              <w:t>Liabilities</w:t>
            </w:r>
          </w:p>
        </w:tc>
        <w:tc>
          <w:tcPr>
            <w:tcW w:w="36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r>
      <w:tr>
        <w:trPr>
          <w:trHeight w:val="217"/>
        </w:trPr>
        <w:tc>
          <w:tcPr>
            <w:tcW w:w="4340" w:type="dxa"/>
            <w:vAlign w:val="bottom"/>
            <w:gridSpan w:val="3"/>
          </w:tcPr>
          <w:p>
            <w:pPr>
              <w:ind w:left="240"/>
              <w:spacing w:after="0"/>
              <w:rPr>
                <w:sz w:val="20"/>
                <w:szCs w:val="20"/>
                <w:color w:val="auto"/>
              </w:rPr>
            </w:pPr>
            <w:r>
              <w:rPr>
                <w:rFonts w:ascii="Arial" w:cs="Arial" w:eastAsia="Arial" w:hAnsi="Arial"/>
                <w:sz w:val="17"/>
                <w:szCs w:val="17"/>
                <w:color w:val="auto"/>
              </w:rPr>
              <w:t>Success payment liability – Harvard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9,600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9,600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9,600</w:t>
            </w:r>
          </w:p>
        </w:tc>
      </w:tr>
      <w:tr>
        <w:trPr>
          <w:trHeight w:val="218"/>
        </w:trPr>
        <w:tc>
          <w:tcPr>
            <w:tcW w:w="4340" w:type="dxa"/>
            <w:vAlign w:val="bottom"/>
            <w:gridSpan w:val="3"/>
            <w:shd w:val="clear" w:color="auto" w:fill="CFF0FC"/>
          </w:tcPr>
          <w:p>
            <w:pPr>
              <w:ind w:left="240"/>
              <w:spacing w:after="0"/>
              <w:rPr>
                <w:sz w:val="20"/>
                <w:szCs w:val="20"/>
                <w:color w:val="auto"/>
              </w:rPr>
            </w:pPr>
            <w:r>
              <w:rPr>
                <w:rFonts w:ascii="Arial" w:cs="Arial" w:eastAsia="Arial" w:hAnsi="Arial"/>
                <w:sz w:val="17"/>
                <w:szCs w:val="17"/>
                <w:color w:val="auto"/>
              </w:rPr>
              <w:t>Success payment liability – Broad Institute</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9,600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9,600</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9,600</w:t>
            </w:r>
          </w:p>
        </w:tc>
      </w:tr>
      <w:tr>
        <w:trPr>
          <w:trHeight w:val="209"/>
        </w:trPr>
        <w:tc>
          <w:tcPr>
            <w:tcW w:w="4340" w:type="dxa"/>
            <w:vAlign w:val="bottom"/>
            <w:gridSpan w:val="3"/>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19,200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19,200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6"/>
              <w:spacing w:after="0"/>
              <w:rPr>
                <w:sz w:val="20"/>
                <w:szCs w:val="20"/>
                <w:color w:val="auto"/>
              </w:rPr>
            </w:pPr>
            <w:r>
              <w:rPr>
                <w:rFonts w:ascii="Arial" w:cs="Arial" w:eastAsia="Arial" w:hAnsi="Arial"/>
                <w:sz w:val="17"/>
                <w:szCs w:val="17"/>
                <w:color w:val="auto"/>
              </w:rPr>
              <w:t>19,200</w:t>
            </w: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The following table sets forth the fair value of the Company’s financial assets and liabilities by level within the fair value hierarchy at December 31, 2019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38"/>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9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1"/>
        </w:trPr>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5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Level 3</w:t>
            </w:r>
          </w:p>
        </w:tc>
      </w:tr>
      <w:tr>
        <w:trPr>
          <w:trHeight w:val="172"/>
        </w:trPr>
        <w:tc>
          <w:tcPr>
            <w:tcW w:w="4340" w:type="dxa"/>
            <w:vAlign w:val="bottom"/>
            <w:tcBorders>
              <w:top w:val="single" w:sz="8" w:color="CFF0FC"/>
            </w:tcBorders>
            <w:gridSpan w:val="3"/>
            <w:shd w:val="clear" w:color="auto" w:fill="CFF0FC"/>
          </w:tcPr>
          <w:p>
            <w:pPr>
              <w:spacing w:after="0" w:line="172" w:lineRule="exact"/>
              <w:rPr>
                <w:sz w:val="20"/>
                <w:szCs w:val="20"/>
                <w:color w:val="auto"/>
              </w:rPr>
            </w:pPr>
            <w:r>
              <w:rPr>
                <w:rFonts w:ascii="Arial" w:cs="Arial" w:eastAsia="Arial" w:hAnsi="Arial"/>
                <w:sz w:val="17"/>
                <w:szCs w:val="17"/>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r>
      <w:tr>
        <w:trPr>
          <w:trHeight w:val="38"/>
        </w:trPr>
        <w:tc>
          <w:tcPr>
            <w:tcW w:w="440" w:type="dxa"/>
            <w:vAlign w:val="bottom"/>
            <w:shd w:val="clear" w:color="auto" w:fill="000000"/>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36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17"/>
        </w:trPr>
        <w:tc>
          <w:tcPr>
            <w:tcW w:w="4340" w:type="dxa"/>
            <w:vAlign w:val="bottom"/>
            <w:gridSpan w:val="3"/>
          </w:tcPr>
          <w:p>
            <w:pPr>
              <w:ind w:left="240"/>
              <w:spacing w:after="0"/>
              <w:rPr>
                <w:sz w:val="20"/>
                <w:szCs w:val="20"/>
                <w:color w:val="auto"/>
              </w:rPr>
            </w:pPr>
            <w:r>
              <w:rPr>
                <w:rFonts w:ascii="Arial" w:cs="Arial" w:eastAsia="Arial" w:hAnsi="Arial"/>
                <w:sz w:val="17"/>
                <w:szCs w:val="17"/>
                <w:color w:val="auto"/>
              </w:rPr>
              <w:t>Cash equivalents: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440" w:type="dxa"/>
            <w:vAlign w:val="bottom"/>
            <w:shd w:val="clear" w:color="auto" w:fill="CFF0FC"/>
          </w:tcPr>
          <w:p>
            <w:pPr>
              <w:spacing w:after="0"/>
              <w:rPr>
                <w:sz w:val="18"/>
                <w:szCs w:val="18"/>
                <w:color w:val="auto"/>
              </w:rPr>
            </w:pPr>
          </w:p>
        </w:tc>
        <w:tc>
          <w:tcPr>
            <w:tcW w:w="390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6,172</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6,172</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6,172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w:t>
            </w:r>
          </w:p>
        </w:tc>
      </w:tr>
      <w:tr>
        <w:trPr>
          <w:trHeight w:val="217"/>
        </w:trPr>
        <w:tc>
          <w:tcPr>
            <w:tcW w:w="4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7"/>
                <w:szCs w:val="17"/>
                <w:color w:val="auto"/>
              </w:rPr>
              <w:t>Commercial paper</w:t>
            </w:r>
          </w:p>
        </w:tc>
        <w:tc>
          <w:tcPr>
            <w:tcW w:w="18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3,986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3,986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3,986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18"/>
        </w:trPr>
        <w:tc>
          <w:tcPr>
            <w:tcW w:w="4340" w:type="dxa"/>
            <w:vAlign w:val="bottom"/>
            <w:gridSpan w:val="3"/>
            <w:shd w:val="clear" w:color="auto" w:fill="CFF0FC"/>
          </w:tcPr>
          <w:p>
            <w:pPr>
              <w:ind w:left="240"/>
              <w:spacing w:after="0"/>
              <w:rPr>
                <w:sz w:val="20"/>
                <w:szCs w:val="20"/>
                <w:color w:val="auto"/>
              </w:rPr>
            </w:pPr>
            <w:r>
              <w:rPr>
                <w:rFonts w:ascii="Arial" w:cs="Arial" w:eastAsia="Arial" w:hAnsi="Arial"/>
                <w:sz w:val="17"/>
                <w:szCs w:val="17"/>
                <w:color w:val="auto"/>
              </w:rPr>
              <w:t>Marketable securities: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7"/>
        </w:trPr>
        <w:tc>
          <w:tcPr>
            <w:tcW w:w="44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7"/>
                <w:szCs w:val="17"/>
                <w:color w:val="auto"/>
              </w:rPr>
              <w:t>Commercial paper</w:t>
            </w:r>
          </w:p>
        </w:tc>
        <w:tc>
          <w:tcPr>
            <w:tcW w:w="18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36,889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36,889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36,889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18"/>
        </w:trPr>
        <w:tc>
          <w:tcPr>
            <w:tcW w:w="440" w:type="dxa"/>
            <w:vAlign w:val="bottom"/>
            <w:shd w:val="clear" w:color="auto" w:fill="CFF0FC"/>
          </w:tcPr>
          <w:p>
            <w:pPr>
              <w:spacing w:after="0"/>
              <w:rPr>
                <w:sz w:val="18"/>
                <w:szCs w:val="18"/>
                <w:color w:val="auto"/>
              </w:rPr>
            </w:pPr>
          </w:p>
        </w:tc>
        <w:tc>
          <w:tcPr>
            <w:tcW w:w="390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Corporate notes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17,738</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17,738</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17,738</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w:t>
            </w:r>
          </w:p>
        </w:tc>
      </w:tr>
      <w:tr>
        <w:trPr>
          <w:trHeight w:val="249"/>
        </w:trPr>
        <w:tc>
          <w:tcPr>
            <w:tcW w:w="4340" w:type="dxa"/>
            <w:vAlign w:val="bottom"/>
            <w:gridSpan w:val="3"/>
          </w:tcPr>
          <w:p>
            <w:pPr>
              <w:spacing w:after="0"/>
              <w:rPr>
                <w:sz w:val="20"/>
                <w:szCs w:val="20"/>
                <w:color w:val="auto"/>
              </w:rPr>
            </w:pPr>
            <w:r>
              <w:rPr>
                <w:rFonts w:ascii="Arial" w:cs="Arial" w:eastAsia="Arial" w:hAnsi="Arial"/>
                <w:sz w:val="17"/>
                <w:szCs w:val="17"/>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64,785</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64,785</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6,172</w:t>
            </w:r>
          </w:p>
        </w:tc>
        <w:tc>
          <w:tcPr>
            <w:tcW w:w="12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58,613</w:t>
            </w:r>
          </w:p>
        </w:tc>
        <w:tc>
          <w:tcPr>
            <w:tcW w:w="120" w:type="dxa"/>
            <w:vAlign w:val="bottom"/>
          </w:tcPr>
          <w:p>
            <w:pPr>
              <w:spacing w:after="0"/>
              <w:rPr>
                <w:sz w:val="21"/>
                <w:szCs w:val="21"/>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196"/>
        </w:trPr>
        <w:tc>
          <w:tcPr>
            <w:tcW w:w="4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r>
      <w:tr>
        <w:trPr>
          <w:trHeight w:val="188"/>
        </w:trPr>
        <w:tc>
          <w:tcPr>
            <w:tcW w:w="70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7"/>
                <w:szCs w:val="17"/>
                <w:color w:val="auto"/>
                <w:w w:val="97"/>
              </w:rPr>
              <w:t>Liabilities</w:t>
            </w:r>
          </w:p>
        </w:tc>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6"/>
        </w:trPr>
        <w:tc>
          <w:tcPr>
            <w:tcW w:w="4340" w:type="dxa"/>
            <w:vAlign w:val="bottom"/>
            <w:gridSpan w:val="3"/>
            <w:shd w:val="clear" w:color="auto" w:fill="CFF0FC"/>
          </w:tcPr>
          <w:p>
            <w:pPr>
              <w:ind w:left="240"/>
              <w:spacing w:after="0"/>
              <w:rPr>
                <w:sz w:val="20"/>
                <w:szCs w:val="20"/>
                <w:color w:val="auto"/>
              </w:rPr>
            </w:pPr>
            <w:r>
              <w:rPr>
                <w:rFonts w:ascii="Arial" w:cs="Arial" w:eastAsia="Arial" w:hAnsi="Arial"/>
                <w:sz w:val="17"/>
                <w:szCs w:val="17"/>
                <w:color w:val="auto"/>
              </w:rPr>
              <w:t>Success payment liability – Harvard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3,900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3,900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3,900</w:t>
            </w:r>
          </w:p>
        </w:tc>
      </w:tr>
      <w:tr>
        <w:trPr>
          <w:trHeight w:val="217"/>
        </w:trPr>
        <w:tc>
          <w:tcPr>
            <w:tcW w:w="4340" w:type="dxa"/>
            <w:vAlign w:val="bottom"/>
            <w:tcBorders>
              <w:bottom w:val="single" w:sz="8" w:color="CFF0FC"/>
            </w:tcBorders>
            <w:gridSpan w:val="3"/>
          </w:tcPr>
          <w:p>
            <w:pPr>
              <w:ind w:left="240"/>
              <w:spacing w:after="0"/>
              <w:rPr>
                <w:sz w:val="20"/>
                <w:szCs w:val="20"/>
                <w:color w:val="auto"/>
              </w:rPr>
            </w:pPr>
            <w:r>
              <w:rPr>
                <w:rFonts w:ascii="Arial" w:cs="Arial" w:eastAsia="Arial" w:hAnsi="Arial"/>
                <w:sz w:val="17"/>
                <w:szCs w:val="17"/>
                <w:color w:val="auto"/>
              </w:rPr>
              <w:t>Success payment liability – Broad Institute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3,900</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3,900</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3,900</w:t>
            </w:r>
          </w:p>
        </w:tc>
      </w:tr>
      <w:tr>
        <w:trPr>
          <w:trHeight w:val="210"/>
        </w:trPr>
        <w:tc>
          <w:tcPr>
            <w:tcW w:w="43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7,800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7,800</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7,800</w:t>
            </w:r>
          </w:p>
        </w:tc>
      </w:tr>
      <w:tr>
        <w:trPr>
          <w:trHeight w:val="20"/>
        </w:trPr>
        <w:tc>
          <w:tcPr>
            <w:tcW w:w="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color w:val="auto"/>
        </w:rPr>
        <w:t xml:space="preserve">Cash equivalents </w:t>
      </w:r>
      <w:r>
        <w:rPr>
          <w:rFonts w:ascii="Arial" w:cs="Arial" w:eastAsia="Arial" w:hAnsi="Arial"/>
          <w:sz w:val="17"/>
          <w:szCs w:val="17"/>
          <w:color w:val="auto"/>
        </w:rPr>
        <w:t>– Money market funds included within cash equivalents are classified within Level 1 of the fair value hierarchy because they are valued using</w:t>
      </w:r>
      <w:r>
        <w:rPr>
          <w:rFonts w:ascii="Arial" w:cs="Arial" w:eastAsia="Arial" w:hAnsi="Arial"/>
          <w:sz w:val="17"/>
          <w:szCs w:val="17"/>
          <w:b w:val="1"/>
          <w:bCs w:val="1"/>
          <w:color w:val="auto"/>
        </w:rPr>
        <w:t xml:space="preserve"> </w:t>
      </w:r>
      <w:r>
        <w:rPr>
          <w:rFonts w:ascii="Arial" w:cs="Arial" w:eastAsia="Arial" w:hAnsi="Arial"/>
          <w:sz w:val="17"/>
          <w:szCs w:val="17"/>
          <w:color w:val="auto"/>
        </w:rPr>
        <w:t>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3"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color w:val="auto"/>
        </w:rPr>
        <w:t xml:space="preserve">Marketable securities </w:t>
      </w:r>
      <w:r>
        <w:rPr>
          <w:rFonts w:ascii="Arial" w:cs="Arial" w:eastAsia="Arial" w:hAnsi="Arial"/>
          <w:sz w:val="17"/>
          <w:szCs w:val="17"/>
          <w:color w:val="auto"/>
        </w:rPr>
        <w:t>– The Company measures its marketable securities at fair value on a recurring basis and classify those instruments within Level 2 of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 hierarchy. Marketable securities are classified within Level 2 of the fair value hierarchy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2" w:name="page13"/>
    <w:bookmarkEnd w:id="12"/>
    <w:p>
      <w:pPr>
        <w:ind w:right="380"/>
        <w:spacing w:after="0" w:line="275" w:lineRule="auto"/>
        <w:rPr>
          <w:sz w:val="20"/>
          <w:szCs w:val="20"/>
          <w:color w:val="auto"/>
        </w:rPr>
      </w:pPr>
      <w:r>
        <w:rPr>
          <w:rFonts w:ascii="Arial" w:cs="Arial" w:eastAsia="Arial" w:hAnsi="Arial"/>
          <w:sz w:val="17"/>
          <w:szCs w:val="17"/>
          <w:color w:val="auto"/>
        </w:rPr>
        <w:t>because pricing inputs are other than quoted prices in active markets, which are either directly or indirectly observable as of the reporting date, and fair value is determined using models or other valuation methodologies.</w:t>
      </w:r>
    </w:p>
    <w:p>
      <w:pPr>
        <w:spacing w:after="0" w:line="5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color w:val="auto"/>
        </w:rPr>
        <w:t xml:space="preserve">Success Payment Liabilities </w:t>
      </w:r>
      <w:r>
        <w:rPr>
          <w:rFonts w:ascii="Arial" w:cs="Arial" w:eastAsia="Arial" w:hAnsi="Arial"/>
          <w:sz w:val="17"/>
          <w:szCs w:val="17"/>
          <w:color w:val="auto"/>
        </w:rPr>
        <w:t>– As discussed further in Note 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License Agreements</w:t>
      </w:r>
      <w:r>
        <w:rPr>
          <w:rFonts w:ascii="Arial" w:cs="Arial" w:eastAsia="Arial" w:hAnsi="Arial"/>
          <w:sz w:val="17"/>
          <w:szCs w:val="17"/>
          <w:color w:val="auto"/>
        </w:rPr>
        <w:t>, the Company is required to make success payments determined based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achievement of specified multiples of the initial weighted average value of the Company’s Series A Preferred at specified valuation dates. The Company’s liability for success payments under the Harvard License Agreement and Broad License Agreement are carried at fair value. To determine the estimated fair value of the success payment liability, the Company uses a Monte Carlo simulation methodology, which models the future movement of stock prices based on several key variables.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variables were incorporated in the calculation of the estimated fair value of the Harvard and Broad Institute success payment liabilities: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Harvard</w:t>
            </w: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Broad Institute</w:t>
            </w:r>
          </w:p>
        </w:tc>
      </w:tr>
      <w:tr>
        <w:trPr>
          <w:trHeight w:val="126"/>
        </w:trPr>
        <w:tc>
          <w:tcPr>
            <w:tcW w:w="4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422"/>
              <w:spacing w:after="0" w:line="12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241"/>
              <w:spacing w:after="0" w:line="126"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0"/>
                <w:szCs w:val="10"/>
                <w:color w:val="auto"/>
              </w:rPr>
            </w:pPr>
          </w:p>
        </w:tc>
        <w:tc>
          <w:tcPr>
            <w:tcW w:w="1160" w:type="dxa"/>
            <w:vAlign w:val="bottom"/>
          </w:tcPr>
          <w:p>
            <w:pPr>
              <w:jc w:val="right"/>
              <w:ind w:right="261"/>
              <w:spacing w:after="0" w:line="126"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444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Fair value of Series A Preferred (per share) (1)</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ind w:right="102"/>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ind w:right="81"/>
              <w:spacing w:after="0"/>
              <w:rPr>
                <w:sz w:val="20"/>
                <w:szCs w:val="20"/>
                <w:color w:val="auto"/>
              </w:rPr>
            </w:pPr>
            <w:r>
              <w:rPr>
                <w:rFonts w:ascii="Arial" w:cs="Arial" w:eastAsia="Arial" w:hAnsi="Arial"/>
                <w:sz w:val="17"/>
                <w:szCs w:val="17"/>
                <w:color w:val="auto"/>
              </w:rPr>
              <w:t>3.60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101"/>
              <w:spacing w:after="0"/>
              <w:rPr>
                <w:sz w:val="20"/>
                <w:szCs w:val="20"/>
                <w:color w:val="auto"/>
              </w:rPr>
            </w:pPr>
            <w:r>
              <w:rPr>
                <w:rFonts w:ascii="Arial" w:cs="Arial" w:eastAsia="Arial" w:hAnsi="Arial"/>
                <w:sz w:val="17"/>
                <w:szCs w:val="17"/>
                <w:color w:val="auto"/>
              </w:rPr>
              <w:t>3.60</w:t>
            </w:r>
          </w:p>
        </w:tc>
      </w:tr>
      <w:tr>
        <w:trPr>
          <w:trHeight w:val="217"/>
        </w:trPr>
        <w:tc>
          <w:tcPr>
            <w:tcW w:w="4440" w:type="dxa"/>
            <w:vAlign w:val="bottom"/>
          </w:tcPr>
          <w:p>
            <w:pPr>
              <w:spacing w:after="0"/>
              <w:rPr>
                <w:sz w:val="20"/>
                <w:szCs w:val="20"/>
                <w:color w:val="auto"/>
              </w:rPr>
            </w:pPr>
            <w:r>
              <w:rPr>
                <w:rFonts w:ascii="Arial" w:cs="Arial" w:eastAsia="Arial" w:hAnsi="Arial"/>
                <w:sz w:val="17"/>
                <w:szCs w:val="17"/>
                <w:color w:val="auto"/>
              </w:rPr>
              <w:t>Fair value of common stock (per share)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7"/>
                <w:szCs w:val="17"/>
                <w:color w:val="auto"/>
              </w:rPr>
              <w:t>28.00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80" w:type="dxa"/>
            <w:vAlign w:val="bottom"/>
          </w:tcPr>
          <w:p>
            <w:pPr>
              <w:jc w:val="right"/>
              <w:ind w:right="102"/>
              <w:spacing w:after="0"/>
              <w:rPr>
                <w:sz w:val="20"/>
                <w:szCs w:val="20"/>
                <w:color w:val="auto"/>
              </w:rPr>
            </w:pPr>
            <w:r>
              <w:rPr>
                <w:rFonts w:ascii="Arial" w:cs="Arial" w:eastAsia="Arial" w:hAnsi="Arial"/>
                <w:sz w:val="17"/>
                <w:szCs w:val="17"/>
                <w:color w:val="auto"/>
              </w:rPr>
              <w:t>28.00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7"/>
                <w:szCs w:val="17"/>
                <w:color w:val="auto"/>
              </w:rPr>
              <w:t>—</w:t>
            </w:r>
          </w:p>
        </w:tc>
      </w:tr>
      <w:tr>
        <w:trPr>
          <w:trHeight w:val="218"/>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r>
      <w:tr>
        <w:trPr>
          <w:trHeight w:val="216"/>
        </w:trPr>
        <w:tc>
          <w:tcPr>
            <w:tcW w:w="4440" w:type="dxa"/>
            <w:vAlign w:val="bottom"/>
          </w:tcPr>
          <w:p>
            <w:pPr>
              <w:spacing w:after="0"/>
              <w:rPr>
                <w:sz w:val="20"/>
                <w:szCs w:val="20"/>
                <w:color w:val="auto"/>
              </w:rPr>
            </w:pPr>
            <w:r>
              <w:rPr>
                <w:rFonts w:ascii="Arial" w:cs="Arial" w:eastAsia="Arial" w:hAnsi="Arial"/>
                <w:sz w:val="17"/>
                <w:szCs w:val="17"/>
                <w:color w:val="auto"/>
              </w:rPr>
              <w:t>Expected term (years)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7"/>
                <w:szCs w:val="17"/>
                <w:color w:val="auto"/>
              </w:rPr>
              <w:t>0.85-9.00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7"/>
                <w:szCs w:val="17"/>
                <w:color w:val="auto"/>
              </w:rPr>
              <w:t>0.10-8.01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2"/>
              <w:spacing w:after="0"/>
              <w:rPr>
                <w:sz w:val="20"/>
                <w:szCs w:val="20"/>
                <w:color w:val="auto"/>
              </w:rPr>
            </w:pPr>
            <w:r>
              <w:rPr>
                <w:rFonts w:ascii="Arial" w:cs="Arial" w:eastAsia="Arial" w:hAnsi="Arial"/>
                <w:sz w:val="17"/>
                <w:szCs w:val="17"/>
                <w:color w:val="auto"/>
              </w:rPr>
              <w:t>0.85-9.86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7"/>
                <w:szCs w:val="17"/>
                <w:color w:val="auto"/>
              </w:rPr>
              <w:t>0.10-8.01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11" w:lineRule="exact"/>
        <w:rPr>
          <w:sz w:val="20"/>
          <w:szCs w:val="20"/>
          <w:color w:val="auto"/>
        </w:rPr>
      </w:pPr>
    </w:p>
    <w:p>
      <w:pPr>
        <w:ind w:left="460" w:right="20" w:hanging="458"/>
        <w:spacing w:after="0" w:line="30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effect of the Company’s one-for-4.4843 reverse stock split in January 2020 only applied to its common stock and did not impact its redeemable convertible preferred stock. As such, the Series A Preferred fair value per share as of December 31, 2019 does not show the effect of the reverse stock split. If adjusted for the effect of the reverse stock split, the fair value per share of Series A Preferred would be $16.14 on December 31, 2019. Upon completion of the Company’s IPO, all outstanding shares of redeemable convertible preferred stock converted into shares of the Company’s common stock.</w:t>
      </w:r>
    </w:p>
    <w:p>
      <w:pPr>
        <w:spacing w:after="0" w:line="148"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At December 31, 2019, the fair value of the Series A Preferred was determined by management with the assistance of an independent third-party specialist. At June 30, 2020, the fair value of the common stock was the market value of the Company’s common stock. The computation of expected volatility was estimated using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change in the fair value of success payment liabilities based on Level 3 inputs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Six Months Ended June 30, 2020</w:t>
            </w:r>
          </w:p>
        </w:tc>
        <w:tc>
          <w:tcPr>
            <w:tcW w:w="1120" w:type="dxa"/>
            <w:vAlign w:val="bottom"/>
            <w:tcBorders>
              <w:bottom w:val="single" w:sz="8" w:color="auto"/>
            </w:tcBorders>
          </w:tcPr>
          <w:p>
            <w:pPr>
              <w:spacing w:after="0"/>
              <w:rPr>
                <w:sz w:val="13"/>
                <w:szCs w:val="13"/>
                <w:color w:val="auto"/>
              </w:rPr>
            </w:pPr>
          </w:p>
        </w:tc>
      </w:tr>
      <w:tr>
        <w:trPr>
          <w:trHeight w:val="146"/>
        </w:trPr>
        <w:tc>
          <w:tcPr>
            <w:tcW w:w="4400" w:type="dxa"/>
            <w:vAlign w:val="bottom"/>
            <w:tcBorders>
              <w:bottom w:val="single" w:sz="8" w:color="CFF0FC"/>
            </w:tcBorders>
          </w:tcPr>
          <w:p>
            <w:pPr>
              <w:spacing w:after="0"/>
              <w:rPr>
                <w:sz w:val="12"/>
                <w:szCs w:val="12"/>
                <w:color w:val="auto"/>
              </w:rPr>
            </w:pPr>
          </w:p>
        </w:tc>
        <w:tc>
          <w:tcPr>
            <w:tcW w:w="2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Harvard</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39"/>
              <w:spacing w:after="0" w:line="146" w:lineRule="exact"/>
              <w:rPr>
                <w:sz w:val="20"/>
                <w:szCs w:val="20"/>
                <w:color w:val="auto"/>
              </w:rPr>
            </w:pPr>
            <w:r>
              <w:rPr>
                <w:rFonts w:ascii="Arial" w:cs="Arial" w:eastAsia="Arial" w:hAnsi="Arial"/>
                <w:sz w:val="14"/>
                <w:szCs w:val="14"/>
                <w:b w:val="1"/>
                <w:bCs w:val="1"/>
                <w:color w:val="auto"/>
                <w:w w:val="95"/>
              </w:rPr>
              <w:t>Broad Institute</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9"/>
              <w:spacing w:after="0" w:line="146" w:lineRule="exact"/>
              <w:rPr>
                <w:sz w:val="20"/>
                <w:szCs w:val="20"/>
                <w:color w:val="auto"/>
              </w:rPr>
            </w:pPr>
            <w:r>
              <w:rPr>
                <w:rFonts w:ascii="Arial" w:cs="Arial" w:eastAsia="Arial" w:hAnsi="Arial"/>
                <w:sz w:val="14"/>
                <w:szCs w:val="14"/>
                <w:b w:val="1"/>
                <w:bCs w:val="1"/>
                <w:color w:val="auto"/>
              </w:rPr>
              <w:t>Total</w:t>
            </w: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2019</w:t>
            </w:r>
          </w:p>
        </w:tc>
        <w:tc>
          <w:tcPr>
            <w:tcW w:w="320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w w:val="84"/>
              </w:rPr>
              <w:t>3,900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3,900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7,800</w:t>
            </w:r>
          </w:p>
        </w:tc>
      </w:tr>
      <w:tr>
        <w:trPr>
          <w:trHeight w:val="217"/>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Changes in fair value</w:t>
            </w:r>
          </w:p>
        </w:tc>
        <w:tc>
          <w:tcPr>
            <w:tcW w:w="22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w w:val="84"/>
              </w:rPr>
              <w:t>5,700</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5,700</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11,400</w:t>
            </w: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Balance at June 30, 2020</w:t>
            </w:r>
          </w:p>
        </w:tc>
        <w:tc>
          <w:tcPr>
            <w:tcW w:w="3200" w:type="dxa"/>
            <w:vAlign w:val="bottom"/>
            <w:gridSpan w:val="2"/>
            <w:shd w:val="clear" w:color="auto" w:fill="CFF0FC"/>
          </w:tcPr>
          <w:p>
            <w:pPr>
              <w:jc w:val="right"/>
              <w:ind w:right="772"/>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w w:val="84"/>
              </w:rPr>
              <w:t>9,600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9,600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19,200</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Marketable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marketable securities held at June 30, 2020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1"/>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1"/>
        </w:trPr>
        <w:tc>
          <w:tcPr>
            <w:tcW w:w="58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86"/>
              </w:rPr>
              <w:t>Amortized Cost</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Commercial paper</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29,689</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29,735</w:t>
            </w:r>
          </w:p>
        </w:tc>
      </w:tr>
      <w:tr>
        <w:trPr>
          <w:trHeight w:val="217"/>
        </w:trPr>
        <w:tc>
          <w:tcPr>
            <w:tcW w:w="5860" w:type="dxa"/>
            <w:vAlign w:val="bottom"/>
          </w:tcPr>
          <w:p>
            <w:pPr>
              <w:spacing w:after="0"/>
              <w:rPr>
                <w:sz w:val="20"/>
                <w:szCs w:val="20"/>
                <w:color w:val="auto"/>
              </w:rPr>
            </w:pPr>
            <w:r>
              <w:rPr>
                <w:rFonts w:ascii="Arial" w:cs="Arial" w:eastAsia="Arial" w:hAnsi="Arial"/>
                <w:sz w:val="17"/>
                <w:szCs w:val="17"/>
                <w:color w:val="auto"/>
              </w:rPr>
              <w:t>Corporate notes</w:t>
            </w:r>
          </w:p>
        </w:tc>
        <w:tc>
          <w:tcPr>
            <w:tcW w:w="10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54,545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54,670</w:t>
            </w:r>
          </w:p>
        </w:tc>
      </w:tr>
      <w:tr>
        <w:trPr>
          <w:trHeight w:val="218"/>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U.S. Treasury securities</w:t>
            </w: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18,242</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18,244</w:t>
            </w:r>
          </w:p>
        </w:tc>
      </w:tr>
      <w:tr>
        <w:trPr>
          <w:trHeight w:val="209"/>
        </w:trPr>
        <w:tc>
          <w:tcPr>
            <w:tcW w:w="5860" w:type="dxa"/>
            <w:vAlign w:val="bottom"/>
          </w:tcPr>
          <w:p>
            <w:pPr>
              <w:ind w:left="24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102,476</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102,649</w:t>
            </w: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marketable securities held at December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left="152"/>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49"/>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1"/>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52"/>
              <w:spacing w:after="0" w:line="141"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29"/>
              <w:spacing w:after="0" w:line="141" w:lineRule="exact"/>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1"/>
        </w:trPr>
        <w:tc>
          <w:tcPr>
            <w:tcW w:w="58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6"/>
              </w:rPr>
              <w:t>Amortized Cost</w:t>
            </w:r>
          </w:p>
        </w:tc>
        <w:tc>
          <w:tcPr>
            <w:tcW w:w="1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78"/>
              </w:rPr>
              <w:t>Losses</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Commercial paper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36,875</w:t>
            </w:r>
          </w:p>
        </w:tc>
        <w:tc>
          <w:tcPr>
            <w:tcW w:w="1040" w:type="dxa"/>
            <w:vAlign w:val="bottom"/>
            <w:gridSpan w:val="2"/>
            <w:shd w:val="clear" w:color="auto" w:fill="CFF0FC"/>
          </w:tcPr>
          <w:p>
            <w:pPr>
              <w:jc w:val="right"/>
              <w:ind w:right="75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36,889</w:t>
            </w:r>
          </w:p>
        </w:tc>
      </w:tr>
      <w:tr>
        <w:trPr>
          <w:trHeight w:val="217"/>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Corporate notes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17,736</w:t>
            </w:r>
          </w:p>
        </w:tc>
        <w:tc>
          <w:tcPr>
            <w:tcW w:w="1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17,738</w:t>
            </w:r>
          </w:p>
        </w:tc>
      </w:tr>
      <w:tr>
        <w:trPr>
          <w:trHeight w:val="210"/>
        </w:trPr>
        <w:tc>
          <w:tcPr>
            <w:tcW w:w="5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54,611</w:t>
            </w:r>
          </w:p>
        </w:tc>
        <w:tc>
          <w:tcPr>
            <w:tcW w:w="1040" w:type="dxa"/>
            <w:vAlign w:val="bottom"/>
            <w:gridSpan w:val="2"/>
            <w:shd w:val="clear" w:color="auto" w:fill="CFF0FC"/>
          </w:tcPr>
          <w:p>
            <w:pPr>
              <w:jc w:val="right"/>
              <w:ind w:right="752"/>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9"/>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54,627</w:t>
            </w: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The amortized cost of marketable securities is adjusted for amortization of premiums and accretion of discounts to maturity. At June 30, 2020, the balance in accumulated other comprehensive income was comprised solely of activity related to marketable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3" w:name="page14"/>
    <w:bookmarkEnd w:id="13"/>
    <w:p>
      <w:pPr>
        <w:ind w:right="200"/>
        <w:spacing w:after="0" w:line="275" w:lineRule="auto"/>
        <w:rPr>
          <w:sz w:val="20"/>
          <w:szCs w:val="20"/>
          <w:color w:val="auto"/>
        </w:rPr>
      </w:pPr>
      <w:r>
        <w:rPr>
          <w:rFonts w:ascii="Arial" w:cs="Arial" w:eastAsia="Arial" w:hAnsi="Arial"/>
          <w:sz w:val="17"/>
          <w:szCs w:val="17"/>
          <w:color w:val="auto"/>
        </w:rPr>
        <w:t>securities. There were no realized gains or losses recognized on the sale or maturity of marketable securities for the six months ended June 30, 2020 and 2019 and, as a result, the Company did not reclassify any amounts out of accumulated other comprehensive income for the same period.</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Company did not hold any debt securities in an unrealized loss position at June 30, 2020. 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 and other current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77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Research costs</w:t>
            </w:r>
          </w:p>
        </w:tc>
        <w:tc>
          <w:tcPr>
            <w:tcW w:w="1080" w:type="dxa"/>
            <w:vAlign w:val="bottom"/>
            <w:shd w:val="clear" w:color="auto" w:fill="CFF0FC"/>
          </w:tcPr>
          <w:p>
            <w:pPr>
              <w:jc w:val="right"/>
              <w:ind w:right="90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3,317</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1,548</w:t>
            </w: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Employee compensation and related benefits</w:t>
            </w:r>
          </w:p>
        </w:tc>
        <w:tc>
          <w:tcPr>
            <w:tcW w:w="1080" w:type="dxa"/>
            <w:vAlign w:val="bottom"/>
          </w:tcPr>
          <w:p>
            <w:pPr>
              <w:spacing w:after="0"/>
              <w:rPr>
                <w:sz w:val="18"/>
                <w:szCs w:val="18"/>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2,130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3,531</w:t>
            </w: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Professional fees</w:t>
            </w: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1,512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1,541</w:t>
            </w:r>
          </w:p>
        </w:tc>
      </w:tr>
      <w:tr>
        <w:trPr>
          <w:trHeight w:val="217"/>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243</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1,232</w:t>
            </w:r>
          </w:p>
        </w:tc>
      </w:tr>
      <w:tr>
        <w:trPr>
          <w:trHeight w:val="210"/>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CFF0FC"/>
          </w:tcPr>
          <w:p>
            <w:pPr>
              <w:jc w:val="right"/>
              <w:ind w:right="90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7,202</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7,852</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leases are as follow:</w:t>
      </w:r>
    </w:p>
    <w:p>
      <w:pPr>
        <w:spacing w:after="0" w:line="111" w:lineRule="exact"/>
        <w:rPr>
          <w:sz w:val="20"/>
          <w:szCs w:val="20"/>
          <w:color w:val="auto"/>
        </w:rPr>
      </w:pPr>
    </w:p>
    <w:p>
      <w:pPr>
        <w:ind w:left="740" w:right="60" w:hanging="367"/>
        <w:spacing w:after="0" w:line="26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February 2018 lease for 38,203 square feet of office and laboratory space, which commenced in March 2018 and terminates in September 2028. The lease is subject to fixed-rate rent escalations and provided for $6.1 million in tenant improvements and a term extension option, which was not reasonably certain of exercise.</w:t>
      </w:r>
    </w:p>
    <w:p>
      <w:pPr>
        <w:spacing w:after="0" w:line="72" w:lineRule="exact"/>
        <w:rPr>
          <w:rFonts w:ascii="Arial" w:cs="Arial" w:eastAsia="Arial" w:hAnsi="Arial"/>
          <w:sz w:val="17"/>
          <w:szCs w:val="17"/>
          <w:color w:val="auto"/>
        </w:rPr>
      </w:pPr>
    </w:p>
    <w:p>
      <w:pPr>
        <w:ind w:left="740" w:right="100" w:hanging="367"/>
        <w:spacing w:after="0" w:line="255"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October 2018 lease for laboratory space, which commenced in April 2019 and was amended in March 2020 and April 2020. The amended lease commenced in April 2020 and terminates in December 2025. The amended lease is subject to fixed-rate rent escalations and provides an option to extend the lease for two additional two-year periods through December 31, 2029, which were not determined by the Company to be reasonably certain of being exercised. Upon commencement of the March 2020 amendment, the Company recorded an operating lease right-of-use, or ROU, asset and a lease liability of $4.2 million. Upon commencement of the April 2020 amendment, the Company recorded an operating lease right-of-use, or ROU, asset and a lease liability of $1.8 million.</w:t>
      </w:r>
    </w:p>
    <w:p>
      <w:pPr>
        <w:spacing w:after="0" w:line="82" w:lineRule="exact"/>
        <w:rPr>
          <w:rFonts w:ascii="Arial" w:cs="Arial" w:eastAsia="Arial" w:hAnsi="Arial"/>
          <w:sz w:val="17"/>
          <w:szCs w:val="17"/>
          <w:color w:val="auto"/>
        </w:rPr>
      </w:pPr>
    </w:p>
    <w:p>
      <w:pPr>
        <w:ind w:left="740" w:right="40" w:hanging="367"/>
        <w:spacing w:after="0" w:line="275"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Leases in June and July 2019 for office and laboratory space, both of which commenced in October 2019 and terminate in December 2021. The leases are subject to fixed-rate rent escalations.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operating lease costs as well as sublease income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Six Months Ended June 30,</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00" w:type="dxa"/>
            <w:vAlign w:val="bottom"/>
            <w:tcBorders>
              <w:bottom w:val="single" w:sz="8" w:color="CFF0FC"/>
            </w:tcBorders>
          </w:tcPr>
          <w:p>
            <w:pPr>
              <w:spacing w:after="0"/>
              <w:rPr>
                <w:sz w:val="12"/>
                <w:szCs w:val="12"/>
                <w:color w:val="auto"/>
              </w:rPr>
            </w:pPr>
          </w:p>
        </w:tc>
        <w:tc>
          <w:tcPr>
            <w:tcW w:w="88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61"/>
              <w:spacing w:after="0" w:line="146"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costs</w:t>
            </w:r>
          </w:p>
        </w:tc>
        <w:tc>
          <w:tcPr>
            <w:tcW w:w="160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9"/>
              </w:rPr>
              <w:t>1,705</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911</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FF0FC"/>
          </w:tcPr>
          <w:p>
            <w:pPr>
              <w:jc w:val="right"/>
              <w:ind w:right="15"/>
              <w:spacing w:after="0"/>
              <w:rPr>
                <w:sz w:val="20"/>
                <w:szCs w:val="20"/>
                <w:color w:val="auto"/>
              </w:rPr>
            </w:pPr>
            <w:r>
              <w:rPr>
                <w:rFonts w:ascii="Arial" w:cs="Arial" w:eastAsia="Arial" w:hAnsi="Arial"/>
                <w:sz w:val="17"/>
                <w:szCs w:val="17"/>
                <w:color w:val="auto"/>
              </w:rPr>
              <w:t>3,303</w:t>
            </w:r>
          </w:p>
        </w:tc>
        <w:tc>
          <w:tcPr>
            <w:tcW w:w="860" w:type="dxa"/>
            <w:vAlign w:val="bottom"/>
            <w:gridSpan w:val="2"/>
            <w:shd w:val="clear" w:color="auto" w:fill="CFF0FC"/>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93"/>
              </w:rPr>
              <w:t>1,619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7"/>
                <w:szCs w:val="17"/>
                <w:color w:val="auto"/>
              </w:rPr>
              <w:t>Variable lease costs</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5"/>
              <w:spacing w:after="0"/>
              <w:rPr>
                <w:sz w:val="20"/>
                <w:szCs w:val="20"/>
                <w:color w:val="auto"/>
              </w:rPr>
            </w:pPr>
            <w:r>
              <w:rPr>
                <w:rFonts w:ascii="Arial" w:cs="Arial" w:eastAsia="Arial" w:hAnsi="Arial"/>
                <w:sz w:val="17"/>
                <w:szCs w:val="17"/>
                <w:color w:val="auto"/>
              </w:rPr>
              <w:t>537</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Short-term lease costs</w:t>
            </w:r>
          </w:p>
        </w:tc>
        <w:tc>
          <w:tcPr>
            <w:tcW w:w="8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49</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Sublease income</w:t>
            </w:r>
          </w:p>
        </w:tc>
        <w:tc>
          <w:tcPr>
            <w:tcW w:w="8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60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9"/>
              </w:rPr>
              <w:t>1,954</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1,087</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FF0FC"/>
          </w:tcPr>
          <w:p>
            <w:pPr>
              <w:jc w:val="right"/>
              <w:ind w:right="15"/>
              <w:spacing w:after="0"/>
              <w:rPr>
                <w:sz w:val="20"/>
                <w:szCs w:val="20"/>
                <w:color w:val="auto"/>
              </w:rPr>
            </w:pPr>
            <w:r>
              <w:rPr>
                <w:rFonts w:ascii="Arial" w:cs="Arial" w:eastAsia="Arial" w:hAnsi="Arial"/>
                <w:sz w:val="17"/>
                <w:szCs w:val="17"/>
                <w:color w:val="auto"/>
              </w:rPr>
              <w:t>3,840</w:t>
            </w:r>
          </w:p>
        </w:tc>
        <w:tc>
          <w:tcPr>
            <w:tcW w:w="860" w:type="dxa"/>
            <w:vAlign w:val="bottom"/>
            <w:gridSpan w:val="2"/>
            <w:shd w:val="clear" w:color="auto" w:fill="CFF0FC"/>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93"/>
              </w:rPr>
              <w:t>1,995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following table summarizes the lease term and discount rate:</w:t>
            </w:r>
          </w:p>
        </w:tc>
        <w:tc>
          <w:tcPr>
            <w:tcW w:w="8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0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remaining lease term (years)</w:t>
            </w:r>
          </w:p>
        </w:tc>
        <w:tc>
          <w:tcPr>
            <w:tcW w:w="8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5"/>
          </w:tcPr>
          <w:p>
            <w:pPr>
              <w:jc w:val="right"/>
              <w:ind w:right="595"/>
              <w:spacing w:after="0"/>
              <w:rPr>
                <w:sz w:val="20"/>
                <w:szCs w:val="20"/>
                <w:color w:val="auto"/>
              </w:rPr>
            </w:pPr>
            <w:r>
              <w:rPr>
                <w:rFonts w:ascii="Arial" w:cs="Arial" w:eastAsia="Arial" w:hAnsi="Arial"/>
                <w:sz w:val="17"/>
                <w:szCs w:val="17"/>
                <w:color w:val="auto"/>
                <w:w w:val="85"/>
              </w:rPr>
              <w:t>6.9 years</w:t>
            </w:r>
          </w:p>
        </w:tc>
        <w:tc>
          <w:tcPr>
            <w:tcW w:w="140" w:type="dxa"/>
            <w:vAlign w:val="bottom"/>
          </w:tcPr>
          <w:p>
            <w:pPr>
              <w:spacing w:after="0"/>
              <w:rPr>
                <w:sz w:val="18"/>
                <w:szCs w:val="18"/>
                <w:color w:val="auto"/>
              </w:rPr>
            </w:pPr>
          </w:p>
        </w:tc>
        <w:tc>
          <w:tcPr>
            <w:tcW w:w="1240" w:type="dxa"/>
            <w:vAlign w:val="bottom"/>
            <w:gridSpan w:val="2"/>
          </w:tcPr>
          <w:p>
            <w:pPr>
              <w:jc w:val="right"/>
              <w:ind w:right="95"/>
              <w:spacing w:after="0"/>
              <w:rPr>
                <w:sz w:val="20"/>
                <w:szCs w:val="20"/>
                <w:color w:val="auto"/>
              </w:rPr>
            </w:pPr>
            <w:r>
              <w:rPr>
                <w:rFonts w:ascii="Arial" w:cs="Arial" w:eastAsia="Arial" w:hAnsi="Arial"/>
                <w:sz w:val="17"/>
                <w:szCs w:val="17"/>
                <w:color w:val="auto"/>
              </w:rPr>
              <w:t>7.4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discount rate</w:t>
            </w:r>
          </w:p>
        </w:tc>
        <w:tc>
          <w:tcPr>
            <w:tcW w:w="8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4"/>
        </w:trPr>
        <w:tc>
          <w:tcPr>
            <w:tcW w:w="5000" w:type="dxa"/>
            <w:vAlign w:val="bottom"/>
          </w:tcPr>
          <w:p>
            <w:pPr>
              <w:spacing w:after="0"/>
              <w:rPr>
                <w:sz w:val="24"/>
                <w:szCs w:val="24"/>
                <w:color w:val="auto"/>
              </w:rPr>
            </w:pPr>
          </w:p>
        </w:tc>
        <w:tc>
          <w:tcPr>
            <w:tcW w:w="880" w:type="dxa"/>
            <w:vAlign w:val="bottom"/>
          </w:tcPr>
          <w:p>
            <w:pPr>
              <w:jc w:val="right"/>
              <w:ind w:right="95"/>
              <w:spacing w:after="0"/>
              <w:rPr>
                <w:sz w:val="20"/>
                <w:szCs w:val="20"/>
                <w:color w:val="auto"/>
              </w:rPr>
            </w:pPr>
            <w:r>
              <w:rPr>
                <w:rFonts w:ascii="Arial" w:cs="Arial" w:eastAsia="Arial" w:hAnsi="Arial"/>
                <w:sz w:val="17"/>
                <w:szCs w:val="17"/>
                <w:color w:val="auto"/>
              </w:rPr>
              <w:t>11</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434" w:right="29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summarizes the cash paid for amounts included in the measurement of lease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6"/>
        </w:trPr>
        <w:tc>
          <w:tcPr>
            <w:tcW w:w="586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1"/>
              <w:spacing w:after="0" w:line="146" w:lineRule="exact"/>
              <w:rPr>
                <w:sz w:val="20"/>
                <w:szCs w:val="20"/>
                <w:color w:val="auto"/>
              </w:rPr>
            </w:pPr>
            <w:r>
              <w:rPr>
                <w:rFonts w:ascii="Arial" w:cs="Arial" w:eastAsia="Arial" w:hAnsi="Arial"/>
                <w:sz w:val="14"/>
                <w:szCs w:val="14"/>
                <w:b w:val="1"/>
                <w:bCs w:val="1"/>
                <w:color w:val="auto"/>
              </w:rPr>
              <w:t>2019</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93"/>
              </w:rPr>
              <w:t>1,593</w:t>
            </w:r>
          </w:p>
        </w:tc>
        <w:tc>
          <w:tcPr>
            <w:tcW w:w="94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954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3,118</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1,702</w:t>
            </w:r>
          </w:p>
        </w:tc>
      </w:tr>
      <w:tr>
        <w:trPr>
          <w:trHeight w:val="216"/>
        </w:trPr>
        <w:tc>
          <w:tcPr>
            <w:tcW w:w="5860" w:type="dxa"/>
            <w:vAlign w:val="bottom"/>
          </w:tcPr>
          <w:p>
            <w:pPr>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7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auto"/>
                <w:w w:val="93"/>
              </w:rPr>
              <w:t>1,763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7"/>
                <w:szCs w:val="17"/>
                <w:color w:val="auto"/>
              </w:rPr>
              <w:t>5,795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At June 30, 2020, the future minimum lease payments for the Company’s operating leases for each of the years ending December 31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Remainder of 2020</w:t>
            </w:r>
          </w:p>
        </w:tc>
        <w:tc>
          <w:tcPr>
            <w:tcW w:w="720" w:type="dxa"/>
            <w:vAlign w:val="bottom"/>
            <w:shd w:val="clear" w:color="auto" w:fill="CFF0FC"/>
          </w:tcPr>
          <w:p>
            <w:pPr>
              <w:jc w:val="right"/>
              <w:ind w:right="53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3,893</w:t>
            </w:r>
          </w:p>
        </w:tc>
      </w:tr>
      <w:tr>
        <w:trPr>
          <w:trHeight w:val="217"/>
        </w:trPr>
        <w:tc>
          <w:tcPr>
            <w:tcW w:w="9260" w:type="dxa"/>
            <w:vAlign w:val="bottom"/>
          </w:tcPr>
          <w:p>
            <w:pPr>
              <w:spacing w:after="0"/>
              <w:rPr>
                <w:sz w:val="20"/>
                <w:szCs w:val="20"/>
                <w:color w:val="auto"/>
              </w:rPr>
            </w:pPr>
            <w:r>
              <w:rPr>
                <w:rFonts w:ascii="Arial" w:cs="Arial" w:eastAsia="Arial" w:hAnsi="Arial"/>
                <w:sz w:val="17"/>
                <w:szCs w:val="17"/>
                <w:color w:val="auto"/>
              </w:rPr>
              <w:t>2021</w:t>
            </w:r>
          </w:p>
        </w:tc>
        <w:tc>
          <w:tcPr>
            <w:tcW w:w="72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6,507</w:t>
            </w:r>
          </w:p>
        </w:tc>
      </w:tr>
      <w:tr>
        <w:trPr>
          <w:trHeight w:val="218"/>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4,745</w:t>
            </w:r>
          </w:p>
        </w:tc>
      </w:tr>
      <w:tr>
        <w:trPr>
          <w:trHeight w:val="217"/>
        </w:trPr>
        <w:tc>
          <w:tcPr>
            <w:tcW w:w="9260" w:type="dxa"/>
            <w:vAlign w:val="bottom"/>
          </w:tcPr>
          <w:p>
            <w:pPr>
              <w:spacing w:after="0"/>
              <w:rPr>
                <w:sz w:val="20"/>
                <w:szCs w:val="20"/>
                <w:color w:val="auto"/>
              </w:rPr>
            </w:pPr>
            <w:r>
              <w:rPr>
                <w:rFonts w:ascii="Arial" w:cs="Arial" w:eastAsia="Arial" w:hAnsi="Arial"/>
                <w:sz w:val="17"/>
                <w:szCs w:val="17"/>
                <w:color w:val="auto"/>
              </w:rPr>
              <w:t>2023</w:t>
            </w:r>
          </w:p>
        </w:tc>
        <w:tc>
          <w:tcPr>
            <w:tcW w:w="72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4,879</w:t>
            </w:r>
          </w:p>
        </w:tc>
      </w:tr>
      <w:tr>
        <w:trPr>
          <w:trHeight w:val="218"/>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5,033</w:t>
            </w:r>
          </w:p>
        </w:tc>
      </w:tr>
      <w:tr>
        <w:trPr>
          <w:trHeight w:val="217"/>
        </w:trPr>
        <w:tc>
          <w:tcPr>
            <w:tcW w:w="9260" w:type="dxa"/>
            <w:vAlign w:val="bottom"/>
          </w:tcPr>
          <w:p>
            <w:pPr>
              <w:spacing w:after="0"/>
              <w:rPr>
                <w:sz w:val="20"/>
                <w:szCs w:val="20"/>
                <w:color w:val="auto"/>
              </w:rPr>
            </w:pPr>
            <w:r>
              <w:rPr>
                <w:rFonts w:ascii="Arial" w:cs="Arial" w:eastAsia="Arial" w:hAnsi="Arial"/>
                <w:sz w:val="17"/>
                <w:szCs w:val="17"/>
                <w:color w:val="auto"/>
              </w:rPr>
              <w:t>2025</w:t>
            </w:r>
          </w:p>
        </w:tc>
        <w:tc>
          <w:tcPr>
            <w:tcW w:w="72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5,123</w:t>
            </w:r>
          </w:p>
        </w:tc>
      </w:tr>
      <w:tr>
        <w:trPr>
          <w:trHeight w:val="218"/>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Thereafter</w:t>
            </w:r>
          </w:p>
        </w:tc>
        <w:tc>
          <w:tcPr>
            <w:tcW w:w="7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10,411</w:t>
            </w:r>
          </w:p>
        </w:tc>
      </w:tr>
      <w:tr>
        <w:trPr>
          <w:trHeight w:val="209"/>
        </w:trPr>
        <w:tc>
          <w:tcPr>
            <w:tcW w:w="9260" w:type="dxa"/>
            <w:vAlign w:val="bottom"/>
          </w:tcPr>
          <w:p>
            <w:pPr>
              <w:spacing w:after="0"/>
              <w:rPr>
                <w:sz w:val="20"/>
                <w:szCs w:val="20"/>
                <w:color w:val="auto"/>
              </w:rPr>
            </w:pPr>
            <w:r>
              <w:rPr>
                <w:rFonts w:ascii="Arial" w:cs="Arial" w:eastAsia="Arial" w:hAnsi="Arial"/>
                <w:sz w:val="17"/>
                <w:szCs w:val="17"/>
                <w:color w:val="auto"/>
              </w:rPr>
              <w:t>Undiscounted lease payments</w:t>
            </w:r>
          </w:p>
        </w:tc>
        <w:tc>
          <w:tcPr>
            <w:tcW w:w="72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40,591</w:t>
            </w:r>
          </w:p>
        </w:tc>
      </w:tr>
      <w:tr>
        <w:trPr>
          <w:trHeight w:val="218"/>
        </w:trPr>
        <w:tc>
          <w:tcPr>
            <w:tcW w:w="9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7"/>
        </w:trPr>
        <w:tc>
          <w:tcPr>
            <w:tcW w:w="9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imputed interest</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(10,992)</w:t>
            </w:r>
          </w:p>
        </w:tc>
      </w:tr>
      <w:tr>
        <w:trPr>
          <w:trHeight w:val="210"/>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operating lease liabilities</w:t>
            </w:r>
          </w:p>
        </w:tc>
        <w:tc>
          <w:tcPr>
            <w:tcW w:w="720" w:type="dxa"/>
            <w:vAlign w:val="bottom"/>
            <w:tcBorders>
              <w:bottom w:val="single" w:sz="8" w:color="auto"/>
            </w:tcBorders>
            <w:shd w:val="clear" w:color="auto" w:fill="CFF0FC"/>
          </w:tcPr>
          <w:p>
            <w:pPr>
              <w:jc w:val="right"/>
              <w:ind w:right="5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29,599</w:t>
            </w:r>
          </w:p>
        </w:tc>
      </w:tr>
      <w:tr>
        <w:trPr>
          <w:trHeight w:val="20"/>
        </w:trPr>
        <w:tc>
          <w:tcPr>
            <w:tcW w:w="9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addition to the leases discussed above, the Company is party to an April 2019 lease for office and laboratory space to be built, with the rent payments for the first phase expected to commence at the earliest in late 2021 and the rent payments for the second phase expected to commence at the earliest in the second half of 2022. The lease will terminate 12 years from the second phase commencement date. The lease is subject to fixed-rate rent escalations and provides for $23.4 million in tenant improvements and the option to extend the lease for two terms of 5 years each. Upon executing the lease, the Company made a security deposit of $11.8 million in the form of a letter of credit, which is included in restricted cash as of March 31, 2020. As the lease had not commenced, the Company has not recorded an operating lease ROU asset or lease liability for this lease in the accompanying condensed consolidated balance sheets. The minimum amount of anticipated undiscounted lease payments due under the MIT lease is $168.7 million. Further, the tabular disclosure of minimum lease payments above does not include payments due under this lease.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obligations</w:t>
      </w:r>
    </w:p>
    <w:p>
      <w:pPr>
        <w:spacing w:after="0" w:line="111"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In July 2019 and October 2019, the Company sold certain equipment to a leasing company. Contemporaneous with the closing of the sale, the Company entered into a lease agreement with the leasing company with a term of four years pursuant to which the Company leased back the equipment.</w:t>
      </w:r>
    </w:p>
    <w:p>
      <w:pPr>
        <w:spacing w:after="0" w:line="39" w:lineRule="exact"/>
        <w:rPr>
          <w:sz w:val="20"/>
          <w:szCs w:val="20"/>
          <w:color w:val="auto"/>
        </w:rPr>
      </w:pPr>
    </w:p>
    <w:p>
      <w:pPr>
        <w:ind w:right="720"/>
        <w:spacing w:after="0" w:line="308" w:lineRule="auto"/>
        <w:rPr>
          <w:sz w:val="20"/>
          <w:szCs w:val="20"/>
          <w:color w:val="auto"/>
        </w:rPr>
      </w:pPr>
      <w:r>
        <w:rPr>
          <w:rFonts w:ascii="Arial" w:cs="Arial" w:eastAsia="Arial" w:hAnsi="Arial"/>
          <w:sz w:val="16"/>
          <w:szCs w:val="16"/>
          <w:color w:val="auto"/>
        </w:rPr>
        <w:t>Further, in February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39"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The equipment leases are being accounted for as financings as the lease terms are for substantially all the remaining economic life of the underlying equipment. Management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financing liabilities.</w:t>
      </w:r>
    </w:p>
    <w:p>
      <w:pPr>
        <w:spacing w:after="0" w:line="39"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The future minimum payments related to the equipment financing obligations at June 30, 2020, for each of the years ending December 31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Remainder of 2020</w:t>
            </w:r>
          </w:p>
        </w:tc>
        <w:tc>
          <w:tcPr>
            <w:tcW w:w="5720" w:type="dxa"/>
            <w:vAlign w:val="bottom"/>
            <w:gridSpan w:val="2"/>
            <w:shd w:val="clear" w:color="auto" w:fill="CFF0FC"/>
          </w:tcPr>
          <w:p>
            <w:pPr>
              <w:jc w:val="right"/>
              <w:ind w:right="6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7"/>
                <w:szCs w:val="17"/>
                <w:color w:val="auto"/>
              </w:rPr>
              <w:t>2021</w:t>
            </w:r>
          </w:p>
        </w:tc>
        <w:tc>
          <w:tcPr>
            <w:tcW w:w="4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49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7"/>
                <w:szCs w:val="17"/>
                <w:color w:val="auto"/>
              </w:rPr>
              <w:t>2023</w:t>
            </w:r>
          </w:p>
        </w:tc>
        <w:tc>
          <w:tcPr>
            <w:tcW w:w="4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49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7"/>
                <w:szCs w:val="17"/>
                <w:color w:val="auto"/>
              </w:rPr>
              <w:t>Total</w:t>
            </w:r>
          </w:p>
        </w:tc>
        <w:tc>
          <w:tcPr>
            <w:tcW w:w="4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spacing w:after="0"/>
              <w:rPr>
                <w:sz w:val="18"/>
                <w:szCs w:val="18"/>
                <w:color w:val="auto"/>
              </w:rPr>
            </w:pPr>
          </w:p>
        </w:tc>
        <w:tc>
          <w:tcPr>
            <w:tcW w:w="49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7"/>
                <w:szCs w:val="17"/>
                <w:color w:val="auto"/>
              </w:rPr>
              <w:t>Less: amounts representing interest at 8.64%</w:t>
            </w:r>
          </w:p>
        </w:tc>
        <w:tc>
          <w:tcPr>
            <w:tcW w:w="4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Plus: residual values</w:t>
            </w:r>
          </w:p>
        </w:tc>
        <w:tc>
          <w:tcPr>
            <w:tcW w:w="49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rPr>
              <w:t>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7"/>
                <w:szCs w:val="17"/>
                <w:color w:val="auto"/>
              </w:rPr>
              <w:t>Financing obligations</w:t>
            </w:r>
          </w:p>
        </w:tc>
        <w:tc>
          <w:tcPr>
            <w:tcW w:w="572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960" w:type="dxa"/>
            <w:vAlign w:val="bottom"/>
            <w:vMerge w:val="restart"/>
          </w:tcPr>
          <w:p>
            <w:pPr>
              <w:jc w:val="right"/>
              <w:ind w:right="3475"/>
              <w:spacing w:after="0"/>
              <w:rPr>
                <w:sz w:val="20"/>
                <w:szCs w:val="20"/>
                <w:color w:val="auto"/>
              </w:rPr>
            </w:pPr>
            <w:r>
              <w:rPr>
                <w:rFonts w:ascii="Arial" w:cs="Arial" w:eastAsia="Arial" w:hAnsi="Arial"/>
                <w:sz w:val="17"/>
                <w:szCs w:val="17"/>
                <w:color w:val="auto"/>
              </w:rPr>
              <w:t>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30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0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332" w:right="29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following table summarizes the breakdown of the principal and interest portions of the equipment financing payments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6"/>
        </w:trPr>
        <w:tc>
          <w:tcPr>
            <w:tcW w:w="586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26"/>
              <w:spacing w:after="0" w:line="146"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72"/>
              <w:spacing w:after="0" w:line="146"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1"/>
              <w:spacing w:after="0" w:line="146" w:lineRule="exact"/>
              <w:rPr>
                <w:sz w:val="20"/>
                <w:szCs w:val="20"/>
                <w:color w:val="auto"/>
              </w:rPr>
            </w:pPr>
            <w:r>
              <w:rPr>
                <w:rFonts w:ascii="Arial" w:cs="Arial" w:eastAsia="Arial" w:hAnsi="Arial"/>
                <w:sz w:val="14"/>
                <w:szCs w:val="14"/>
                <w:b w:val="1"/>
                <w:bCs w:val="1"/>
                <w:color w:val="auto"/>
              </w:rPr>
              <w:t>2019</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Paydown of principal</w:t>
            </w:r>
          </w:p>
        </w:tc>
        <w:tc>
          <w:tcPr>
            <w:tcW w:w="800" w:type="dxa"/>
            <w:vAlign w:val="bottom"/>
            <w:shd w:val="clear" w:color="auto" w:fill="CFF0FC"/>
          </w:tcPr>
          <w:p>
            <w:pPr>
              <w:jc w:val="right"/>
              <w:ind w:right="626"/>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403</w:t>
            </w:r>
          </w:p>
        </w:tc>
        <w:tc>
          <w:tcPr>
            <w:tcW w:w="980" w:type="dxa"/>
            <w:vAlign w:val="bottom"/>
            <w:gridSpan w:val="2"/>
            <w:shd w:val="clear" w:color="auto" w:fill="CFF0FC"/>
          </w:tcPr>
          <w:p>
            <w:pPr>
              <w:jc w:val="right"/>
              <w:ind w:right="692"/>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747</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ind w:left="700"/>
              <w:spacing w:after="0"/>
              <w:rPr>
                <w:sz w:val="20"/>
                <w:szCs w:val="20"/>
                <w:color w:val="auto"/>
              </w:rPr>
            </w:pPr>
            <w:r>
              <w:rPr>
                <w:rFonts w:ascii="Arial" w:cs="Arial" w:eastAsia="Arial" w:hAnsi="Arial"/>
                <w:sz w:val="17"/>
                <w:szCs w:val="17"/>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7"/>
                <w:szCs w:val="17"/>
                <w:color w:val="auto"/>
              </w:rPr>
              <w:t>Paydown of interest</w:t>
            </w:r>
          </w:p>
        </w:tc>
        <w:tc>
          <w:tcPr>
            <w:tcW w:w="8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Arial" w:cs="Arial" w:eastAsia="Arial" w:hAnsi="Arial"/>
                <w:sz w:val="17"/>
                <w:szCs w:val="17"/>
                <w:color w:val="auto"/>
              </w:rPr>
              <w:t>148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Arial" w:cs="Arial" w:eastAsia="Arial" w:hAnsi="Arial"/>
                <w:sz w:val="17"/>
                <w:szCs w:val="17"/>
                <w:color w:val="auto"/>
              </w:rPr>
              <w:t>—</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License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Harvard license agreement</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Under the terms of the Harvard License Agreement, Harvard is entitled to receive success payments, determined based upon the achievement of specified multiples of the initial weighted average value of the Company’s Series A Preferred at specified valuation dates. The Company is required to make success payments to Harvard during a period of time, or the Harvard Success Payment Period, which has been determined to be the later of (1) the ninth anniversary of the Harvard License Agreement or (2) the earlier of (a) the 12th anniversary of the Harvard License Agreement and (b) the third anniversary of the first date on which a licensed product receives regulatory approval in the United States. During the Harvard Success Payment Period, the Company will perform a calculation on each rolling 90-day period, commencing one year after the Company’s IPO.</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success payment liability for Harvard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346"/>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86"/>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7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2019</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Harvard success payment liability</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9,600</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3,900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expense resulting from the change in the fair value of the success payment liability for Harvard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bottom w:val="single" w:sz="8" w:color="auto"/>
            </w:tcBorders>
          </w:tcPr>
          <w:p>
            <w:pPr>
              <w:spacing w:after="0"/>
              <w:rPr>
                <w:sz w:val="14"/>
                <w:szCs w:val="14"/>
                <w:color w:val="auto"/>
              </w:rPr>
            </w:pPr>
          </w:p>
        </w:tc>
      </w:tr>
      <w:tr>
        <w:trPr>
          <w:trHeight w:val="146"/>
        </w:trPr>
        <w:tc>
          <w:tcPr>
            <w:tcW w:w="364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6"/>
              <w:spacing w:after="0" w:line="14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3"/>
              <w:spacing w:after="0" w:line="146"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6"/>
              <w:spacing w:after="0" w:line="14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83"/>
              <w:spacing w:after="0" w:line="146" w:lineRule="exact"/>
              <w:rPr>
                <w:sz w:val="20"/>
                <w:szCs w:val="20"/>
                <w:color w:val="auto"/>
              </w:rPr>
            </w:pPr>
            <w:r>
              <w:rPr>
                <w:rFonts w:ascii="Arial" w:cs="Arial" w:eastAsia="Arial" w:hAnsi="Arial"/>
                <w:sz w:val="14"/>
                <w:szCs w:val="14"/>
                <w:b w:val="1"/>
                <w:bCs w:val="1"/>
                <w:color w:val="auto"/>
                <w:w w:val="83"/>
              </w:rPr>
              <w:t>2019</w:t>
            </w:r>
          </w:p>
        </w:tc>
      </w:tr>
      <w:tr>
        <w:trPr>
          <w:trHeight w:val="198"/>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w w:val="97"/>
              </w:rPr>
              <w:t>Change in fair value of Harvard success payment</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4,400</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500</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5,700</w:t>
            </w:r>
          </w:p>
        </w:tc>
        <w:tc>
          <w:tcPr>
            <w:tcW w:w="840" w:type="dxa"/>
            <w:vAlign w:val="bottom"/>
            <w:gridSpan w:val="2"/>
            <w:shd w:val="clear" w:color="auto" w:fill="CFF0FC"/>
          </w:tcPr>
          <w:p>
            <w:pPr>
              <w:jc w:val="right"/>
              <w:ind w:right="5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1,000</w:t>
            </w:r>
          </w:p>
        </w:tc>
      </w:tr>
      <w:tr>
        <w:trPr>
          <w:trHeight w:val="217"/>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liability</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no success payments have been paid or are due to Harvard.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addition, Harvard was entitled to receive financing milestone payments, which were paid by the Company during the six months ended June 30, 2019.</w:t>
      </w:r>
    </w:p>
    <w:p>
      <w:pPr>
        <w:spacing w:after="0" w:line="12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annual maintenance fee under the Harvard License Agreement is recorded as research and development expense. Patent prosecution costs are recognized as expense in the period incurred. As of June 30, 2020, the Company determined that product development and regulatory approval milestones and royalties under the Harvard License Agreement were not probable and, as such, no amounts were recognized for the six months ended June 30, 2020.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Broad license agreement</w:t>
      </w:r>
    </w:p>
    <w:p>
      <w:pPr>
        <w:spacing w:after="0" w:line="111" w:lineRule="exact"/>
        <w:rPr>
          <w:sz w:val="20"/>
          <w:szCs w:val="20"/>
          <w:color w:val="auto"/>
        </w:rPr>
      </w:pPr>
    </w:p>
    <w:p>
      <w:pPr>
        <w:ind w:right="240"/>
        <w:spacing w:after="0" w:line="299" w:lineRule="auto"/>
        <w:rPr>
          <w:sz w:val="20"/>
          <w:szCs w:val="20"/>
          <w:color w:val="auto"/>
        </w:rPr>
      </w:pPr>
      <w:r>
        <w:rPr>
          <w:rFonts w:ascii="Arial" w:cs="Arial" w:eastAsia="Arial" w:hAnsi="Arial"/>
          <w:sz w:val="15"/>
          <w:szCs w:val="15"/>
          <w:color w:val="auto"/>
        </w:rPr>
        <w:t>Under the terms of the Broad License Agreement, Broad Institute is entitled to receive success payments, determined based upon the achievement of specified multiples of the initial weighted average value of the Blink Series A Preferred at specified valuation dates.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on each rolling 90-day period, commencing one year after the Company’s IPO.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success payment liability for Broad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ind w:right="346"/>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86"/>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7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2019</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Broad success payment liability</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9,600</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3,900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expense resulting from the change in the fair value of the success payment liability for Broad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jc w:val="right"/>
              <w:ind w:right="863"/>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3580" w:type="dxa"/>
            <w:vAlign w:val="bottom"/>
            <w:tcBorders>
              <w:bottom w:val="single" w:sz="8" w:color="CFF0FC"/>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6"/>
              <w:spacing w:after="0" w:line="146"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3"/>
              <w:spacing w:after="0" w:line="146"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6"/>
              <w:spacing w:after="0" w:line="14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83"/>
              <w:spacing w:after="0" w:line="146" w:lineRule="exact"/>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12"/>
                <w:szCs w:val="12"/>
                <w:color w:val="auto"/>
              </w:rPr>
            </w:pPr>
          </w:p>
        </w:tc>
      </w:tr>
      <w:tr>
        <w:trPr>
          <w:trHeight w:val="198"/>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w w:val="99"/>
              </w:rPr>
              <w:t>Change in fair value of Broad success payment</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4,300</w:t>
            </w:r>
          </w:p>
        </w:tc>
        <w:tc>
          <w:tcPr>
            <w:tcW w:w="660" w:type="dxa"/>
            <w:vAlign w:val="bottom"/>
            <w:gridSpan w:val="3"/>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500</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26"/>
              <w:spacing w:after="0"/>
              <w:rPr>
                <w:sz w:val="20"/>
                <w:szCs w:val="20"/>
                <w:color w:val="auto"/>
              </w:rPr>
            </w:pPr>
            <w:r>
              <w:rPr>
                <w:rFonts w:ascii="Arial" w:cs="Arial" w:eastAsia="Arial" w:hAnsi="Arial"/>
                <w:sz w:val="17"/>
                <w:szCs w:val="17"/>
                <w:color w:val="auto"/>
              </w:rPr>
              <w:t>5,700</w:t>
            </w:r>
          </w:p>
        </w:tc>
        <w:tc>
          <w:tcPr>
            <w:tcW w:w="840" w:type="dxa"/>
            <w:vAlign w:val="bottom"/>
            <w:gridSpan w:val="2"/>
            <w:shd w:val="clear" w:color="auto" w:fill="CFF0FC"/>
          </w:tcPr>
          <w:p>
            <w:pPr>
              <w:jc w:val="right"/>
              <w:ind w:right="5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23"/>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7"/>
                <w:szCs w:val="17"/>
                <w:color w:val="auto"/>
              </w:rPr>
            </w:pPr>
          </w:p>
        </w:tc>
      </w:tr>
      <w:tr>
        <w:trPr>
          <w:trHeight w:val="217"/>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liability</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523"/>
        </w:trPr>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13</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35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332" w:right="29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As of June 30, 2020, no success payments have been paid or are due to Broad Institute.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addition, Broad Institute was entitled to receive financing milestone payments, which were paid by the Company during the year ended December 31, 2019.</w:t>
      </w:r>
    </w:p>
    <w:p>
      <w:pPr>
        <w:spacing w:after="0" w:line="1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annual maintenance fee under the Broad License Agreement is recorded as research and development expense. Patent prosecution costs are recognized as expense in the period incurred. As of June 30, 2020, the Company determined that product development and regulatory approval milestones and royalties under the Broad License Agreement were not probable and, as such, no amounts were recognized for the six months ended June 30, 2020.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Editas license agreement</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May 2018, the Company entered into a license agreement, or the Editas License Agreement, with Editas Medicine, Inc., or Editas, for certain intellectual property rights owned or controlled by Editas, for specified uses. Under the Editas License Agreement,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6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The annual maintenance fees under the Editas License Agreement are recorded as research and development expense. Annual patent costs are expensed as incurred. In addition, the Company is required to make certain development, regulatory and commercial milestone payments to Editas upon the achievement of specified milestones. The triggering of these milestone payments was not probable and, as such, no amounts were recognized for the six months ended June 30, 2020.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 Palette</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March 2019, the Company entered into a license agreement with Bio Palette pursuant to which Beam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or the Bio Palette License Agreement. In addition, the Company granted Bio Palette an exclusive (even as to Beam)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w:t>
      </w:r>
    </w:p>
    <w:p>
      <w:pPr>
        <w:spacing w:after="0" w:line="7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Upon the execution of the Bio Palette License Agreement, the Company paid Bio Palette an upfront fee of $0.5 million and issued to Bio Palette 16,725 shares of its common stock valued at $0.1 million, which were recorded as research and development expense for the three months ended March 31, 2019. Upon the issuance of a certain Bio Palette patent in the United States in June 2020, the Company made a milestone payment of $2.0 million and, in July 2020, issued to Bio Palette 175,000 shares of its common stock valued at $0.3 million, which were included within accrued expenses in the accompanying condensed consolidated balance sheets as of June 30, 2020. The fair value of the common stock issued to Bio Palette under the Bio Palette License Agreement was measured at the inception of arrangement and expensed when the issuance of shares became probable.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Collaboration and license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Prime Medicine</w:t>
      </w:r>
    </w:p>
    <w:p>
      <w:pPr>
        <w:spacing w:after="0" w:line="11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September 2019, the Company entered into a collaboration and license agreement with Prime Medicine, Inc., or Prime Medicine, to research and develop a novel gene editing technology developed by one of Beam’s founders. Under the terms of the agreement, the Company granted Prime Medicine a non-exclusive license to certain of its CRISPR technology (including Cas12b), delivery technology and certain other technology controlled by Beam to develop and commercialize gene editing products for the treatment of human diseases. The Company is not currently using the intellectual property licensed from Prime Medicine in any of its current programs, but it is required to use commercially reasonable effort to develop new product candidates using the intellectual property licensed from Prime Medicine.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Beam has an obligation to issue $5.0 million in shares of its common stock to Prime Medicine, and Prime Medicine has an obligation to issue 5.0 million shares of its common stock to Beam, should Beam elect to extend the collaboration beyond one year.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7" w:name="page18"/>
    <w:bookmarkEnd w:id="17"/>
    <w:p>
      <w:pPr>
        <w:ind w:right="320"/>
        <w:spacing w:after="0" w:line="275" w:lineRule="auto"/>
        <w:rPr>
          <w:sz w:val="20"/>
          <w:szCs w:val="20"/>
          <w:color w:val="auto"/>
        </w:rPr>
      </w:pPr>
      <w:r>
        <w:rPr>
          <w:rFonts w:ascii="Arial" w:cs="Arial" w:eastAsia="Arial" w:hAnsi="Arial"/>
          <w:sz w:val="17"/>
          <w:szCs w:val="17"/>
          <w:color w:val="auto"/>
        </w:rPr>
        <w:t>Company will record the expense and associated obligation for its share issuance if and when it elects to extend the collaboration. Beam will record the financial statement impact of the Prime Medicine shares upon the receipt of the shares from Prime Medicine.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the Company determined that milestones and royalties under the agreement were not probable of recognition.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Verve</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In April 2019, Beam entered into a collaboration and license agreement, or the Verve Agreement, with Verve Therapeutics, Inc., or Verve, to investigate gene editing strategies to modify genes associated with an increased risk of coronary diseases. Under the terms of the Verve Agreement, the Company granted Verve an exclusive license to certain base editor technology and certain delivery technology, and improvements and Verve granted Beam a non-exclusive license under certain know-how and patents controlled by Verve, an interest in joint collaboration technology and an exclusive license (except as to Verve) under certain delivery technology.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the Company determined that milestones and royalties under the Verve Agreement were not probable of recognition.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Preferred and common stock</w:t>
      </w:r>
    </w:p>
    <w:p>
      <w:pPr>
        <w:spacing w:after="0" w:line="11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January 2020, the Company authorized preferred stock issuable of 25,000,000 shares and increased its authorized common stock issuable to 250,000,000 shares, both with a $0.01 par value per share.</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Company’s board of directors approved a one-for-4.4843 reverse stock split of its common stock and stock options and a proportional adjustment to the existing conversion ratios for the Company’s redeemable convertible preferred stock effective as of January 24, 2020. Accordingly, all common stock shares, per share amounts, and additional paid-in capital amounts for all periods presented in the accompanying condensed consolidated financial statements and notes thereto have been retroactively adjusted, where applicable, to reflect the reverse stock split.</w:t>
      </w:r>
    </w:p>
    <w:p>
      <w:pPr>
        <w:spacing w:after="0" w:line="76"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the IPO, all outstanding shares of Preferred Stock converted into 29,127,523 shares of the Company’s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option and grant plan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and grant plan</w:t>
      </w:r>
    </w:p>
    <w:p>
      <w:pPr>
        <w:spacing w:after="0" w:line="11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2017 Stock Option and Grant Plan adopted by the board of directors in June 2017 and amended in February and May 2019, provides for the grant of qualified incentive stock options and nonqualified stock options, restricted stock or other awards to the Company’s employees, officers, directors, advisors, and outside consultants for the issuance or purchase of shares of the Company’s common stock.</w:t>
      </w:r>
    </w:p>
    <w:p>
      <w:pPr>
        <w:spacing w:after="0" w:line="73"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In February 2020, the Company’s board of directors adopted the Beam Therapeutics Inc. 2019 Equity Incentive Plan, or the 2019 Plan, and, subsequent to the IPO, all equity-based awards will be granted under the 2019 Plan. The 2019 Plan provides for grant of qualified and nonqualified stock options, stock appreciation rights, restricted and unrestricted stock and stock units, performance awards, and other share-based awards to the Company’s employees, officers, directors, advisors, and outside consultants. As of June 30, 2020, the Company had 8,251,219 shares reserved and 2,605,173 shares available for future issuance under the 2019 Plan.</w:t>
      </w:r>
    </w:p>
    <w:p>
      <w:pPr>
        <w:spacing w:after="0" w:line="4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Stock-based compensation expense recorded as research and development and general and administrative expenses in the condensed consolidated statements of operations and other comprehensive loss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38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w w:val="98"/>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80" w:type="dxa"/>
            <w:vAlign w:val="bottom"/>
            <w:tcBorders>
              <w:bottom w:val="single" w:sz="8" w:color="CFF0FC"/>
            </w:tcBorders>
          </w:tcPr>
          <w:p>
            <w:pPr>
              <w:spacing w:after="0"/>
              <w:rPr>
                <w:sz w:val="12"/>
                <w:szCs w:val="12"/>
                <w:color w:val="auto"/>
              </w:rPr>
            </w:pPr>
          </w:p>
        </w:tc>
        <w:tc>
          <w:tcPr>
            <w:tcW w:w="158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6"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82"/>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9"/>
              <w:spacing w:after="0" w:line="146"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2300" w:type="dxa"/>
            <w:vAlign w:val="bottom"/>
            <w:gridSpan w:val="2"/>
            <w:shd w:val="clear" w:color="auto" w:fill="CFF0FC"/>
          </w:tcPr>
          <w:p>
            <w:pPr>
              <w:jc w:val="right"/>
              <w:ind w:right="552"/>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93"/>
              </w:rPr>
              <w:t>1,805</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1,468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3,578</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1,975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158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964</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605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1,983</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stock-based compensation expense</w:t>
            </w:r>
          </w:p>
        </w:tc>
        <w:tc>
          <w:tcPr>
            <w:tcW w:w="2300" w:type="dxa"/>
            <w:vAlign w:val="bottom"/>
            <w:gridSpan w:val="2"/>
            <w:shd w:val="clear" w:color="auto" w:fill="CFF0FC"/>
          </w:tcPr>
          <w:p>
            <w:pPr>
              <w:jc w:val="right"/>
              <w:ind w:right="552"/>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93"/>
              </w:rPr>
              <w:t>2,769</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2,073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5,561</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2,942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vMerge w:val="restart"/>
          </w:tcPr>
          <w:p>
            <w:pPr>
              <w:jc w:val="right"/>
              <w:ind w:right="75"/>
              <w:spacing w:after="0"/>
              <w:rPr>
                <w:sz w:val="20"/>
                <w:szCs w:val="20"/>
                <w:color w:val="auto"/>
              </w:rPr>
            </w:pPr>
            <w:r>
              <w:rPr>
                <w:rFonts w:ascii="Arial" w:cs="Arial" w:eastAsia="Arial" w:hAnsi="Arial"/>
                <w:sz w:val="17"/>
                <w:szCs w:val="17"/>
                <w:color w:val="auto"/>
              </w:rPr>
              <w:t>15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2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434" w:right="29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 summary of option activity under the Company’s equity award plans: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34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7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22"/>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7740" w:type="dxa"/>
            <w:vAlign w:val="bottom"/>
          </w:tcPr>
          <w:p>
            <w:pPr>
              <w:spacing w:after="0"/>
              <w:rPr>
                <w:sz w:val="12"/>
                <w:szCs w:val="12"/>
                <w:color w:val="auto"/>
              </w:rPr>
            </w:pPr>
          </w:p>
        </w:tc>
        <w:tc>
          <w:tcPr>
            <w:tcW w:w="1660" w:type="dxa"/>
            <w:vAlign w:val="bottom"/>
          </w:tcPr>
          <w:p>
            <w:pPr>
              <w:jc w:val="right"/>
              <w:ind w:right="559"/>
              <w:spacing w:after="0" w:line="141"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22"/>
              <w:spacing w:after="0" w:line="141"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61"/>
        </w:trPr>
        <w:tc>
          <w:tcPr>
            <w:tcW w:w="774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of options</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December 31, 2019</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4,791,047</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17"/>
        </w:trPr>
        <w:tc>
          <w:tcPr>
            <w:tcW w:w="7740" w:type="dxa"/>
            <w:vAlign w:val="bottom"/>
          </w:tcPr>
          <w:p>
            <w:pPr>
              <w:ind w:left="240"/>
              <w:spacing w:after="0"/>
              <w:rPr>
                <w:sz w:val="20"/>
                <w:szCs w:val="20"/>
                <w:color w:val="auto"/>
              </w:rPr>
            </w:pPr>
            <w:r>
              <w:rPr>
                <w:rFonts w:ascii="Arial" w:cs="Arial" w:eastAsia="Arial" w:hAnsi="Arial"/>
                <w:sz w:val="17"/>
                <w:szCs w:val="17"/>
                <w:color w:val="auto"/>
              </w:rPr>
              <w:t>Granted</w:t>
            </w:r>
          </w:p>
        </w:tc>
        <w:tc>
          <w:tcPr>
            <w:tcW w:w="1660" w:type="dxa"/>
            <w:vAlign w:val="bottom"/>
          </w:tcPr>
          <w:p>
            <w:pPr>
              <w:jc w:val="right"/>
              <w:ind w:right="39"/>
              <w:spacing w:after="0"/>
              <w:rPr>
                <w:sz w:val="20"/>
                <w:szCs w:val="20"/>
                <w:color w:val="auto"/>
              </w:rPr>
            </w:pPr>
            <w:r>
              <w:rPr>
                <w:rFonts w:ascii="Arial" w:cs="Arial" w:eastAsia="Arial" w:hAnsi="Arial"/>
                <w:sz w:val="17"/>
                <w:szCs w:val="17"/>
                <w:color w:val="auto"/>
              </w:rPr>
              <w:t>1,119,446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42"/>
              <w:spacing w:after="0"/>
              <w:rPr>
                <w:sz w:val="20"/>
                <w:szCs w:val="20"/>
                <w:color w:val="auto"/>
              </w:rPr>
            </w:pPr>
            <w:r>
              <w:rPr>
                <w:rFonts w:ascii="Arial" w:cs="Arial" w:eastAsia="Arial" w:hAnsi="Arial"/>
                <w:sz w:val="17"/>
                <w:szCs w:val="17"/>
                <w:color w:val="auto"/>
              </w:rPr>
              <w:t>18.39</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Exercised</w:t>
            </w:r>
          </w:p>
        </w:tc>
        <w:tc>
          <w:tcPr>
            <w:tcW w:w="1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(239,822)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17"/>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Forfeitures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(24,625)</w:t>
            </w: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jc w:val="right"/>
              <w:ind w:right="42"/>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June 30, 2020</w:t>
            </w:r>
          </w:p>
        </w:tc>
        <w:tc>
          <w:tcPr>
            <w:tcW w:w="1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5,646,046</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Exercisable as of June 30, 2020</w:t>
            </w: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vMerge w:val="restart"/>
          </w:tcPr>
          <w:p>
            <w:pPr>
              <w:jc w:val="right"/>
              <w:ind w:right="42"/>
              <w:spacing w:after="0"/>
              <w:rPr>
                <w:sz w:val="20"/>
                <w:szCs w:val="20"/>
                <w:color w:val="auto"/>
              </w:rPr>
            </w:pPr>
            <w:r>
              <w:rPr>
                <w:rFonts w:ascii="Arial" w:cs="Arial" w:eastAsia="Arial" w:hAnsi="Arial"/>
                <w:sz w:val="17"/>
                <w:szCs w:val="17"/>
                <w:color w:val="auto"/>
              </w:rPr>
              <w:t>2.22</w:t>
            </w: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1,118,376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weighted-average grant date fair value per share of options granted in the six months ended June 30, 2020 was $12.79. As of June 30, 2020, there was $25.7 million of unrecognized compensation cost related to unvested stock options, which is expected to be recognized over a weighted-average period of approximately 2.8 years.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Company’s restricted stock activity: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83"/>
              <w:spacing w:after="0"/>
              <w:rPr>
                <w:sz w:val="20"/>
                <w:szCs w:val="20"/>
                <w:color w:val="auto"/>
              </w:rPr>
            </w:pPr>
            <w:r>
              <w:rPr>
                <w:rFonts w:ascii="Arial" w:cs="Arial" w:eastAsia="Arial" w:hAnsi="Arial"/>
                <w:sz w:val="14"/>
                <w:szCs w:val="14"/>
                <w:b w:val="1"/>
                <w:bCs w:val="1"/>
                <w:color w:val="auto"/>
                <w:w w:val="88"/>
              </w:rPr>
              <w:t>Weighted-</w:t>
            </w:r>
          </w:p>
        </w:tc>
      </w:tr>
      <w:tr>
        <w:trPr>
          <w:trHeight w:val="141"/>
        </w:trPr>
        <w:tc>
          <w:tcPr>
            <w:tcW w:w="7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83"/>
              <w:spacing w:after="0" w:line="141" w:lineRule="exact"/>
              <w:rPr>
                <w:sz w:val="20"/>
                <w:szCs w:val="20"/>
                <w:color w:val="auto"/>
              </w:rPr>
            </w:pPr>
            <w:r>
              <w:rPr>
                <w:rFonts w:ascii="Arial" w:cs="Arial" w:eastAsia="Arial" w:hAnsi="Arial"/>
                <w:sz w:val="14"/>
                <w:szCs w:val="14"/>
                <w:b w:val="1"/>
                <w:bCs w:val="1"/>
                <w:color w:val="auto"/>
                <w:w w:val="87"/>
              </w:rPr>
              <w:t>average grant</w:t>
            </w:r>
          </w:p>
        </w:tc>
      </w:tr>
      <w:tr>
        <w:trPr>
          <w:trHeight w:val="141"/>
        </w:trPr>
        <w:tc>
          <w:tcPr>
            <w:tcW w:w="7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63"/>
              <w:spacing w:after="0" w:line="141" w:lineRule="exact"/>
              <w:rPr>
                <w:sz w:val="20"/>
                <w:szCs w:val="20"/>
                <w:color w:val="auto"/>
              </w:rPr>
            </w:pPr>
            <w:r>
              <w:rPr>
                <w:rFonts w:ascii="Arial" w:cs="Arial" w:eastAsia="Arial" w:hAnsi="Arial"/>
                <w:sz w:val="14"/>
                <w:szCs w:val="14"/>
                <w:b w:val="1"/>
                <w:bCs w:val="1"/>
                <w:color w:val="auto"/>
                <w:w w:val="91"/>
              </w:rPr>
              <w:t>date fair</w:t>
            </w:r>
          </w:p>
        </w:tc>
      </w:tr>
      <w:tr>
        <w:trPr>
          <w:trHeight w:val="161"/>
        </w:trPr>
        <w:tc>
          <w:tcPr>
            <w:tcW w:w="7740" w:type="dxa"/>
            <w:vAlign w:val="bottom"/>
          </w:tcPr>
          <w:p>
            <w:pPr>
              <w:spacing w:after="0"/>
              <w:rPr>
                <w:sz w:val="13"/>
                <w:szCs w:val="13"/>
                <w:color w:val="auto"/>
              </w:rPr>
            </w:pP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440" w:type="dxa"/>
            <w:vAlign w:val="bottom"/>
          </w:tcPr>
          <w:p>
            <w:pPr>
              <w:jc w:val="center"/>
              <w:ind w:right="263"/>
              <w:spacing w:after="0"/>
              <w:rPr>
                <w:sz w:val="20"/>
                <w:szCs w:val="20"/>
                <w:color w:val="auto"/>
              </w:rPr>
            </w:pPr>
            <w:r>
              <w:rPr>
                <w:rFonts w:ascii="Arial" w:cs="Arial" w:eastAsia="Arial" w:hAnsi="Arial"/>
                <w:sz w:val="14"/>
                <w:szCs w:val="14"/>
                <w:b w:val="1"/>
                <w:bCs w:val="1"/>
                <w:color w:val="auto"/>
                <w:w w:val="83"/>
              </w:rPr>
              <w:t>value</w:t>
            </w:r>
          </w:p>
        </w:tc>
      </w:tr>
      <w:tr>
        <w:trPr>
          <w:trHeight w:val="210"/>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as of December 31, 2019</w:t>
            </w:r>
          </w:p>
        </w:tc>
        <w:tc>
          <w:tcPr>
            <w:tcW w:w="16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2,655,806</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7"/>
                <w:szCs w:val="17"/>
                <w:color w:val="auto"/>
              </w:rPr>
              <w:t>2.73</w:t>
            </w:r>
          </w:p>
        </w:tc>
      </w:tr>
      <w:tr>
        <w:trPr>
          <w:trHeight w:val="217"/>
        </w:trPr>
        <w:tc>
          <w:tcPr>
            <w:tcW w:w="7740" w:type="dxa"/>
            <w:vAlign w:val="bottom"/>
          </w:tcPr>
          <w:p>
            <w:pPr>
              <w:ind w:left="240"/>
              <w:spacing w:after="0"/>
              <w:rPr>
                <w:sz w:val="20"/>
                <w:szCs w:val="20"/>
                <w:color w:val="auto"/>
              </w:rPr>
            </w:pPr>
            <w:r>
              <w:rPr>
                <w:rFonts w:ascii="Arial" w:cs="Arial" w:eastAsia="Arial" w:hAnsi="Arial"/>
                <w:sz w:val="17"/>
                <w:szCs w:val="17"/>
                <w:color w:val="auto"/>
              </w:rPr>
              <w:t>Issued</w:t>
            </w:r>
          </w:p>
        </w:tc>
        <w:tc>
          <w:tcPr>
            <w:tcW w:w="1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tcPr>
          <w:p>
            <w:pPr>
              <w:jc w:val="right"/>
              <w:ind w:right="43"/>
              <w:spacing w:after="0"/>
              <w:rPr>
                <w:sz w:val="20"/>
                <w:szCs w:val="20"/>
                <w:color w:val="auto"/>
              </w:rPr>
            </w:pPr>
            <w:r>
              <w:rPr>
                <w:rFonts w:ascii="Arial" w:cs="Arial" w:eastAsia="Arial" w:hAnsi="Arial"/>
                <w:sz w:val="17"/>
                <w:szCs w:val="17"/>
                <w:color w:val="auto"/>
              </w:rPr>
              <w:t>—</w:t>
            </w: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Vested</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(775,736)</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7"/>
                <w:szCs w:val="17"/>
                <w:color w:val="auto"/>
              </w:rPr>
              <w:t>2.31</w:t>
            </w:r>
          </w:p>
        </w:tc>
      </w:tr>
      <w:tr>
        <w:trPr>
          <w:trHeight w:val="209"/>
        </w:trPr>
        <w:tc>
          <w:tcPr>
            <w:tcW w:w="7740" w:type="dxa"/>
            <w:vAlign w:val="bottom"/>
          </w:tcPr>
          <w:p>
            <w:pPr>
              <w:spacing w:after="0"/>
              <w:rPr>
                <w:sz w:val="20"/>
                <w:szCs w:val="20"/>
                <w:color w:val="auto"/>
              </w:rPr>
            </w:pPr>
            <w:r>
              <w:rPr>
                <w:rFonts w:ascii="Arial" w:cs="Arial" w:eastAsia="Arial" w:hAnsi="Arial"/>
                <w:sz w:val="17"/>
                <w:szCs w:val="17"/>
                <w:color w:val="auto"/>
              </w:rPr>
              <w:t>Unvested as of June 30, 2020</w:t>
            </w:r>
          </w:p>
        </w:tc>
        <w:tc>
          <w:tcPr>
            <w:tcW w:w="16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1,880,070</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2.97</w:t>
            </w:r>
          </w:p>
        </w:tc>
      </w:tr>
      <w:tr>
        <w:trPr>
          <w:trHeight w:val="20"/>
        </w:trPr>
        <w:tc>
          <w:tcPr>
            <w:tcW w:w="7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June 30, 2020, there was approximately $5.6 million of unrecognized stock-based compensation expense related to restricted stock that is expected to vest. These costs are expected to be recognized over a weighted-average remaining vesting period of 0.7 years.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Net loss per share attributable to common stockholders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As of June 30,</w:t>
            </w:r>
          </w:p>
        </w:tc>
        <w:tc>
          <w:tcPr>
            <w:tcW w:w="1220" w:type="dxa"/>
            <w:vAlign w:val="bottom"/>
            <w:tcBorders>
              <w:bottom w:val="single" w:sz="8" w:color="auto"/>
            </w:tcBorders>
          </w:tcPr>
          <w:p>
            <w:pPr>
              <w:spacing w:after="0"/>
              <w:rPr>
                <w:sz w:val="14"/>
                <w:szCs w:val="14"/>
                <w:color w:val="auto"/>
              </w:rPr>
            </w:pPr>
          </w:p>
        </w:tc>
      </w:tr>
      <w:tr>
        <w:trPr>
          <w:trHeight w:val="146"/>
        </w:trPr>
        <w:tc>
          <w:tcPr>
            <w:tcW w:w="7740" w:type="dxa"/>
            <w:vAlign w:val="bottom"/>
            <w:tcBorders>
              <w:bottom w:val="single" w:sz="8" w:color="CFF0FC"/>
            </w:tcBorders>
          </w:tcPr>
          <w:p>
            <w:pPr>
              <w:spacing w:after="0"/>
              <w:rPr>
                <w:sz w:val="12"/>
                <w:szCs w:val="12"/>
                <w:color w:val="auto"/>
              </w:rPr>
            </w:pPr>
          </w:p>
        </w:tc>
        <w:tc>
          <w:tcPr>
            <w:tcW w:w="1660" w:type="dxa"/>
            <w:vAlign w:val="bottom"/>
            <w:tcBorders>
              <w:bottom w:val="single" w:sz="8" w:color="auto"/>
            </w:tcBorders>
          </w:tcPr>
          <w:p>
            <w:pPr>
              <w:jc w:val="right"/>
              <w:ind w:right="681"/>
              <w:spacing w:after="0" w:line="146"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78"/>
              <w:spacing w:after="0" w:line="146" w:lineRule="exact"/>
              <w:rPr>
                <w:sz w:val="20"/>
                <w:szCs w:val="20"/>
                <w:color w:val="auto"/>
              </w:rPr>
            </w:pPr>
            <w:r>
              <w:rPr>
                <w:rFonts w:ascii="Arial" w:cs="Arial" w:eastAsia="Arial" w:hAnsi="Arial"/>
                <w:sz w:val="14"/>
                <w:szCs w:val="14"/>
                <w:b w:val="1"/>
                <w:bCs w:val="1"/>
                <w:color w:val="auto"/>
              </w:rPr>
              <w:t>2019</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Redeemable convertible preferred stock</w:t>
            </w:r>
          </w:p>
        </w:tc>
        <w:tc>
          <w:tcPr>
            <w:tcW w:w="2280" w:type="dxa"/>
            <w:vAlign w:val="bottom"/>
            <w:gridSpan w:val="3"/>
            <w:shd w:val="clear" w:color="auto" w:fill="CFF0FC"/>
          </w:tcPr>
          <w:p>
            <w:pPr>
              <w:jc w:val="right"/>
              <w:ind w:right="7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29,127,523</w:t>
            </w: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Unvested restricted stock</w:t>
            </w:r>
          </w:p>
        </w:tc>
        <w:tc>
          <w:tcPr>
            <w:tcW w:w="1660" w:type="dxa"/>
            <w:vAlign w:val="bottom"/>
          </w:tcPr>
          <w:p>
            <w:pPr>
              <w:jc w:val="right"/>
              <w:ind w:right="41"/>
              <w:spacing w:after="0"/>
              <w:rPr>
                <w:sz w:val="20"/>
                <w:szCs w:val="20"/>
                <w:color w:val="auto"/>
              </w:rPr>
            </w:pPr>
            <w:r>
              <w:rPr>
                <w:rFonts w:ascii="Arial" w:cs="Arial" w:eastAsia="Arial" w:hAnsi="Arial"/>
                <w:sz w:val="17"/>
                <w:szCs w:val="17"/>
                <w:color w:val="auto"/>
              </w:rPr>
              <w:t>1,880,070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3,432,929</w:t>
            </w: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Outstanding options to purchase common stock</w:t>
            </w:r>
          </w:p>
        </w:tc>
        <w:tc>
          <w:tcPr>
            <w:tcW w:w="16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rPr>
              <w:t>5,646,046</w:t>
            </w:r>
          </w:p>
        </w:tc>
        <w:tc>
          <w:tcPr>
            <w:tcW w:w="1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4,448,502</w:t>
            </w:r>
          </w:p>
        </w:tc>
      </w:tr>
      <w:tr>
        <w:trPr>
          <w:trHeight w:val="209"/>
        </w:trPr>
        <w:tc>
          <w:tcPr>
            <w:tcW w:w="7740" w:type="dxa"/>
            <w:vAlign w:val="bottom"/>
          </w:tcPr>
          <w:p>
            <w:pPr>
              <w:ind w:left="240"/>
              <w:spacing w:after="0"/>
              <w:rPr>
                <w:sz w:val="20"/>
                <w:szCs w:val="20"/>
                <w:color w:val="auto"/>
              </w:rPr>
            </w:pPr>
            <w:r>
              <w:rPr>
                <w:rFonts w:ascii="Arial" w:cs="Arial" w:eastAsia="Arial" w:hAnsi="Arial"/>
                <w:sz w:val="17"/>
                <w:szCs w:val="17"/>
                <w:color w:val="auto"/>
              </w:rPr>
              <w:t>Total</w:t>
            </w: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7,526,116</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37,008,954</w:t>
            </w:r>
          </w:p>
        </w:tc>
      </w:tr>
      <w:tr>
        <w:trPr>
          <w:trHeight w:val="20"/>
        </w:trPr>
        <w:tc>
          <w:tcPr>
            <w:tcW w:w="7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following table summarizes the computation of basic and diluted net loss per share attributable to common stockholders of the Company (in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4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62"/>
              <w:spacing w:after="0" w:line="146"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6"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82"/>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9"/>
              <w:spacing w:after="0" w:line="146"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Numerator:</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Pr>
          <w:p>
            <w:pPr>
              <w:ind w:left="240"/>
              <w:spacing w:after="0"/>
              <w:rPr>
                <w:sz w:val="20"/>
                <w:szCs w:val="20"/>
                <w:color w:val="auto"/>
              </w:rPr>
            </w:pPr>
            <w:r>
              <w:rPr>
                <w:rFonts w:ascii="Arial" w:cs="Arial" w:eastAsia="Arial" w:hAnsi="Arial"/>
                <w:sz w:val="17"/>
                <w:szCs w:val="17"/>
                <w:color w:val="auto"/>
              </w:rPr>
              <w:t>Net loss attributable to common stockholders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(34,218)</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(21,087)</w:t>
            </w:r>
          </w:p>
        </w:tc>
        <w:tc>
          <w:tcPr>
            <w:tcW w:w="1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(65,953)</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Denominator:</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Weighted average number of common shares, basic and diluted</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49,430,138</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6,238,798</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40,077,788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6,018,364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w w:val="93"/>
              </w:rPr>
              <w:t>Net loss per common share attributable to common stockholders, basic and diluted</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(0.69)</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7"/>
                <w:szCs w:val="17"/>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434" w:right="29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13. Income taxes</w:t>
      </w:r>
    </w:p>
    <w:p>
      <w:pPr>
        <w:spacing w:after="0" w:line="115"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During the three and six months ended June 30, 2020 and 2019, the Company recorded a full valuation allowance on federal and state deferred tax assets since management does not forecast the Company to be in a taxable position in the near future.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1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the six months ended June 30, 2020 and 2019, the Company made payments of $0.1 million and $0.1 million, respectively, to its three founder shareholders for scientific consulting and other expenses.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has entered into collaboration and license agreements with Prime Medicine and Verve. The Company and Prime Medicine have a common founder and several common board members. The Company and Verve have a common board member. During the six months ended June 30, 2020 and 2019, the Company purchased shares of Verve series A preferred stock valued at $0.8 million and $0.4 million, respectively. During the six months ended June 30, 2020, the company recognized unrealized gains of $0.5 million on its investment in Verve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facility</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In August 2020, the Company entered into a lease agreement with Alexandria Real Estate Equities, Inc. to build a 100,000 square foot manufacturing facility in Research Triangle Park, North Carolina intended to support a broad range of clinical programs. The lease has a term of fifteen years following the commencement date and provides the Company the option to extend the lease term for two five-year terms. It is subject to fixed rate escalation increases and also provides for reimbursement of tenant improvements. The lease payments are subject to adjustment following the determination of the total project costs of the landlord. The Company expects to invest up to $83 million over a five-year period and anticipates that the facility will be operational by the first quarter of 2023. The project will be facilitated, in part, by a Job Development Investment Grant, or JDIG, approved by the North Carolina Economic Investment Committee, which authorizes potential reimbursements to Beam based on new tax revenues generated through the project. The facility will be designed to support manufacturing for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programs in hematology and oncology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non-viral delivery programs for liver diseases, with flexibility to support manufacturing of its viral delivery programs, and ultimately, scale-up to support potential commercial supply.</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60"/>
          </w:cols>
          <w:pgMar w:left="320" w:top="532" w:right="41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15" w:lineRule="exact"/>
        <w:rPr>
          <w:sz w:val="20"/>
          <w:szCs w:val="20"/>
          <w:color w:val="auto"/>
        </w:rPr>
      </w:pPr>
    </w:p>
    <w:p>
      <w:pPr>
        <w:jc w:val="both"/>
        <w:ind w:right="80"/>
        <w:spacing w:after="0" w:line="299"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in “Risk Factors” in Part II, Item 1A. and elsewhere in this Quarterly Report on Form 10-Q.</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a biotechnology company committed to creating a new class of precision genetic medicines based on our proprietary base editing technology, with a vision of providing life-long cures to patients suffering from serious diseases. Our proprietary base editing technology potentially enables an entirely new class of precision genetic medicines that targets a single base in the genome without making a double-stranded break in the DNA. This approach uses a chemical reaction designed to create precise, predictable and efficient genetic outcomes at the targeted sequence. Our novel base editors have two principal components: (i) a CRISPR protein, bound to a guide RNA, that leverages the established DNA-targeting ability of CRISPR, but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The precision of our editors has the potential to increase the impact of gene editing for a broad range of therapeutic applications. By building on the significant recent advances in the field of genetic medicine, we believe we will be able to rapidly advance our portfolio of novel base editing programs.</w:t>
      </w:r>
    </w:p>
    <w:p>
      <w:pPr>
        <w:spacing w:after="0" w:line="72"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Existing gene editing technologies operate by creating targeted double-stranded breaks in the DNA, and then rely on cellular mechanisms to complete the editing process. Such approaches can be effective in the disruption of gene expression; however, they are inefficient for precise repair or alteration of gene sequences, and can result in unwanted DNA modifications. We believe our base editing platform offers meaningful advantages over existing approaches in gene editing and gene therapy, including:</w:t>
      </w:r>
    </w:p>
    <w:p>
      <w:pPr>
        <w:spacing w:after="0" w:line="76" w:lineRule="exact"/>
        <w:rPr>
          <w:sz w:val="20"/>
          <w:szCs w:val="20"/>
          <w:color w:val="auto"/>
        </w:rPr>
      </w:pPr>
    </w:p>
    <w:p>
      <w:pPr>
        <w:ind w:left="740" w:hanging="36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Highly precise and predictable gene editing, designed to make only one type of base edit at the desired target location</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Highly efficient and therapeutically relevant levels of gene correction, which are generally unachievable by nuclease-based methods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Broad applicability in a wide range of cell types, including both dividing and non-dividing cells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Direct chemical modification of DNA with no requirement for delivery of the corrected DNA sequence</w:t>
      </w:r>
    </w:p>
    <w:p>
      <w:pPr>
        <w:spacing w:after="0" w:line="111" w:lineRule="exact"/>
        <w:rPr>
          <w:rFonts w:ascii="Arial" w:cs="Arial" w:eastAsia="Arial" w:hAnsi="Arial"/>
          <w:sz w:val="17"/>
          <w:szCs w:val="17"/>
          <w:color w:val="auto"/>
        </w:rPr>
      </w:pPr>
    </w:p>
    <w:p>
      <w:pPr>
        <w:ind w:left="740" w:hanging="367"/>
        <w:spacing w:after="0" w:line="27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Avoidance of unwanted DNA modifications associated with double-stranded breaks, including gene disruptions and chromosomal rearrangements such as translocations or deletions</w:t>
      </w:r>
    </w:p>
    <w:p>
      <w:pPr>
        <w:spacing w:after="0" w:line="63" w:lineRule="exact"/>
        <w:rPr>
          <w:rFonts w:ascii="Arial" w:cs="Arial" w:eastAsia="Arial" w:hAnsi="Arial"/>
          <w:sz w:val="17"/>
          <w:szCs w:val="17"/>
          <w:color w:val="auto"/>
        </w:rPr>
      </w:pPr>
    </w:p>
    <w:p>
      <w:pPr>
        <w:ind w:left="740" w:right="20" w:hanging="367"/>
        <w:spacing w:after="0" w:line="27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Permanent editing of genes, creating the potential for a life-long therapeutic outcome, including the ability to treat infants or young children since the edit will be passed on by dividing cells as the child grows</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Preservation of natural regulation and a normal number of copies of the gene in the cell by modification of genes in their native genomic setting</w:t>
      </w:r>
    </w:p>
    <w:p>
      <w:pPr>
        <w:spacing w:after="0" w:line="122" w:lineRule="exact"/>
        <w:rPr>
          <w:rFonts w:ascii="Arial" w:cs="Arial" w:eastAsia="Arial" w:hAnsi="Arial"/>
          <w:sz w:val="16"/>
          <w:szCs w:val="16"/>
          <w:color w:val="auto"/>
        </w:rPr>
      </w:pPr>
    </w:p>
    <w:p>
      <w:pPr>
        <w:ind w:left="740" w:hanging="367"/>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Versatile and modular product engine that can target a different gene sequence with the same base editor and a different guide RNA</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 xml:space="preserve">We are currently advancing a broad, diversified portfolio of base editing programs against distinct editing targets. To unlock the full potential of our base editing technology across a wide range of therapeutic applications, we are pursuing a comprehensive suite of clinically validated delivery modalities in parallel. For a given tissue type, we use the delivery modality with the most compelling biodistribution. Our programs are organized by delivery modality into three distinct pipelines: electroporation for efficient delivery to blood cells and immune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lipid nanoparticles, or LNPs, for non-viral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delivery to the liver and potentially other organs in the future; and adeno-associated viral vectors, or AAV, for viral delivery to the eye and central nervous system, or CNS.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base editing portfolio</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elegance and simplicity of the base editing approach provides for an efficient, precise, and highly versatile gene editing system, capable of gene correction, gene silencing/gene activation, and multiplex editing of several genes simultaneously. We believe the flexibility and versatility of our base editors may lead to broad therapeutic applicability and transformational potential for the field of precision genetic medicines.</w:t>
      </w:r>
    </w:p>
    <w:p>
      <w:pPr>
        <w:spacing w:after="0" w:line="73"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 xml:space="preserve">We have achieved proof-of-concept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with long-term engraftment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base edited human CD34 cells in mice for BEAM-101, our program that reproduces single base changes seen in individuals with Hereditary Persistence of Fetal Hemoglobin, or HPFH, that protects them from the effects of mutations causing sickle cell disease or thalassemia. Additionally, in the second quarter of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1" w:name="page22"/>
    <w:bookmarkEnd w:id="21"/>
    <w:p>
      <w:pPr>
        <w:ind w:right="120"/>
        <w:spacing w:after="0" w:line="255" w:lineRule="auto"/>
        <w:rPr>
          <w:sz w:val="20"/>
          <w:szCs w:val="20"/>
          <w:color w:val="auto"/>
        </w:rPr>
      </w:pPr>
      <w:r>
        <w:rPr>
          <w:rFonts w:ascii="Arial" w:cs="Arial" w:eastAsia="Arial" w:hAnsi="Arial"/>
          <w:sz w:val="17"/>
          <w:szCs w:val="17"/>
          <w:color w:val="auto"/>
        </w:rPr>
        <w:t xml:space="preserve">we published data on BEAM-102, our program to directly correct the causative mutation in sickle cell disease by recreating a naturally-occurring human hemoglobin variant, Hb-G Makassar. The Makassar variant does not cause hemoglobin to polymerize, or red cells to sickle and, therefore, edited cells are cured through elimination of the disease-causing protein. With respect to our liver disease programs, also in the second quarter of 2020, we have shown the ability to directly correct the mutation causing alpha-1 antitrypsin deficiency, providing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 of concept for base editing to correct this disease. We have also successfully demonstrated feasibility of base editing with each of our three delivery modalities in relevant cell types for electroporation and AAV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in mice for LNP.</w:t>
      </w:r>
    </w:p>
    <w:p>
      <w:pPr>
        <w:spacing w:after="0" w:line="83" w:lineRule="exact"/>
        <w:rPr>
          <w:sz w:val="20"/>
          <w:szCs w:val="20"/>
          <w:color w:val="auto"/>
        </w:rPr>
      </w:pPr>
    </w:p>
    <w:p>
      <w:pPr>
        <w:jc w:val="both"/>
        <w:ind w:right="100"/>
        <w:spacing w:after="0" w:line="314" w:lineRule="auto"/>
        <w:rPr>
          <w:sz w:val="20"/>
          <w:szCs w:val="20"/>
          <w:color w:val="auto"/>
        </w:rPr>
      </w:pPr>
      <w:r>
        <w:rPr>
          <w:rFonts w:ascii="Arial" w:cs="Arial" w:eastAsia="Arial" w:hAnsi="Arial"/>
          <w:sz w:val="15"/>
          <w:szCs w:val="15"/>
          <w:color w:val="auto"/>
        </w:rPr>
        <w:t xml:space="preserve">Beyond the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proofs-of-concept already established, we expect to achieve additional milestones in 2020, including the publication of additional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base editing data and, provided the COVID-19 pandemic does not cause our timelines to slip materially, initiation of investigational new drug, or IND, enabling studies for at least one of our lead programs. We expect to submit an initial wave of IND filings from this portfolio, and we remain on track to file our first IND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5833745" cy="2766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3745" cy="276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modularity of our platform means that establishing preclinical proof-of-concept of base editing using a particular delivery modality will also potentially reduce risk and accelerate the timeline for additional product candidates that we may develop targeting the same tissue. In some cases, a new product candidate may only require changing the guide RNA. Subsequent programs using the same delivery modality can also take advantage of shared capabilities and resources of earlier programs. In this way, we view each delivery modality as its own unique pipeline, where the success of any one program may pave the way for a large number of additional programs to progress quickly to the clinic.</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Ex vivo </w:t>
      </w:r>
      <w:r>
        <w:rPr>
          <w:rFonts w:ascii="Arial" w:cs="Arial" w:eastAsia="Arial" w:hAnsi="Arial"/>
          <w:sz w:val="17"/>
          <w:szCs w:val="17"/>
          <w:b w:val="1"/>
          <w:bCs w:val="1"/>
          <w:color w:val="auto"/>
        </w:rPr>
        <w:t>electroporation for hematologic diseases and oncology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Sickle Cell Disease and Beta-Thalassemia</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Sickle cell disease, a severe inherited blood disease, is caused by a single point mutation, E6V, in the beta globin gene at the sixth amino acid. This mutation causes the mutated form of hemoglobin, or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The only potentially curative therapy currently available for patients with sickle cell disease or beta-thalassemia is allogeneic Hematopoietic Stem Cell Transplant, or HSCT; however, this procedure holds a high level of risk, particularly Graft-versus-Host Disease, or GvHD, resulting in a low number of patients opting for this treatment.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20" w:top="434" w:right="39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We are using base editing to pursue two complementary approaches to treating sickle cell disease and one to treat beta-thalassemia:</w:t>
      </w:r>
    </w:p>
    <w:p>
      <w:pPr>
        <w:spacing w:after="0" w:line="111" w:lineRule="exact"/>
        <w:rPr>
          <w:sz w:val="20"/>
          <w:szCs w:val="20"/>
          <w:color w:val="auto"/>
        </w:rPr>
      </w:pPr>
    </w:p>
    <w:p>
      <w:pPr>
        <w:ind w:left="740" w:right="20" w:hanging="367"/>
        <w:spacing w:after="0" w:line="275"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differentiated approach to activating fetal hemoglobin which could be used in treatments for both sickle cell disease and beta-thalassemia (BEAM-101); and</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novel approach to directly correcting the sickle mutation (BEAM-102).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BEAM-101: Recreating naturally-occurring protective mutations to activate fetal hemoglobin</w:t>
      </w:r>
    </w:p>
    <w:p>
      <w:pPr>
        <w:spacing w:after="0" w:line="111"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The beneficial effects of the fetal form of hemoglobin, or HbF, to compensate for mutations in adult hemoglobin were first identified in individuals with a condition known as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Using base editing, we reproduce these specific, naturally occurring base changes in the regulatory elements of the gamma globin genes, preventing binding of repressor proteins and leading to re-activation of gamma globin expression, and thus the increase in gamma globin levels.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characterization of BEAM-101 using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delivery achieved precise and efficient editing of human CD34+ hematopoietic stem and progenitor cells, or HSPCs, resulting in long-term engraftment and therapeutically-relevant increases in target gene expression in mice.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vitro characterization of BEAM-101:</w:t>
      </w:r>
    </w:p>
    <w:p>
      <w:pPr>
        <w:spacing w:after="0" w:line="111" w:lineRule="exact"/>
        <w:rPr>
          <w:sz w:val="20"/>
          <w:szCs w:val="20"/>
          <w:color w:val="auto"/>
        </w:rPr>
      </w:pPr>
    </w:p>
    <w:p>
      <w:pPr>
        <w:ind w:left="740" w:hanging="367"/>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We demonstrated &gt;90% editing in healthy donor CD34 cells </w:t>
      </w:r>
      <w:r>
        <w:rPr>
          <w:rFonts w:ascii="Arial" w:cs="Arial" w:eastAsia="Arial" w:hAnsi="Arial"/>
          <w:sz w:val="17"/>
          <w:szCs w:val="17"/>
          <w:i w:val="1"/>
          <w:iCs w:val="1"/>
          <w:color w:val="auto"/>
        </w:rPr>
        <w:t>in vitro</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740" w:right="480" w:hanging="367"/>
        <w:spacing w:after="0" w:line="276"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demonstrated gamma globin upregulation following erythroid differentiation is highly correlated (R</w:t>
      </w:r>
      <w:r>
        <w:rPr>
          <w:rFonts w:ascii="Arial" w:cs="Arial" w:eastAsia="Arial" w:hAnsi="Arial"/>
          <w:sz w:val="14"/>
          <w:szCs w:val="14"/>
          <w:color w:val="auto"/>
        </w:rPr>
        <w:t>2</w:t>
      </w:r>
      <w:r>
        <w:rPr>
          <w:rFonts w:ascii="Arial" w:cs="Arial" w:eastAsia="Arial" w:hAnsi="Arial"/>
          <w:sz w:val="17"/>
          <w:szCs w:val="17"/>
          <w:color w:val="auto"/>
        </w:rPr>
        <w:t>=0.993) with editing rates, where at &gt;90% editing we achieve &gt;60% increase in gamma globin in healthy donor CD34+ cells.</w:t>
      </w:r>
    </w:p>
    <w:p>
      <w:pPr>
        <w:spacing w:after="0" w:line="62" w:lineRule="exact"/>
        <w:rPr>
          <w:rFonts w:ascii="Arial" w:cs="Arial" w:eastAsia="Arial" w:hAnsi="Arial"/>
          <w:sz w:val="17"/>
          <w:szCs w:val="17"/>
          <w:color w:val="auto"/>
        </w:rPr>
      </w:pPr>
    </w:p>
    <w:p>
      <w:pPr>
        <w:ind w:left="740" w:right="20" w:hanging="367"/>
        <w:spacing w:after="0" w:line="275"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Successful editing of CD34+ cells from a homozygous sickle cell disease patient, demonstrating a greater than 60% increase in gamma globin levels with a concomitant decrease to less than 40% sickle beta globin levels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after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differentiation.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vivo performance of BEAM-101:</w:t>
      </w:r>
    </w:p>
    <w:p>
      <w:pPr>
        <w:spacing w:after="0" w:line="111" w:lineRule="exact"/>
        <w:rPr>
          <w:sz w:val="20"/>
          <w:szCs w:val="20"/>
          <w:color w:val="auto"/>
        </w:rPr>
      </w:pPr>
    </w:p>
    <w:p>
      <w:pPr>
        <w:ind w:left="740" w:right="600" w:hanging="367"/>
        <w:spacing w:after="0" w:line="275"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demonstrated that edited CD34+ cells from a healthy human donor engraft with high chimerism and maintain &gt;90% editing after 16 weeks in immunocompromised mice.</w:t>
      </w:r>
    </w:p>
    <w:p>
      <w:pPr>
        <w:spacing w:after="0" w:line="63" w:lineRule="exact"/>
        <w:rPr>
          <w:rFonts w:ascii="Arial" w:cs="Arial" w:eastAsia="Arial" w:hAnsi="Arial"/>
          <w:sz w:val="17"/>
          <w:szCs w:val="17"/>
          <w:color w:val="auto"/>
        </w:rPr>
      </w:pPr>
    </w:p>
    <w:p>
      <w:pPr>
        <w:ind w:left="740" w:right="420" w:hanging="367"/>
        <w:spacing w:after="0" w:line="275"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demonstrated after 16-week engraftment that base edited cells lead to successful multilineage reconstitution with &gt;90% base editing achieved in sorted human HSPCs, myeloid, lymphoid and erythroid cells.</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replicated these findings with cells from a second donor at 18 weeks post-engraftment.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BEAM-102: Direct correction of the sickle cell mutation</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Our second base editing approach for sickle cell disease, BEAM-102, is a direct correction of the causative sickle mutation at position 6 of the beta globin gene. By making a single A-to-G edit, we have demonstrated in primary human CD34+ cells isolated from sickle cell disease patients the ability to create the naturally occurring Makassar variant of hemoglobin. This variant, which was originally identified in humans in 1970, has the same function as the wild-type variant and does not cause sickle cell disease. Distinct from other approaches, cells that are successfully edited in this way are fully corrected, no longer containing the sickle protein.</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BEAM-102 uses ex vivo delivery of our adenine base editor, or ABE, to edit CD34+ HSPCs. In cells isolated from donors with sickle cell disease, we achieved greater than 80% correction of the sickle point mutation to the HbG-Makassar variant, following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erythroid differentiation. As expected, we observed the simultaneous reduction of HbS to less than 20% of control levels. More than 70% of erythroid colonies derived from edited patient cells showed biallelic editing (yielding cells that no longer produce any sickle protein at all), 20% had monoallelic editing (with one sickle allele and one corrected allele, likely conferring a level of protection similar to patients with “sickle cell trait” who do not show significant symptoms of disease), and 2% were unedited. Further, the correction of the HbS protein to the HbG-Makassar variant was shown to significantly reduce the propensity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differentiated erythroid cells to sickle when subjected to hypoxia. These findings represent therapeutic levels of correction and support advancement of this program to potentially address the underlying genetic cause of sickle cell disease. Published modeling studies suggest that as little as 20% correction of HbS may be sufficient to cure the disease.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Ex vivo </w:t>
      </w:r>
      <w:r>
        <w:rPr>
          <w:rFonts w:ascii="Arial" w:cs="Arial" w:eastAsia="Arial" w:hAnsi="Arial"/>
          <w:sz w:val="17"/>
          <w:szCs w:val="17"/>
          <w:b w:val="1"/>
          <w:bCs w:val="1"/>
          <w:color w:val="auto"/>
        </w:rPr>
        <w:t>electroporation for multiplex editing of advanced cell therapies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CAR-T Cell Therapies in Immunology/Oncology</w:t>
      </w:r>
    </w:p>
    <w:p>
      <w:pPr>
        <w:spacing w:after="0" w:line="111"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We believe base editing is an ideal tool to simultaneously multiplex edit many genes without unintended on-target effects, such as genomic rearrangements or activation of the p53 pathway, that can result from simultaneous editing with nucleases through the creation of double strand breaks. The ability to create a large number of multiplex edits in T cells could endow CAR-T cells and other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cell therapies with combinations of features that may dramatically enhance their therapeutic potential in treating hematological or solid tumors.</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Proof-of-concept experiments have now demonstrated the ability of base editors to efficiently modify up to 8 genomic loci simultaneously in primary human T cells with efficiencies ranging from 85-95% as measured by flow cytometry of target protein knockdown. Importantly, these results are achieved without the generation of chromosomal rearrangements, as detected by a sensitive method (UDiTaS</w:t>
      </w:r>
      <w:r>
        <w:rPr>
          <w:rFonts w:ascii="Arial" w:cs="Arial" w:eastAsia="Arial" w:hAnsi="Arial"/>
          <w:sz w:val="14"/>
          <w:szCs w:val="14"/>
          <w:color w:val="auto"/>
        </w:rPr>
        <w:t>TM</w:t>
      </w:r>
      <w:r>
        <w:rPr>
          <w:rFonts w:ascii="Arial" w:cs="Arial" w:eastAsia="Arial" w:hAnsi="Arial"/>
          <w:sz w:val="17"/>
          <w:szCs w:val="17"/>
          <w:color w:val="auto"/>
        </w:rPr>
        <w:t>) and with no loss of cell viability from editing. The proof-of-concept experiments have also demonstrated robust T cell killing of target tumor cells.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initial focus will be on hematologic malignancies, and we are developing allogeneic CAR-T product candidates that have four edits each. This multiplex editing will enable a high degree of engineering and functionality, including the following simultaneous edits:</w:t>
      </w:r>
    </w:p>
    <w:p>
      <w:pPr>
        <w:spacing w:after="0" w:line="63" w:lineRule="exact"/>
        <w:rPr>
          <w:sz w:val="20"/>
          <w:szCs w:val="20"/>
          <w:color w:val="auto"/>
        </w:rPr>
      </w:pPr>
    </w:p>
    <w:p>
      <w:pPr>
        <w:ind w:left="740" w:right="360" w:hanging="367"/>
        <w:spacing w:after="0" w:line="275"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Prevent graft-vs-host. Elimination of the existing TCR to ensure that the CAR-T cell only attacks the CAR antigen on the tumor and not the patient’s healthy cells.</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Enable allogeneic cell source. Another edit to enable the use of healthy donor cells.</w:t>
      </w:r>
    </w:p>
    <w:p>
      <w:pPr>
        <w:spacing w:after="0" w:line="111" w:lineRule="exact"/>
        <w:rPr>
          <w:rFonts w:ascii="Arial" w:cs="Arial" w:eastAsia="Arial" w:hAnsi="Arial"/>
          <w:sz w:val="17"/>
          <w:szCs w:val="17"/>
          <w:color w:val="auto"/>
        </w:rPr>
      </w:pPr>
    </w:p>
    <w:p>
      <w:pPr>
        <w:ind w:left="740" w:right="300" w:hanging="367"/>
        <w:spacing w:after="0" w:line="275"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Minimize interference by the tumor microenvironment. An additional edit to minimize exhaustion by the T cell and prolong efficacy for attacking the tumor.</w:t>
      </w:r>
    </w:p>
    <w:p>
      <w:pPr>
        <w:spacing w:after="0" w:line="63" w:lineRule="exact"/>
        <w:rPr>
          <w:rFonts w:ascii="Arial" w:cs="Arial" w:eastAsia="Arial" w:hAnsi="Arial"/>
          <w:sz w:val="17"/>
          <w:szCs w:val="17"/>
          <w:color w:val="auto"/>
        </w:rPr>
      </w:pPr>
    </w:p>
    <w:p>
      <w:pPr>
        <w:ind w:left="740" w:right="60" w:hanging="367"/>
        <w:spacing w:after="0" w:line="275"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Prevent fratricide. Additional edits to eliminate antigens that are shared between malignant cells and CAR-T cells, to prevent fratricide (i.e., CAR-T cells attacking each other before they can attack the tumor).</w:t>
      </w:r>
    </w:p>
    <w:p>
      <w:pPr>
        <w:spacing w:after="0" w:line="63" w:lineRule="exact"/>
        <w:rPr>
          <w:sz w:val="20"/>
          <w:szCs w:val="20"/>
          <w:color w:val="auto"/>
        </w:rPr>
      </w:pPr>
    </w:p>
    <w:p>
      <w:pPr>
        <w:jc w:val="both"/>
        <w:ind w:right="180"/>
        <w:spacing w:after="0" w:line="263" w:lineRule="auto"/>
        <w:rPr>
          <w:sz w:val="20"/>
          <w:szCs w:val="20"/>
          <w:color w:val="auto"/>
        </w:rPr>
      </w:pPr>
      <w:r>
        <w:rPr>
          <w:rFonts w:ascii="Arial" w:cs="Arial" w:eastAsia="Arial" w:hAnsi="Arial"/>
          <w:sz w:val="17"/>
          <w:szCs w:val="17"/>
          <w:color w:val="auto"/>
        </w:rPr>
        <w:t>The initial indications that we plan to target with these product candidates are relapsed, refractory, pediatric T-cell Acute Lymphoblastic Leukemia, or T-ALL, and pediatric Acute Myeloid Leukemia, or AML. We believe that our approach has the potential to produce higher response rates and deeper remissions than existing approaches.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Non-Viral delivery for liver diseases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Alpha-1 Antitrypsin Deficiency</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Alpha-1 Antitrypsin Deficiency, or Alpha-1, is a severe inherited genetic disorder that can cause progressive lung and liver disease. The most severe form of ALPHA-1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and require patients to undergo a liver transplant. It is estimated that approximately 60,000 individuals in the United States have two copies of the Z allele. There are currently no curative treatments for patients with ALPHA-1.</w:t>
      </w:r>
    </w:p>
    <w:p>
      <w:pPr>
        <w:spacing w:after="0" w:line="6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With the high efficiency and precision of our base editors, we aim to utilize our ABEs to enable the programmable conversion of A-to-T and G-to-C base pairs and precisely correct the E342K point mutation back to the wild type sequence.</w:t>
      </w:r>
    </w:p>
    <w:p>
      <w:pPr>
        <w:spacing w:after="0" w:line="6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For a recent study, we engineered novel ABEs and guide RNAs capable of correcting the PiZ mutation, and then applied a proprietary non-viral lipid nanoparticle formulation to deliver the optimized reagents to the livers of a PiZ transgenic mouse model. This direct editing approach resulted in an average of 16.9% correction of beneficial alleles at 7 days and 28.8% at three months. This significant increase over the period suggests that corrected hepatocytes may have a proliferative advantage relative to uncorrected cells. In addition, treated mice demonstrate decreased alpha-1 antitrypsin, or A1AT, globule burden within the liver and a durable, significant increase in serum A1AT active protein at three months, roughly 4.9-fold higher than in controls, levels which we believe would be therapeutic if achieved in patients. These data indicate the potential for base editing as a one-time therapy to treat both lung and liver manifestations of Alpha-1 antitrypsin deficiency.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Glycogen Storage Disease 1a</w:t>
      </w:r>
    </w:p>
    <w:p>
      <w:pPr>
        <w:spacing w:after="0" w:line="11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Glycogen Storage Disease Type 1A, also known as Von Gierke disease, is an inborn disorder of glucose metabolism caused by mutations in the G6PC gene, which results in low blood glucose levels that can be fatal if patients do not adhere to a strict regimen of slow-release forms of glucose, administered every one to four hours (including overnight). There are no disease-modifying therapies available for patients with GSD1a.</w:t>
      </w:r>
    </w:p>
    <w:p>
      <w:pPr>
        <w:spacing w:after="0" w:line="73"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Our approach to treating patients with glycogen storage disease 1a, or GSD1a, is to apply base editing via LNP delivery to repair the two most prevalent mutations that cause the disease, R83C and Q347X. It is estimated that these two-point mutations account for 900 and 500 patients, respectively, in the United States, representing approximately 59% of all GSD1a patients. Animal studies have shown that as little as 11% of normal G6Pase activity in liver cells is sufficient to restore fasting glucose; however, this level must be maintained in order to preserve glucose control and alleviate other serious, and potentially fatal, GSD1a sequelae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24" w:name="page25"/>
    <w:bookmarkEnd w:id="24"/>
    <w:p>
      <w:pPr>
        <w:ind w:right="60"/>
        <w:spacing w:after="0" w:line="263" w:lineRule="auto"/>
        <w:rPr>
          <w:sz w:val="20"/>
          <w:szCs w:val="20"/>
          <w:color w:val="auto"/>
        </w:rPr>
      </w:pPr>
      <w:r>
        <w:rPr>
          <w:rFonts w:ascii="Arial" w:cs="Arial" w:eastAsia="Arial" w:hAnsi="Arial"/>
          <w:sz w:val="17"/>
          <w:szCs w:val="17"/>
          <w:color w:val="auto"/>
        </w:rPr>
        <w:t>We have identified product candidates that can correct up to 80% of the alleles in cells harboring the Q347X point mutation and approximately 60% of the alleles in cells harboring the R83C mutation as shown in the figures below. Correction of at least 11% is expected to be clinically relevant and potentially disease modifying for GSD1a patients.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Viral delivery for ocular and CNS disorders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Stargardt Disease</w:t>
      </w:r>
    </w:p>
    <w:p>
      <w:pPr>
        <w:spacing w:after="0" w:line="11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Stargardt Disease is an inherited disorder of the central region of the retina, causing progressive vision loss typically beginning in adolescence and ultimately leading to central and night vision blindness. The most prevalent mutation in the ABCA4 gene that leads to Stargardt disease is the G1961E point mutation. Approximately 5,500 individuals in the United States are affected by this mutation. Our base editing approach is to repair the G1961E point mutation in the ABCA4 gene. Disease modeling using tiny spot stimuli, or light stimuli through holes that are equivalent in size to a single photoreceptor cell, suggests that only 12%-20% of these cells are sufficient to preserve vision. We anticipate, therefore, that editing percentages in the range of 12%-20% of these cells would be disease-modifying, since each edited cell will be fully corrected and protected from the biochemical defect.</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Given that the base editor is larger than the packaging capacity of a single AAV, we use a split AAV system that delivers the base editor via two AAV vectors. Once inside the cell, the two halves of the editor are recombined to create a functional base editor. In a human retinal pigment epithelial cell line (ARPE-19 cells) in which we have knocked in the ABCA4 G1961E point mutation, we have demonstrated the precise correction of approximately 75% of the disease alleles at 5 weeks after dual infection with the split AAV system.</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w:t>
      </w:r>
    </w:p>
    <w:p>
      <w:pPr>
        <w:spacing w:after="0" w:line="115"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We believe our base editing technology has potential across a broad array of genetic diseases. To fully realize this potential, we have established and will continue to seek out innovative collaborations, licenses, and strategic alliances with pioneering companies and with leading academic and research institutions. Additionally, we have and will continue to pursue relationships that potentially allow us to accelerate our preclinical research and development efforts. These relationships will allow us to uphold our vision of maximizing the potential of base editing to provide life-long cures for patients suffering from serious diseases.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Ex vivo </w:t>
      </w:r>
      <w:r>
        <w:rPr>
          <w:rFonts w:ascii="Arial" w:cs="Arial" w:eastAsia="Arial" w:hAnsi="Arial"/>
          <w:sz w:val="17"/>
          <w:szCs w:val="17"/>
          <w:b w:val="1"/>
          <w:bCs w:val="1"/>
          <w:color w:val="auto"/>
        </w:rPr>
        <w:t>electroporation for hematologic diseases and oncology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Boston Children’s Hospital</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July 2020, we formed a strategic alliance with Boston Children’s Hospital. Under the terms of the agreement, we will sponsor research programs at Boston Children’s to facilitate development of disease-specific therapies using our proprietary base editing technology. Boston Children’s will also serve as a clinical site to advance bench-to-bedside translation of our pipeline across certain therapeutic areas of interest, including programs in sickle cell disease and pediatric leukemias and exploration of new programs targeting other diseases.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Magenta Therapeutics</w:t>
      </w:r>
    </w:p>
    <w:p>
      <w:pPr>
        <w:spacing w:after="0" w:line="111"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In June 2020, we announced a non-exclusive research and clinical collaboration agreement with Magenta Therapeutics to evaluate the potential utility of MGTA-117, Magenta’s novel targeted ADC for conditioning of patients with sickle cell disease and beta-thalassemia receiving our base editing therapies. Conditioning is a critical component necessary to prepare a patient’s body to receive the edited cells, which carry the corrected gene and must engraft in the patient’s bone marrow in order to be effective. Today’s conditioning regimens rely on nonspecific chemotherapy or radiation, which are associated with significant toxicities. MGTA-117 precisely targets only hematopoietic stem and progenitor cells, sparing immune cells, and has shown high selectivity, potent efficacy, wide safety margins and broad tolerability in non-human primate models. MGTA-117 may be capable of clearing space in bone marrow to support long-term engraftment and rapid recovery in patients. Combining the precision of our base editing technology with the more targeted conditioning regimen enabled by MGTA-117 could further improve therapeutic outcomes for patients suffering from these severe diseases. We will be responsible for clinical trial costs related to development of our base editors when combined with MGTA-117, while Magenta will continue to be responsible for all other development costs of MGTA-117.</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Non-Viral delivery for liver diseases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Verve Therapeutics</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April 2019, we entered into a collaboration and license agreement with Verve, a company focused on developing genetic medicines to safely edit the genome of adults to permanently lower LDL cholesterol and triglyceride levels and thereby treat coronary heart disease. This collaboration allows us to fully realize the potential of base editing in treating cardiovascular diseases, an area outside of our core focus where the Verve team has significant, world-class expertise. Under the terms of the agreement, Verve received exclusive access to our base editing technology, gene editing, and delivery technologies for human therapeutic applications against certain cardiovascular targets. In exchange, we received 2,556,322 shares of Verve common stock. Additionally, we will receive milestone payments for certain clinical and regulatory events and retains the option, after the completion of Phase 1 studies, to participate in future development and commercialization, and share 50 percent of U.S. profits and losses, for any product directed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25" w:name="page26"/>
    <w:bookmarkEnd w:id="25"/>
    <w:p>
      <w:pPr>
        <w:ind w:right="60"/>
        <w:spacing w:after="0" w:line="314" w:lineRule="auto"/>
        <w:rPr>
          <w:sz w:val="20"/>
          <w:szCs w:val="20"/>
          <w:color w:val="auto"/>
        </w:rPr>
      </w:pPr>
      <w:r>
        <w:rPr>
          <w:rFonts w:ascii="Arial" w:cs="Arial" w:eastAsia="Arial" w:hAnsi="Arial"/>
          <w:sz w:val="15"/>
          <w:szCs w:val="15"/>
          <w:color w:val="auto"/>
        </w:rPr>
        <w:t>against these targets. Verve granted to us a non-exclusive license under know-how and patents controlled by Verve, and an interest in joint collaboration technology. Either party may owe the other party other milestone payments for certain clinical and regulatory events related to the delivery technology products. Royalty payments may become due by either party to the other based on the net sales of any commercialized delivery technology products under the agreement.</w:t>
      </w:r>
    </w:p>
    <w:p>
      <w:pPr>
        <w:spacing w:after="0" w:line="3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 xml:space="preserve">In June 2020, Verve reported preclinical proof-of-concept data in non-human primates that demonstrated the successful use of adenine base editors to turn off a gene in the liver. Utilizing ABE technology licensed from us and an optimized guide RNA packaged in an engineered lipid nanoparticle, Verve evaluated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liver base editing to turn off proprotein convertase subtilisin/kexin type 9 (PCSK9), a gene whose protein product elevates blood LDL cholesterol or angiopoietin-like protein 3 (ANGPTL3), a gene whose protein product elevates blood triglyceride-rich lipoproteins. We believe these proof-of-concept data, which show we can safely edit the primate genome, represent the first successful application of the base editing technology in non-human primates</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two separate studies, seven animals were treated with the drug product targeting the PCSK9 gene and seven additional animals with the drug product targeting the ANGPTL3 gene. Whole liver editing, blood protein and lipid levels were measured at two weeks and compared to baseline. The program targeting PCSK9 showed an average of 67% whole liver PCSK9 editing, which translated into an 89% reduction in plasma PCSK9 protein and resulted in a 59% reduction in blood LDL cholesterol levels. The program targeting ANGPTL3 showed an average of 60% whole liver ANGPTL3 editing, which translated into a 95% reduction in plasma ANGPTL3 protein and resulted in a 64% reduction in blood triglyceride levels and 19% reduction in LDL cholesterol levels. In addition, in studies in primary human hepatocytes, clear evidence of on-target editing was observed with no evidence of off-target editing.</w:t>
      </w:r>
    </w:p>
    <w:p>
      <w:pPr>
        <w:spacing w:after="0" w:line="68"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Per the terms of our agreement with Verve, we can exercise our right to participate in the future development and commercialization of any programs at the completion of Phase I studies.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Viral delivery for ophthalmology and CNS diseases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IOB</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July 2020, we announced a research collaboration with the Institute of Molecular and Clinical Ophthalmology Basel (IOB). Founded in 2018 by a consortium that includes Novartis, the University Hospital of Basel and the University of Basel, IOB is a leader in basic and translational research aimed at treating impaired vision and blindness. Clinical scientists at IOB have also helped to develop better ways to measure how vision is impacted by Stargardt disease. Additionally, researchers at IOB have developed living models of the retina, known as organoids, which can be used to test novel therapies. Under the terms of the agreement, the companies will leverage IOB’s unique expertise in the field of ophthalmology along with our novel base editing technology to advance programs directed to the treatment of certain ocular diseases, including Stargardt disease.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To realize the full potential of base editors as a new class of medicines, we are building customized and integrated capabilities across discovery, manufacturing, and preclinical and clinical development. Due to the critical importance of high-quality manufacturing and control of production timing and know-how, we have taken steps toward establishing our own manufacturing facility, which will provide us the flexibility to manufacture numerous different drug product modalities. We believe this investment will maximize the value of our portfolio and capabilities, the probability of technical success of our programs, and the speed at which we can provide life-long cures to patients.</w:t>
      </w:r>
    </w:p>
    <w:p>
      <w:pPr>
        <w:spacing w:after="0" w:line="78"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 xml:space="preserve">In August 2020, we entered into a lease agreement with Alexandria Real Estate Equities, Inc. to build a 100,000 square foot current Good Manufacturing Practice, or cGMP, compliant manufacturing facility in Research Triangle Park, North Carolina intended to support a broad range of clinical programs. We will invest up to $83 million over a five-year period and anticipate that the facility will be operational by the first quarter of 2023. The project will be facilitated, in part, by a JDIG approved by the North Carolina Economic Investment Committee, which authorizes potential reimbursements based on new tax revenues generated through the project. The facility will be designed to support manufacturing for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therapy programs in hematology and oncology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non-viral delivery programs for liver diseases, with flexibility to support manufacturing of our viral delivery programs, and ultimately, scale-up to support potential commercial supply.</w:t>
      </w:r>
    </w:p>
    <w:p>
      <w:pPr>
        <w:spacing w:after="0" w:line="79" w:lineRule="exact"/>
        <w:rPr>
          <w:sz w:val="20"/>
          <w:szCs w:val="20"/>
          <w:color w:val="auto"/>
        </w:rPr>
      </w:pPr>
    </w:p>
    <w:p>
      <w:pPr>
        <w:ind w:right="740"/>
        <w:spacing w:after="0" w:line="275" w:lineRule="auto"/>
        <w:rPr>
          <w:sz w:val="20"/>
          <w:szCs w:val="20"/>
          <w:color w:val="auto"/>
        </w:rPr>
      </w:pPr>
      <w:r>
        <w:rPr>
          <w:rFonts w:ascii="Arial" w:cs="Arial" w:eastAsia="Arial" w:hAnsi="Arial"/>
          <w:sz w:val="17"/>
          <w:szCs w:val="17"/>
          <w:color w:val="auto"/>
        </w:rPr>
        <w:t>For our initial waves of clinical programs, we will use contract manufacturing organizations, or CMOs, with relevant manufacturing experience in genetic medicines.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115"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With the ongoing concern related to the COVID-19 pandemic, we have maintained and expanded the business continuity plans, implemented in the first six months of 2020, to address and mitigate the impact of the COVID-19 pandemic on our business. In March 2020, to protect the health of our employees, and their families and communities, we restricted access to our offices to personnel who performed critical activities that must be completed on-site, limited the number of such personnel that can be present at our facilities at any one time, and requested that most of our employees work remotely. In May 2020, as certain states eased restrictions, we established new protocols to better allow our full laboratory staff access to our facilities. These protocols included several shifts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26" w:name="page27"/>
    <w:bookmarkEnd w:id="26"/>
    <w:p>
      <w:pPr>
        <w:ind w:right="460"/>
        <w:spacing w:after="0" w:line="275" w:lineRule="auto"/>
        <w:rPr>
          <w:sz w:val="20"/>
          <w:szCs w:val="20"/>
          <w:color w:val="auto"/>
        </w:rPr>
      </w:pPr>
      <w:r>
        <w:rPr>
          <w:rFonts w:ascii="Arial" w:cs="Arial" w:eastAsia="Arial" w:hAnsi="Arial"/>
          <w:sz w:val="17"/>
          <w:szCs w:val="17"/>
          <w:color w:val="auto"/>
        </w:rPr>
        <w:t>working over a seven days week protocol. We expect to continue incurring additional costs to ensure we adhere to the guidelines instituted by the Centers for Disease Control and to provide a safe working environment to our onsite employees.</w:t>
      </w:r>
    </w:p>
    <w:p>
      <w:pPr>
        <w:spacing w:after="0" w:line="63"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The extent to which the COVID-19 pandemic impacts our business, our corporate development objectives, results of operations and financial condition, including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our business, financial condition, results of operations and growth prospects.</w:t>
      </w:r>
    </w:p>
    <w:p>
      <w:pPr>
        <w:spacing w:after="0" w:line="50"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While the COVID-19 pandemic did not significantly impact our business or results of operations during the six months ended June 30, 2020, the length and extent of the pandemic, its consequences, and containment efforts will determine the future impact on our operations and financial condition.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judgements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critical accounting policies are those policies which require the most significant judgments and estimates in the preparation of our condensed consolidated financial statements. We have determined that our most critical accounting policies are those relating to stock-based compensation, variable interest entities, fair value measurements, and leases. There have been no significant changes to our existing critical accounting policies discussed in our Annual Report on Form 10-K for the year ended December 31, 2019.</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1"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We were incorporated on January 25, 2017 and commenced operations shortly thereafter.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and proceeds from our IPO.</w:t>
      </w:r>
    </w:p>
    <w:p>
      <w:pPr>
        <w:spacing w:after="0" w:line="4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are a development stage company, and all of our programs are at a preclinical stage of development. To date, we have not generated any revenue from product sales and do not expect to generate revenue from the sale of products for the foreseeable future. Since inception we have incurred significant operating losses. Our net losses for the six months ended June 30, 2020 and 2019 were $64.7 million and $31.5 million, respectively. As of June 30, 2020, we had an accumulated deficit of $267.7 million. We expect to continue to incur significant expenses and increasing operating losses in connection with ongoing development activities related to our portfolio of programs as we continue our preclinical development of product candidates; advance these product candidates toward clinical development; further develop our base editing platform; research activities as we seek to discover and develop additional product candidates; maintenance, expansion enforcement, defense, and protection of our intellectual property portfolio; and hiring research and development, clinical and commercial personnel. In addition, we expect to continue to incur additional costs associated with operating as a public company.</w:t>
      </w:r>
    </w:p>
    <w:p>
      <w:pPr>
        <w:spacing w:after="0" w:line="7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a result of these anticipated expenditures, we will need additional financing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funds to support our operations, or, if such funds are available to us, that such additional funding will be sufficient to meet our needs.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of costs incurred in performing research and development activities, which include:</w:t>
      </w:r>
    </w:p>
    <w:p>
      <w:pPr>
        <w:spacing w:after="0" w:line="111" w:lineRule="exact"/>
        <w:rPr>
          <w:sz w:val="20"/>
          <w:szCs w:val="20"/>
          <w:color w:val="auto"/>
        </w:rPr>
      </w:pPr>
    </w:p>
    <w:p>
      <w:pPr>
        <w:ind w:left="740" w:right="280" w:hanging="367"/>
        <w:spacing w:after="0" w:line="275"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 to obtain licenses to intellectual property, such as those with Harvard, Broad Institute, and Editas, and related future payments should certain success, development and regulatory milestones be achieved;</w:t>
      </w:r>
    </w:p>
    <w:p>
      <w:pPr>
        <w:spacing w:after="0" w:line="63" w:lineRule="exact"/>
        <w:rPr>
          <w:rFonts w:ascii="Arial" w:cs="Arial" w:eastAsia="Arial" w:hAnsi="Arial"/>
          <w:sz w:val="17"/>
          <w:szCs w:val="17"/>
          <w:color w:val="auto"/>
        </w:rPr>
      </w:pPr>
    </w:p>
    <w:p>
      <w:pPr>
        <w:ind w:left="740" w:right="320" w:hanging="367"/>
        <w:spacing w:after="0" w:line="275"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personnel-related expenses, including salaries, bonuses, benefits and stock-based compensation for employees engaged in research and development functions;</w:t>
      </w:r>
    </w:p>
    <w:p>
      <w:pPr>
        <w:spacing w:after="0" w:line="63" w:lineRule="exact"/>
        <w:rPr>
          <w:rFonts w:ascii="Arial" w:cs="Arial" w:eastAsia="Arial" w:hAnsi="Arial"/>
          <w:sz w:val="17"/>
          <w:szCs w:val="17"/>
          <w:color w:val="auto"/>
        </w:rPr>
      </w:pPr>
    </w:p>
    <w:p>
      <w:pPr>
        <w:ind w:left="740" w:hanging="367"/>
        <w:spacing w:after="0" w:line="275"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 of developing and validating our manufacturing process for use in our preclinical studies and future clinical trials;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20" w:top="434" w:right="399" w:bottom="1440" w:gutter="0" w:footer="0" w:header="0"/>
        </w:sectPr>
      </w:pPr>
    </w:p>
    <w:bookmarkStart w:id="27" w:name="page28"/>
    <w:bookmarkEnd w:id="27"/>
    <w:p>
      <w:pPr>
        <w:ind w:left="740" w:hanging="36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laboratory supplies and research materials; and</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direct and allocated expenses.</w:t>
      </w:r>
    </w:p>
    <w:p>
      <w:pPr>
        <w:spacing w:after="0" w:line="1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6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the early phases of development, our research and development costs are often devoted to product platform and proof-of-concept studies that are not necessarily allocable to a specific target, therefore, we have not yet begun tracking our expenses on a program-by-program basis.</w:t>
      </w:r>
    </w:p>
    <w:p>
      <w:pPr>
        <w:spacing w:after="0" w:line="63"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We expect that our research and development expenses will increase substantially in connection with our planned preclinical and future clinical development activities.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intellectual property, business development, finance,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6"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We anticipate that our general and administrative expenses will increase in the future to support increased research and development activities. We also expect to incur increased costs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together with the change in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w w:val="89"/>
              </w:rPr>
              <w:t>Three Months Ended June 30,</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6"/>
        </w:trPr>
        <w:tc>
          <w:tcPr>
            <w:tcW w:w="4940" w:type="dxa"/>
            <w:vAlign w:val="bottom"/>
            <w:tcBorders>
              <w:bottom w:val="single" w:sz="8" w:color="CFF0FC"/>
            </w:tcBorders>
          </w:tcPr>
          <w:p>
            <w:pPr>
              <w:spacing w:after="0"/>
              <w:rPr>
                <w:sz w:val="12"/>
                <w:szCs w:val="12"/>
                <w:color w:val="auto"/>
              </w:rPr>
            </w:pPr>
          </w:p>
        </w:tc>
        <w:tc>
          <w:tcPr>
            <w:tcW w:w="17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8"/>
              <w:spacing w:after="0" w:line="146"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7"/>
              <w:spacing w:after="0" w:line="146"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7"/>
              <w:spacing w:after="0" w:line="146" w:lineRule="exact"/>
              <w:rPr>
                <w:sz w:val="20"/>
                <w:szCs w:val="20"/>
                <w:color w:val="auto"/>
              </w:rPr>
            </w:pPr>
            <w:r>
              <w:rPr>
                <w:rFonts w:ascii="Arial" w:cs="Arial" w:eastAsia="Arial" w:hAnsi="Arial"/>
                <w:sz w:val="14"/>
                <w:szCs w:val="14"/>
                <w:b w:val="1"/>
                <w:bCs w:val="1"/>
                <w:color w:val="auto"/>
              </w:rPr>
              <w:t>Change</w:t>
            </w: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License revenue</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6</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w:t>
            </w:r>
          </w:p>
        </w:tc>
      </w:tr>
      <w:tr>
        <w:trPr>
          <w:trHeight w:val="217"/>
        </w:trPr>
        <w:tc>
          <w:tcPr>
            <w:tcW w:w="4940" w:type="dxa"/>
            <w:vAlign w:val="bottom"/>
          </w:tcPr>
          <w:p>
            <w:pPr>
              <w:spacing w:after="0"/>
              <w:rPr>
                <w:sz w:val="20"/>
                <w:szCs w:val="20"/>
                <w:color w:val="auto"/>
              </w:rPr>
            </w:pPr>
            <w:r>
              <w:rPr>
                <w:rFonts w:ascii="Arial" w:cs="Arial" w:eastAsia="Arial" w:hAnsi="Arial"/>
                <w:sz w:val="17"/>
                <w:szCs w:val="17"/>
                <w:color w:val="auto"/>
              </w:rPr>
              <w:t>Operating expenses: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19,354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12,680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6,674</w:t>
            </w:r>
          </w:p>
        </w:tc>
      </w:tr>
      <w:tr>
        <w:trPr>
          <w:trHeight w:val="217"/>
        </w:trPr>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1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6,937</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4,977</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1,960</w:t>
            </w:r>
          </w:p>
        </w:tc>
      </w:tr>
      <w:tr>
        <w:trPr>
          <w:trHeight w:val="211"/>
        </w:trPr>
        <w:tc>
          <w:tcPr>
            <w:tcW w:w="49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17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26,291</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17,657</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8,634</w:t>
            </w: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Loss from operations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(26,285)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(17,651)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(8,634)</w:t>
            </w:r>
          </w:p>
        </w:tc>
      </w:tr>
      <w:tr>
        <w:trPr>
          <w:trHeight w:val="218"/>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7"/>
        </w:trPr>
        <w:tc>
          <w:tcPr>
            <w:tcW w:w="4940" w:type="dxa"/>
            <w:vAlign w:val="bottom"/>
          </w:tcPr>
          <w:p>
            <w:pPr>
              <w:ind w:left="240"/>
              <w:spacing w:after="0"/>
              <w:rPr>
                <w:sz w:val="20"/>
                <w:szCs w:val="20"/>
                <w:color w:val="auto"/>
              </w:rPr>
            </w:pPr>
            <w:r>
              <w:rPr>
                <w:rFonts w:ascii="Arial" w:cs="Arial" w:eastAsia="Arial" w:hAnsi="Arial"/>
                <w:sz w:val="17"/>
                <w:szCs w:val="17"/>
                <w:color w:val="auto"/>
              </w:rPr>
              <w:t>Change in fair value of derivative liabilities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(8,700)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(7,700)</w:t>
            </w:r>
          </w:p>
        </w:tc>
      </w:tr>
      <w:tr>
        <w:trPr>
          <w:trHeight w:val="218"/>
        </w:trPr>
        <w:tc>
          <w:tcPr>
            <w:tcW w:w="4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and other income, net</w:t>
            </w:r>
          </w:p>
        </w:tc>
        <w:tc>
          <w:tcPr>
            <w:tcW w:w="17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767</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790</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49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other expense</w:t>
            </w:r>
          </w:p>
        </w:tc>
        <w:tc>
          <w:tcPr>
            <w:tcW w:w="1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(7,933)</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(7,723)</w:t>
            </w: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(34,218)</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(16,357)</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revenue</w:t>
      </w:r>
    </w:p>
    <w:p>
      <w:pPr>
        <w:spacing w:after="0" w:line="11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License revenue was $6 thousand for the three months ended June 30, 2020 and 2019 representing Verve license revenue recorded under the Collaboration and License Agreement executed in April 2019.</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1"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Research and development expenses were $19.4 million and $12.7 million for the three months ended June 30, 2020 and 2019, respectively. The increase of $6.7 million was primarily due to the following:</w:t>
      </w:r>
    </w:p>
    <w:p>
      <w:pPr>
        <w:spacing w:after="0" w:line="63" w:lineRule="exact"/>
        <w:rPr>
          <w:sz w:val="20"/>
          <w:szCs w:val="20"/>
          <w:color w:val="auto"/>
        </w:rPr>
      </w:pPr>
    </w:p>
    <w:p>
      <w:pPr>
        <w:ind w:left="740" w:right="60" w:hanging="367"/>
        <w:spacing w:after="0" w:line="287"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Increases of $2.8 million in lab supplies and outsourced services, $1.9 million in personnel-related costs, and $1.3 million in facility-related costs, including depreciation. These increases were due to the growth in the number of research and development employees from 69 at June 30, 2019 to 127 at June 30, 2020, and their related activities, as well as the expense allocated to research and development related to our leased facilities.</w:t>
      </w:r>
    </w:p>
    <w:p>
      <w:pPr>
        <w:spacing w:after="0" w:line="55" w:lineRule="exact"/>
        <w:rPr>
          <w:rFonts w:ascii="Arial" w:cs="Arial" w:eastAsia="Arial" w:hAnsi="Arial"/>
          <w:sz w:val="16"/>
          <w:szCs w:val="16"/>
          <w:color w:val="auto"/>
        </w:rPr>
      </w:pPr>
    </w:p>
    <w:p>
      <w:pPr>
        <w:ind w:left="740" w:right="260" w:hanging="367"/>
        <w:spacing w:after="0" w:line="275"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of $0.3 million in stock compensation from additional stock option awards due to the increase in the number of research and development employees as well as an increase in the value of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auto"/>
        </w:rPr>
        <w:t>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1"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General and administrative expenses were $6.9 million and $5.0 million for the three months ended June 30, 2020 and 2019, respectively. The increase of $2.0 million was primarily a result of a $0.8 million increase in insurance costs due to increased directors and officers insurance costs as a result of our February 2020 IPO, a $0.4 million increase in stock-based compensation due to an increase in the number of general and administrative employees from 18 employees as of June 30, 2019 to 24 employees as of June 30, 2020 as well as an increase in the value of our common stock, a $0.3 million increase in personnel related costs due to an increase in general and administrative employees, a $0.3 million increase in other administrative expenses, a $0.2 million increase in intellectual property costs, and a $0.1 million decrease in expense allocated to general and administrative expense related to our leased facilities, including depreciation.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derivative liabilities</w:t>
      </w:r>
    </w:p>
    <w:p>
      <w:pPr>
        <w:spacing w:after="0" w:line="111" w:lineRule="exact"/>
        <w:rPr>
          <w:sz w:val="20"/>
          <w:szCs w:val="20"/>
          <w:color w:val="auto"/>
        </w:rPr>
      </w:pPr>
    </w:p>
    <w:p>
      <w:pPr>
        <w:jc w:val="both"/>
        <w:ind w:right="40"/>
        <w:spacing w:after="0" w:line="314" w:lineRule="auto"/>
        <w:rPr>
          <w:sz w:val="20"/>
          <w:szCs w:val="20"/>
          <w:color w:val="auto"/>
        </w:rPr>
      </w:pPr>
      <w:r>
        <w:rPr>
          <w:rFonts w:ascii="Arial" w:cs="Arial" w:eastAsia="Arial" w:hAnsi="Arial"/>
          <w:sz w:val="15"/>
          <w:szCs w:val="15"/>
          <w:color w:val="auto"/>
        </w:rPr>
        <w:t>During the three months ended June 30, 2020, we recorded a $8.7 million expense related to the change in fair value of success payment liabilities as compared to a $1.0 million expense for the three months ended June 30, 2019, primarily as a result of the increase in the fair value of our common stock compared to the fair value of our Series A Preferred. The success payment obligations are still outstanding as of June 30, 2020 and will continue to be revalued at each reporting period.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w:t>
      </w:r>
    </w:p>
    <w:p>
      <w:pPr>
        <w:spacing w:after="0" w:line="11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 decrease in interest and other income was primarily due to an increase in interest expense resulting from our equipment financing and a decrease in interest income driven by decreased market rates.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together with the change in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6"/>
        </w:trPr>
        <w:tc>
          <w:tcPr>
            <w:tcW w:w="4940" w:type="dxa"/>
            <w:vAlign w:val="bottom"/>
            <w:tcBorders>
              <w:bottom w:val="single" w:sz="8" w:color="CFF0FC"/>
            </w:tcBorders>
          </w:tcPr>
          <w:p>
            <w:pPr>
              <w:spacing w:after="0"/>
              <w:rPr>
                <w:sz w:val="12"/>
                <w:szCs w:val="12"/>
                <w:color w:val="auto"/>
              </w:rPr>
            </w:pPr>
          </w:p>
        </w:tc>
        <w:tc>
          <w:tcPr>
            <w:tcW w:w="17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7"/>
              <w:spacing w:after="0" w:line="146"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7"/>
              <w:spacing w:after="0" w:line="146"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7"/>
              <w:spacing w:after="0" w:line="146" w:lineRule="exact"/>
              <w:rPr>
                <w:sz w:val="20"/>
                <w:szCs w:val="20"/>
                <w:color w:val="auto"/>
              </w:rPr>
            </w:pPr>
            <w:r>
              <w:rPr>
                <w:rFonts w:ascii="Arial" w:cs="Arial" w:eastAsia="Arial" w:hAnsi="Arial"/>
                <w:sz w:val="14"/>
                <w:szCs w:val="14"/>
                <w:b w:val="1"/>
                <w:bCs w:val="1"/>
                <w:color w:val="auto"/>
              </w:rPr>
              <w:t>Change</w:t>
            </w: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License revenue</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12</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6</w:t>
            </w:r>
          </w:p>
        </w:tc>
      </w:tr>
      <w:tr>
        <w:trPr>
          <w:trHeight w:val="217"/>
        </w:trPr>
        <w:tc>
          <w:tcPr>
            <w:tcW w:w="4940" w:type="dxa"/>
            <w:vAlign w:val="bottom"/>
          </w:tcPr>
          <w:p>
            <w:pPr>
              <w:spacing w:after="0"/>
              <w:rPr>
                <w:sz w:val="20"/>
                <w:szCs w:val="20"/>
                <w:color w:val="auto"/>
              </w:rPr>
            </w:pPr>
            <w:r>
              <w:rPr>
                <w:rFonts w:ascii="Arial" w:cs="Arial" w:eastAsia="Arial" w:hAnsi="Arial"/>
                <w:sz w:val="17"/>
                <w:szCs w:val="17"/>
                <w:color w:val="auto"/>
              </w:rPr>
              <w:t>Operating expenses: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40,903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21,859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19,044</w:t>
            </w:r>
          </w:p>
        </w:tc>
      </w:tr>
      <w:tr>
        <w:trPr>
          <w:trHeight w:val="217"/>
        </w:trPr>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General and administrative</w:t>
            </w:r>
          </w:p>
        </w:tc>
        <w:tc>
          <w:tcPr>
            <w:tcW w:w="1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13,749</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8,906</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4,843</w:t>
            </w:r>
          </w:p>
        </w:tc>
      </w:tr>
      <w:tr>
        <w:trPr>
          <w:trHeight w:val="211"/>
        </w:trPr>
        <w:tc>
          <w:tcPr>
            <w:tcW w:w="49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17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54,652</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30,765</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23,887</w:t>
            </w: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Loss from operations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(54,640)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(30,759)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(23,881)</w:t>
            </w:r>
          </w:p>
        </w:tc>
      </w:tr>
      <w:tr>
        <w:trPr>
          <w:trHeight w:val="218"/>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1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7"/>
        </w:trPr>
        <w:tc>
          <w:tcPr>
            <w:tcW w:w="4940" w:type="dxa"/>
            <w:vAlign w:val="bottom"/>
          </w:tcPr>
          <w:p>
            <w:pPr>
              <w:ind w:left="240"/>
              <w:spacing w:after="0"/>
              <w:rPr>
                <w:sz w:val="20"/>
                <w:szCs w:val="20"/>
                <w:color w:val="auto"/>
              </w:rPr>
            </w:pPr>
            <w:r>
              <w:rPr>
                <w:rFonts w:ascii="Arial" w:cs="Arial" w:eastAsia="Arial" w:hAnsi="Arial"/>
                <w:sz w:val="17"/>
                <w:szCs w:val="17"/>
                <w:color w:val="auto"/>
              </w:rPr>
              <w:t>Change in fair value of derivative liabilities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(9,400)</w:t>
            </w:r>
          </w:p>
        </w:tc>
      </w:tr>
      <w:tr>
        <w:trPr>
          <w:trHeight w:val="218"/>
        </w:trPr>
        <w:tc>
          <w:tcPr>
            <w:tcW w:w="4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and other income, net</w:t>
            </w:r>
          </w:p>
        </w:tc>
        <w:tc>
          <w:tcPr>
            <w:tcW w:w="17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1,364</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1,288</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76</w:t>
            </w:r>
          </w:p>
        </w:tc>
      </w:tr>
      <w:tr>
        <w:trPr>
          <w:trHeight w:val="209"/>
        </w:trPr>
        <w:tc>
          <w:tcPr>
            <w:tcW w:w="49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other expense</w:t>
            </w:r>
          </w:p>
        </w:tc>
        <w:tc>
          <w:tcPr>
            <w:tcW w:w="1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(10,036)</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(9,324)</w:t>
            </w: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(64,676)</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(31,471)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(33,205)</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revenue</w:t>
      </w:r>
    </w:p>
    <w:p>
      <w:pPr>
        <w:spacing w:after="0" w:line="111"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License revenue was $12 thousand for the six months ended June 30, 2020 representing Verve license revenue recorded under the Collaboration and License Agreement executed in April 2019, compared to $6 thousand for six months ended June 30, 2019.</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1" w:lineRule="exact"/>
        <w:rPr>
          <w:sz w:val="20"/>
          <w:szCs w:val="20"/>
          <w:color w:val="auto"/>
        </w:rPr>
      </w:pPr>
    </w:p>
    <w:p>
      <w:pPr>
        <w:ind w:right="740"/>
        <w:spacing w:after="0" w:line="275" w:lineRule="auto"/>
        <w:rPr>
          <w:sz w:val="20"/>
          <w:szCs w:val="20"/>
          <w:color w:val="auto"/>
        </w:rPr>
      </w:pPr>
      <w:r>
        <w:rPr>
          <w:rFonts w:ascii="Arial" w:cs="Arial" w:eastAsia="Arial" w:hAnsi="Arial"/>
          <w:sz w:val="17"/>
          <w:szCs w:val="17"/>
          <w:color w:val="auto"/>
        </w:rPr>
        <w:t>Research and development expenses were $40.9 million and $21.9 million for the six months ended June 30, 2020 and 2019, respectively. The increase of $19.0 million was primarily due to the following:</w:t>
      </w:r>
    </w:p>
    <w:p>
      <w:pPr>
        <w:spacing w:after="0" w:line="63" w:lineRule="exact"/>
        <w:rPr>
          <w:sz w:val="20"/>
          <w:szCs w:val="20"/>
          <w:color w:val="auto"/>
        </w:rPr>
      </w:pPr>
    </w:p>
    <w:p>
      <w:pPr>
        <w:ind w:left="740" w:right="220" w:hanging="367"/>
        <w:spacing w:after="0" w:line="314" w:lineRule="auto"/>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Increases of $8.0 million in lab supplies and outsourced services, $4.9 million in personnel-related costs, and $2.5 million in facility-related costs, including depreciation. These increases were due to the growth in the number of research and development employees from 69 at June 30, 2019 to 127 and June 30, 2020, and their related activities, as well as the expense allocated to research and development related to our leased facilities.</w:t>
      </w:r>
    </w:p>
    <w:p>
      <w:pPr>
        <w:spacing w:after="0" w:line="38" w:lineRule="exact"/>
        <w:rPr>
          <w:rFonts w:ascii="Arial" w:cs="Arial" w:eastAsia="Arial" w:hAnsi="Arial"/>
          <w:sz w:val="15"/>
          <w:szCs w:val="15"/>
          <w:color w:val="auto"/>
        </w:rPr>
      </w:pPr>
    </w:p>
    <w:p>
      <w:pPr>
        <w:ind w:left="740" w:right="260" w:hanging="367"/>
        <w:spacing w:after="0" w:line="275"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$1.6 million in stock compensation from additional stock option awards due to the increase in the number of research and development employees as well as an increase in the value of our common stock.</w:t>
      </w:r>
    </w:p>
    <w:p>
      <w:pPr>
        <w:spacing w:after="0" w:line="63" w:lineRule="exact"/>
        <w:rPr>
          <w:rFonts w:ascii="Arial" w:cs="Arial" w:eastAsia="Arial" w:hAnsi="Arial"/>
          <w:sz w:val="17"/>
          <w:szCs w:val="17"/>
          <w:color w:val="auto"/>
        </w:rPr>
      </w:pPr>
    </w:p>
    <w:p>
      <w:pPr>
        <w:ind w:left="740" w:right="180" w:hanging="367"/>
        <w:spacing w:after="0" w:line="275"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$1.9 million in milestone and license fees, primarily related to our agreement with Bio Palette. We recorded a $2.3 million milestone for the six months ended June 30, 2020 as the issuance of a certain patent in the United States became probable.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General and administrative expenses were $13.7 million and $8.9 million for the six months ended June 30, 2020 and 2019, respectively. The increase of $4.8 million was primarily a result of a $1.3 million increase in insurance costs due to increased directors and officers insurance costs as a result of our February 2020 IPO, a $1.3 million increase in personnel related costs due to an increase in general and administrative employees from 18 employees as of June 30, 2019 to 24 employees as of June 30, 2020, a $1.0 million increase in stock-based compensation due to an increase in the number of general and administrative employees as well as an increase in the value of our common stock, a $0.7 million increase in other administrative expenses, and a $0.6 million increase in intellectual property costs.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derivative liabilities</w:t>
      </w:r>
    </w:p>
    <w:p>
      <w:pPr>
        <w:spacing w:after="0" w:line="111" w:lineRule="exact"/>
        <w:rPr>
          <w:sz w:val="20"/>
          <w:szCs w:val="20"/>
          <w:color w:val="auto"/>
        </w:rPr>
      </w:pPr>
    </w:p>
    <w:p>
      <w:pPr>
        <w:jc w:val="both"/>
        <w:ind w:right="140"/>
        <w:spacing w:after="0" w:line="314" w:lineRule="auto"/>
        <w:rPr>
          <w:sz w:val="20"/>
          <w:szCs w:val="20"/>
          <w:color w:val="auto"/>
        </w:rPr>
      </w:pPr>
      <w:r>
        <w:rPr>
          <w:rFonts w:ascii="Arial" w:cs="Arial" w:eastAsia="Arial" w:hAnsi="Arial"/>
          <w:sz w:val="15"/>
          <w:szCs w:val="15"/>
          <w:color w:val="auto"/>
        </w:rPr>
        <w:t>During the six months ended June 30, 2020, we recorded a $11.4 million expense related to the change in fair value of success payment liabilities as compared to a $2.0 million expense for the six months ended June 30, 2019, primarily as a result of the increase in the fair value of our common stock compared to the fair value of our Series A Preferred. The success payment obligations are still outstanding as of June 30, 2020 and will continue to be revalued at each reporting period.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income</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increase in interest and other income was primarily due to the change in fair value of our corporate equity securities, which are accounted for as investments in equity securities, offset by an increase in interest expense resulting from our equipment financing.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1"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Since our inception in January 2017, we have incurred significant operating losses. We expect to incur significant expenses and operating losses for the foreseeable future as we advance the preclinical and, if successful, the clinical development of our programs. In February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estimated offering expenses payable by us. To date, we have funded our operations primarily with proceeds from the sales of Preferred Stock and through proceeds from our IPO. As of June 30, 2020, we had $228.0 million in cash, cash equivalents, and marketable securities.</w:t>
      </w:r>
    </w:p>
    <w:p>
      <w:pPr>
        <w:spacing w:after="0" w:line="52"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 xml:space="preserve">To date, we have not generated any revenue from product sales and do not expect to generate revenue from the sale of products for the foreseeable future. We anticipate the need for additional capital in order to continue to fund our research and development, including our plans for preclinical and clinical trials, and new product development, as well as to fund general operations. As and if necessary, we will seek to raise these additional funds through various potential sources, such as equity and debt financings or through corporate collaboration and license agreements. Especially in light of the COVID-19 pandemic, we can give no assurances that we will be able to secure such additional sources of funds to support our operations, or, if such funds are available to us, that such additional financing will be sufficient to meet our needs. For a more detailed discussion of risks related to COVID-19, please see Part II., Item 1A., </w:t>
      </w:r>
      <w:r>
        <w:rPr>
          <w:rFonts w:ascii="Arial" w:cs="Arial" w:eastAsia="Arial" w:hAnsi="Arial"/>
          <w:sz w:val="16"/>
          <w:szCs w:val="16"/>
          <w:i w:val="1"/>
          <w:iCs w:val="1"/>
          <w:color w:val="auto"/>
        </w:rPr>
        <w:t>Risk factors—Risks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relationships with third parties</w:t>
      </w:r>
      <w:r>
        <w:rPr>
          <w:rFonts w:ascii="Arial" w:cs="Arial" w:eastAsia="Arial" w:hAnsi="Arial"/>
          <w:sz w:val="16"/>
          <w:szCs w:val="16"/>
          <w:color w:val="auto"/>
        </w:rPr>
        <w:t>, in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six months ended June 30, 2020 and 2019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4"/>
                <w:szCs w:val="14"/>
                <w:color w:val="auto"/>
              </w:rPr>
            </w:pPr>
          </w:p>
        </w:tc>
      </w:tr>
      <w:tr>
        <w:trPr>
          <w:trHeight w:val="146"/>
        </w:trPr>
        <w:tc>
          <w:tcPr>
            <w:tcW w:w="77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940" w:type="dxa"/>
            <w:vAlign w:val="bottom"/>
            <w:shd w:val="clear" w:color="auto" w:fill="CFF0FC"/>
          </w:tcPr>
          <w:p>
            <w:pPr>
              <w:jc w:val="right"/>
              <w:ind w:right="76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(50,230)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(37,211)</w:t>
            </w:r>
          </w:p>
        </w:tc>
      </w:tr>
      <w:tr>
        <w:trPr>
          <w:trHeight w:val="217"/>
        </w:trPr>
        <w:tc>
          <w:tcPr>
            <w:tcW w:w="77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(53,924)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(97,432)</w:t>
            </w: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94"/>
              </w:rPr>
              <w:t>192,235</w:t>
            </w:r>
          </w:p>
        </w:tc>
        <w:tc>
          <w:tcPr>
            <w:tcW w:w="1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37,888</w:t>
            </w:r>
          </w:p>
        </w:tc>
      </w:tr>
      <w:tr>
        <w:trPr>
          <w:trHeight w:val="209"/>
        </w:trPr>
        <w:tc>
          <w:tcPr>
            <w:tcW w:w="7740" w:type="dxa"/>
            <w:vAlign w:val="bottom"/>
          </w:tcPr>
          <w:p>
            <w:pPr>
              <w:ind w:left="240"/>
              <w:spacing w:after="0"/>
              <w:rPr>
                <w:sz w:val="20"/>
                <w:szCs w:val="20"/>
                <w:color w:val="auto"/>
              </w:rPr>
            </w:pPr>
            <w:r>
              <w:rPr>
                <w:rFonts w:ascii="Arial" w:cs="Arial" w:eastAsia="Arial" w:hAnsi="Arial"/>
                <w:sz w:val="17"/>
                <w:szCs w:val="17"/>
                <w:color w:val="auto"/>
              </w:rPr>
              <w:t>Net change in cash, cash equivalents and restricted cash</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88,081</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(96,755)</w:t>
            </w: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Net cash used in operating activities for the six months ended June 30, 2020 was $50.2 million, consisting primarily of our net loss of $64.7 million, an increase in prepaid expenses and other current assets of $4.2 million, and a decrease in operating lease liabilities of $1.8 million, offset by noncash charges consisting primarily of change in fair value of derivative liabilities of $11.4 million, stock-based compensation expense of $5.6 million, depreciation expense of $2.2 million, and change in operating lease ROU assets of $2.0 million.</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Net cash used in operating activities for the six months ended June 30, 2019 was $37.2 million, consisting primarily of our net loss of $31.5 million, and a decrease in financing milestone liabilities of $13.8 million resulting from payment of these liabilities, offset by increases in accounts payable and accrued expenses of $3.0 million, and noncash charges consisting primarily of stock-based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0" w:name="page31"/>
    <w:bookmarkEnd w:id="30"/>
    <w:p>
      <w:pPr>
        <w:ind w:right="1620"/>
        <w:spacing w:after="0" w:line="376" w:lineRule="auto"/>
        <w:rPr>
          <w:sz w:val="20"/>
          <w:szCs w:val="20"/>
          <w:color w:val="auto"/>
        </w:rPr>
      </w:pPr>
      <w:r>
        <w:rPr>
          <w:rFonts w:ascii="Arial" w:cs="Arial" w:eastAsia="Arial" w:hAnsi="Arial"/>
          <w:sz w:val="17"/>
          <w:szCs w:val="17"/>
          <w:color w:val="auto"/>
        </w:rPr>
        <w:t xml:space="preserve">compensation expense of $2.9 million, change in fair value of derivative liabilities of $2.0 million, and depreciation expense of $1.6 million. </w:t>
      </w:r>
      <w:r>
        <w:rPr>
          <w:rFonts w:ascii="Arial" w:cs="Arial" w:eastAsia="Arial" w:hAnsi="Arial"/>
          <w:sz w:val="17"/>
          <w:szCs w:val="17"/>
          <w:i w:val="1"/>
          <w:iCs w:val="1"/>
          <w:color w:val="auto"/>
        </w:rPr>
        <w:t>Investing activities</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the six months ended June 30, 2020, cash used in investing activities was primarily the net purchases of marketable securities of $47.8 million, and purchases of property and equipment of $5.4 million.</w:t>
      </w:r>
    </w:p>
    <w:p>
      <w:pPr>
        <w:spacing w:after="0" w:line="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six months ended June 30, 2019, cash used in investing activities was the net purchases of marketable securities of $88.5 million, and purchases of property and equipment of $8.9 million.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Net cash provided by financing activities for the six months ended June 30, 2020 consisted primarily of proceeds from our IPO of $192.5 million, net of underwriting discounts, and net proceeds of $1.6 million from equipment financing, and proceeds from the exercise of stock options of $0.5 million, offset by the payment of IPO costs of $1.7 million, and repayments of equipment financing liabilities of $0.7 million.</w:t>
      </w:r>
    </w:p>
    <w:p>
      <w:pPr>
        <w:spacing w:after="0" w:line="7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Net cash provided by financing activities for the six months ended June 30, 2019 consisted primarily of the net proceeds from the issuance of Series B Preferred Stock of $37.9 million.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are expected to increase substantially as we continue to advance our portfolio of programs.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expenses will increase if and as we:</w:t>
      </w:r>
    </w:p>
    <w:p>
      <w:pPr>
        <w:spacing w:after="0" w:line="111" w:lineRule="exact"/>
        <w:rPr>
          <w:sz w:val="20"/>
          <w:szCs w:val="20"/>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our current research programs and our preclinical development of product candidates from our current research programs;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to identify additional research programs and additional product candidates;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initiate preclinical testing and clinical trials for any product candidates we identify and develop;</w:t>
      </w:r>
    </w:p>
    <w:p>
      <w:pPr>
        <w:spacing w:after="0" w:line="111" w:lineRule="exact"/>
        <w:rPr>
          <w:rFonts w:ascii="Arial" w:cs="Arial" w:eastAsia="Arial" w:hAnsi="Arial"/>
          <w:sz w:val="17"/>
          <w:szCs w:val="17"/>
          <w:color w:val="auto"/>
        </w:rPr>
      </w:pPr>
    </w:p>
    <w:p>
      <w:pPr>
        <w:ind w:left="740" w:right="40" w:hanging="367"/>
        <w:spacing w:after="0" w:line="275"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expand, enforce, defend, and protect our intellectual property portfolio and provide reimbursement of third-party expenses related to our patent portfolio;</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marketing approvals for any of our product candidates that successfully complete clinical trials;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further develop our base editing platform;</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hire additional personnel including research and development, clinical and commercial personnel;</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acquire or in-license products, intellectual property, medicines and technologies;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and maintain a commercial-scale current Good Manufacturing Practices manufacturing facility; and</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to operate as a public company.</w:t>
      </w:r>
    </w:p>
    <w:p>
      <w:pPr>
        <w:spacing w:after="0" w:line="111"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We expect that our cash, cash equivalents and marketable securities at June 30, 2020 will enable us to fund our current and planned operating expenses and capital expenditures for at least the next 12 months.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future funding requirements will depend on many factors including:</w:t>
      </w:r>
    </w:p>
    <w:p>
      <w:pPr>
        <w:spacing w:after="0" w:line="111" w:lineRule="exact"/>
        <w:rPr>
          <w:sz w:val="20"/>
          <w:szCs w:val="20"/>
          <w:color w:val="auto"/>
        </w:rPr>
      </w:pPr>
    </w:p>
    <w:p>
      <w:pPr>
        <w:ind w:left="740" w:hanging="367"/>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continuing to build our base editing platform;</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acquiring licenses for the delivery modalities that will be used with our product candidates;</w:t>
      </w:r>
    </w:p>
    <w:p>
      <w:pPr>
        <w:spacing w:after="0" w:line="111" w:lineRule="exact"/>
        <w:rPr>
          <w:rFonts w:ascii="Arial" w:cs="Arial" w:eastAsia="Arial" w:hAnsi="Arial"/>
          <w:sz w:val="17"/>
          <w:szCs w:val="17"/>
          <w:color w:val="auto"/>
        </w:rPr>
      </w:pPr>
    </w:p>
    <w:p>
      <w:pPr>
        <w:ind w:left="740" w:right="680" w:hanging="367"/>
        <w:spacing w:after="0" w:line="275"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discovery, preclinical development, laboratory testing, manufacturing and clinical trials for the product candidates we may develop;</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31" w:name="page32"/>
    <w:bookmarkEnd w:id="31"/>
    <w:p>
      <w:pPr>
        <w:ind w:left="740" w:right="660" w:hanging="367"/>
        <w:spacing w:after="0" w:line="275"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and proprietary rights, and defending intellectual property-related claims;</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the product candidates we may develop;</w:t>
      </w:r>
    </w:p>
    <w:p>
      <w:pPr>
        <w:spacing w:after="0" w:line="111" w:lineRule="exact"/>
        <w:rPr>
          <w:rFonts w:ascii="Arial" w:cs="Arial" w:eastAsia="Arial" w:hAnsi="Arial"/>
          <w:sz w:val="17"/>
          <w:szCs w:val="17"/>
          <w:color w:val="auto"/>
        </w:rPr>
      </w:pPr>
    </w:p>
    <w:p>
      <w:pPr>
        <w:ind w:left="740" w:right="540" w:hanging="367"/>
        <w:spacing w:after="0" w:line="275"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distribution, coverage and reimbursement for any product candidates for which we receive regulatory approval;</w:t>
      </w:r>
    </w:p>
    <w:p>
      <w:pPr>
        <w:spacing w:after="0" w:line="63" w:lineRule="exact"/>
        <w:rPr>
          <w:rFonts w:ascii="Arial" w:cs="Arial" w:eastAsia="Arial" w:hAnsi="Arial"/>
          <w:sz w:val="17"/>
          <w:szCs w:val="17"/>
          <w:color w:val="auto"/>
        </w:rPr>
      </w:pPr>
    </w:p>
    <w:p>
      <w:pPr>
        <w:ind w:left="740" w:hanging="36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our license agreements and our collaborations;</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additional collaboration agreements we obtain;</w:t>
      </w:r>
    </w:p>
    <w:p>
      <w:pPr>
        <w:spacing w:after="0" w:line="122" w:lineRule="exact"/>
        <w:rPr>
          <w:rFonts w:ascii="Arial" w:cs="Arial" w:eastAsia="Arial" w:hAnsi="Arial"/>
          <w:sz w:val="16"/>
          <w:szCs w:val="16"/>
          <w:color w:val="auto"/>
        </w:rPr>
      </w:pPr>
    </w:p>
    <w:p>
      <w:pPr>
        <w:ind w:left="740" w:hanging="36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extent to which we acquire or in-license products, intellectual property, and technologies; and</w:t>
      </w:r>
    </w:p>
    <w:p>
      <w:pPr>
        <w:spacing w:after="0" w:line="111" w:lineRule="exact"/>
        <w:rPr>
          <w:rFonts w:ascii="Arial" w:cs="Arial" w:eastAsia="Arial" w:hAnsi="Arial"/>
          <w:sz w:val="17"/>
          <w:szCs w:val="17"/>
          <w:color w:val="auto"/>
        </w:rPr>
      </w:pPr>
    </w:p>
    <w:p>
      <w:pPr>
        <w:ind w:left="740" w:hanging="36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Debt financing, if available, may involve agreements that include covenants limiting or restricting our ability to take specific actions, such as incurring additional debt, making capital expenditures, or declaring dividends.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5"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7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 xml:space="preserve">During the six months ended June 30, 2020, except for the minimum rental commitments disclosed in Note 7, </w:t>
      </w:r>
      <w:r>
        <w:rPr>
          <w:rFonts w:ascii="Arial" w:cs="Arial" w:eastAsia="Arial" w:hAnsi="Arial"/>
          <w:sz w:val="15"/>
          <w:szCs w:val="15"/>
          <w:i w:val="1"/>
          <w:iCs w:val="1"/>
          <w:color w:val="auto"/>
        </w:rPr>
        <w:t>Leases</w:t>
      </w:r>
      <w:r>
        <w:rPr>
          <w:rFonts w:ascii="Arial" w:cs="Arial" w:eastAsia="Arial" w:hAnsi="Arial"/>
          <w:sz w:val="15"/>
          <w:szCs w:val="15"/>
          <w:color w:val="auto"/>
        </w:rPr>
        <w:t>, to the condensed consolidated financial statements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the applicable regulations of the SEC.</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5"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We are exposed to market risk related to changes in interest rates. As of June 30, 2020, we had cash, cash equivalents, and marketable securities of $228.0 million, which consisted of cash, money market funds, commercial paper and corporate notes.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52"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Based on the evaluation of our disclosure controls and procedures as of June 30, 2020, our principal executive officer and principal financial officer concluded that our disclosure controls and procedures as of such date are effective at the reasonable assurance level.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quarter ended June 30, 2020 that have materially affected, or are reasonably likely to materially affect, our internal control over financial reporting. We have not experienced any material impact in our internal controls over financial reporting despite our employees working remotely due to the COVID-19 pandemic. We are continually monitoring and assessing the COVID-19 pandemic on our internal controls including changes to their design and operating effectiveness.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20"/>
          </w:cols>
          <w:pgMar w:left="320" w:top="532" w:right="45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We are not currently subject to any material legal proceedings.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contained in this Quarterly Report on Form 10-Q, including our condensed consolidated financial statements and related notes hereto,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Those risk factors below denoted with a “*” are newly added or have been materially updated from our Annual Report on Form 10-K filed with the SEC, on March 30, 2020 and our Quarterly Report on Form 10-Q for the quarterly period ended March 30, 2020 filed with the SEC on May 12, 2020.</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inception. We expect to incur losses for the foreseeable future and may never achieve or maintain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Since inception, we have incurred significant operating losses. Our net loss was $64.7 million for the six months ended June 30, 2020. As of June 30, 2020, we had</w:t>
      </w:r>
    </w:p>
    <w:p>
      <w:pPr>
        <w:spacing w:after="0" w:line="96"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an accumulated deficit of $267.7 million. We have financed our operations primarily through private placements of our preferred stock and proceeds from the sale of common stock in our IPO.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75" w:lineRule="exact"/>
        <w:rPr>
          <w:sz w:val="20"/>
          <w:szCs w:val="20"/>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 our current research programs and our preclinical development of product candidates from our current research programs;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seek to identify additional research programs and additional product candidates;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initiate preclinical testing and clinical trials for any product candidates we identify and develop;</w:t>
      </w:r>
    </w:p>
    <w:p>
      <w:pPr>
        <w:spacing w:after="0" w:line="213" w:lineRule="exact"/>
        <w:rPr>
          <w:rFonts w:ascii="Arial" w:cs="Arial" w:eastAsia="Arial" w:hAnsi="Arial"/>
          <w:sz w:val="17"/>
          <w:szCs w:val="17"/>
          <w:color w:val="auto"/>
        </w:rPr>
      </w:pPr>
    </w:p>
    <w:p>
      <w:pPr>
        <w:ind w:left="740" w:right="120" w:hanging="367"/>
        <w:spacing w:after="0" w:line="275"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expand, enforce, defend and protect our intellectual property portfolio and provide reimbursement of third-party expenses related to our patent portfolio;</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seek marketing approvals for any of our product candidates that successfully complete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further develop our base editing platform;</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hire additional personnel, including research and development, clinical, and commercial personnel;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acquire or in-license products, intellectual property, medicines, and technologies;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build and maintain a commercial-scale cGMP manufacturing facility;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 to operate as a public company.</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not initiated clinical development of any product candidate and expect that it will be many years, if ever, before we have a product candidate ready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currently only in the preclinical testing stages for all our research programs. Because of the numerous risks and uncertainties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7"/>
          <w:szCs w:val="17"/>
          <w:color w:val="auto"/>
        </w:rPr>
        <w:t>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since the closing of our IPO,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At June 30, 2020, our cash, cash equivalents, and marketable securities were $228.0 million.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178" w:lineRule="exact"/>
        <w:rPr>
          <w:sz w:val="20"/>
          <w:szCs w:val="20"/>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continuing to build our base editing platform;</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acquiring licenses for the delivery modalities that will be used with our product candidates;</w:t>
      </w:r>
    </w:p>
    <w:p>
      <w:pPr>
        <w:spacing w:after="0" w:line="213" w:lineRule="exact"/>
        <w:rPr>
          <w:rFonts w:ascii="Arial" w:cs="Arial" w:eastAsia="Arial" w:hAnsi="Arial"/>
          <w:sz w:val="17"/>
          <w:szCs w:val="17"/>
          <w:color w:val="auto"/>
        </w:rPr>
      </w:pPr>
    </w:p>
    <w:p>
      <w:pPr>
        <w:ind w:left="740" w:right="680" w:hanging="367"/>
        <w:spacing w:after="0" w:line="275"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scope, progress, results, and costs of discovery, preclinical development, laboratory testing, manufacturing, and clinical trials for the product candidates we may develop;</w:t>
      </w:r>
    </w:p>
    <w:p>
      <w:pPr>
        <w:spacing w:after="0" w:line="165" w:lineRule="exact"/>
        <w:rPr>
          <w:rFonts w:ascii="Arial" w:cs="Arial" w:eastAsia="Arial" w:hAnsi="Arial"/>
          <w:sz w:val="17"/>
          <w:szCs w:val="17"/>
          <w:color w:val="auto"/>
        </w:rPr>
      </w:pPr>
    </w:p>
    <w:p>
      <w:pPr>
        <w:ind w:left="740" w:right="660" w:hanging="367"/>
        <w:spacing w:after="0" w:line="275"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and proprietary rights, and defending intellectual property-related claims;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the product candidates we may develop;</w:t>
      </w:r>
    </w:p>
    <w:p>
      <w:pPr>
        <w:spacing w:after="0" w:line="213" w:lineRule="exact"/>
        <w:rPr>
          <w:rFonts w:ascii="Arial" w:cs="Arial" w:eastAsia="Arial" w:hAnsi="Arial"/>
          <w:sz w:val="17"/>
          <w:szCs w:val="17"/>
          <w:color w:val="auto"/>
        </w:rPr>
      </w:pPr>
    </w:p>
    <w:p>
      <w:pPr>
        <w:ind w:left="740" w:right="540" w:hanging="367"/>
        <w:spacing w:after="0" w:line="275"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distribution, coverage and reimbursement for any product candidates for which we receive regulatory approval;</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success of our license agreements and our collaborations;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additional collaboration agreements we obtain;</w:t>
      </w:r>
    </w:p>
    <w:p>
      <w:pPr>
        <w:spacing w:after="0" w:line="224" w:lineRule="exact"/>
        <w:rPr>
          <w:rFonts w:ascii="Arial" w:cs="Arial" w:eastAsia="Arial" w:hAnsi="Arial"/>
          <w:sz w:val="16"/>
          <w:szCs w:val="16"/>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to which we acquire or in-license products, intellectual property and technologies;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operating as a public company;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obtaining, building and expanding manufacturing capacity.</w:t>
      </w:r>
    </w:p>
    <w:p>
      <w:pPr>
        <w:spacing w:after="0" w:line="213"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5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5" w:name="page36"/>
    <w:bookmarkEnd w:id="35"/>
    <w:p>
      <w:pPr>
        <w:ind w:right="40"/>
        <w:spacing w:after="0" w:line="259"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76"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11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We are an early-stage company. We were founded and commenced operations in January 2017. Our operations to date have been limited to organizing and staffing our company, business planning, raising capital, acquiring and developing our platform and technology, identifying potential product candidates, and undertaking preclinical studies. All of our research programs are still in the preclinical or research stage of development, and their risk of failure is high. We have not yet demonstrated an ability to initiate or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5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76" w:lineRule="exact"/>
        <w:rPr>
          <w:sz w:val="20"/>
          <w:szCs w:val="20"/>
          <w:color w:val="auto"/>
        </w:rPr>
      </w:pPr>
    </w:p>
    <w:p>
      <w:pPr>
        <w:ind w:right="200"/>
        <w:spacing w:after="0" w:line="344" w:lineRule="auto"/>
        <w:rPr>
          <w:sz w:val="20"/>
          <w:szCs w:val="20"/>
          <w:color w:val="auto"/>
        </w:rPr>
      </w:pPr>
      <w:r>
        <w:rPr>
          <w:rFonts w:ascii="Arial" w:cs="Arial" w:eastAsia="Arial" w:hAnsi="Arial"/>
          <w:sz w:val="15"/>
          <w:szCs w:val="15"/>
          <w:color w:val="auto"/>
        </w:rPr>
        <w:t>In addition, as a new business,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become profitable.</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78" w:lineRule="exact"/>
        <w:rPr>
          <w:sz w:val="20"/>
          <w:szCs w:val="20"/>
          <w:color w:val="auto"/>
        </w:rPr>
      </w:pPr>
    </w:p>
    <w:p>
      <w:pPr>
        <w:ind w:left="740" w:hanging="36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product candidates and complete research and preclinical and clinical development of any product candidates we may identify;</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seek and obtain regulatory and marketing approvals for any of our product candidates for which we complete clinical trials;</w:t>
      </w:r>
    </w:p>
    <w:p>
      <w:pPr>
        <w:spacing w:after="0" w:line="213" w:lineRule="exact"/>
        <w:rPr>
          <w:rFonts w:ascii="Arial" w:cs="Arial" w:eastAsia="Arial" w:hAnsi="Arial"/>
          <w:sz w:val="17"/>
          <w:szCs w:val="17"/>
          <w:color w:val="auto"/>
        </w:rPr>
      </w:pPr>
    </w:p>
    <w:p>
      <w:pPr>
        <w:ind w:left="740" w:right="60" w:hanging="367"/>
        <w:spacing w:after="0" w:line="275"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165" w:lineRule="exact"/>
        <w:rPr>
          <w:rFonts w:ascii="Arial" w:cs="Arial" w:eastAsia="Arial" w:hAnsi="Arial"/>
          <w:sz w:val="17"/>
          <w:szCs w:val="17"/>
          <w:color w:val="auto"/>
        </w:rPr>
      </w:pPr>
    </w:p>
    <w:p>
      <w:pPr>
        <w:ind w:left="740" w:right="40" w:hanging="367"/>
        <w:spacing w:after="0" w:line="275"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qualify for adequate coverage and reimbursement by government and third-party payors for any of our product candidates for which we obtain regulatory and marketing approval;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6" w:name="page37"/>
    <w:bookmarkEnd w:id="36"/>
    <w:p>
      <w:pPr>
        <w:ind w:left="740" w:hanging="367"/>
        <w:spacing w:after="0"/>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develop, maintain, and enhance a sustainable, scalable, reproducible, and transferable manufacturing process for the product candidates we may develop;</w:t>
      </w:r>
    </w:p>
    <w:p>
      <w:pPr>
        <w:spacing w:after="0" w:line="236" w:lineRule="exact"/>
        <w:rPr>
          <w:rFonts w:ascii="Arial" w:cs="Arial" w:eastAsia="Arial" w:hAnsi="Arial"/>
          <w:sz w:val="15"/>
          <w:szCs w:val="15"/>
          <w:color w:val="auto"/>
        </w:rPr>
      </w:pPr>
    </w:p>
    <w:p>
      <w:pPr>
        <w:ind w:left="740" w:hanging="367"/>
        <w:spacing w:after="0"/>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manufacture materials in compliance with cGMP and establish the infrastructure necessary to support and develop large-scale manufacturing capabilities;</w:t>
      </w:r>
    </w:p>
    <w:p>
      <w:pPr>
        <w:spacing w:after="0" w:line="236" w:lineRule="exact"/>
        <w:rPr>
          <w:rFonts w:ascii="Arial" w:cs="Arial" w:eastAsia="Arial" w:hAnsi="Arial"/>
          <w:sz w:val="15"/>
          <w:szCs w:val="15"/>
          <w:color w:val="auto"/>
        </w:rPr>
      </w:pPr>
    </w:p>
    <w:p>
      <w:pPr>
        <w:ind w:left="740" w:right="340" w:hanging="367"/>
        <w:spacing w:after="0" w:line="263"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175" w:lineRule="exact"/>
        <w:rPr>
          <w:rFonts w:ascii="Arial" w:cs="Arial" w:eastAsia="Arial" w:hAnsi="Arial"/>
          <w:sz w:val="17"/>
          <w:szCs w:val="17"/>
          <w:color w:val="auto"/>
        </w:rPr>
      </w:pPr>
    </w:p>
    <w:p>
      <w:pPr>
        <w:ind w:left="740" w:hanging="36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 market acceptance of any product candidates we may develop as viable treatment options;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address competing technological and market developments;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implement internal systems and infrastructure, as needed;</w:t>
      </w:r>
    </w:p>
    <w:p>
      <w:pPr>
        <w:spacing w:after="0" w:line="213" w:lineRule="exact"/>
        <w:rPr>
          <w:rFonts w:ascii="Arial" w:cs="Arial" w:eastAsia="Arial" w:hAnsi="Arial"/>
          <w:sz w:val="17"/>
          <w:szCs w:val="17"/>
          <w:color w:val="auto"/>
        </w:rPr>
      </w:pPr>
    </w:p>
    <w:p>
      <w:pPr>
        <w:ind w:left="740" w:right="660" w:hanging="367"/>
        <w:spacing w:after="0" w:line="275"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negotiate favorable terms in any collaboration, licensing, or other arrangements into which we may enter and performing our obligations in such collaborations;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protect, enforce, defend, and expand our portfolio of intellectual property rights, including patents, trade secrets, and know-how;</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avoid and defend against third-party interference, infringement, and other intellectual property claims;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Even if one or more of the product candidates we may develop are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authorities to perform clinical and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ability to utilize our net operating loss carryforwards and certain other tax attributes may be limited.</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We have incurred substantial losses during our history, and we may never achieve profitability. To the extent that we continue to generate taxable losses, unused losses will carry forward to offset a portion of future taxable income, if any, subject to expiration of such carryforwards in the case of carryforwards generated prior to 2018. Additionally, we continue to generate business tax credits, including research and development tax credits, which generally may be carried forward to offset a portion of future taxable income, if any, subject to expiration of such credit carryforwards. In addition, under Sections 382 and 383 of the Internal Revenue Code of 1986, as amended, or the Code, if a corporation undergoes an “ownership change,” generally defined as one or more shareholders or groups of shareholders who own at least 5% of the corporation’s equity increasing their ownership in the aggregate by a greater than 50 percentage point change (by value) in its equity ownership over a three-year period, the corporation’s ability to use its pre-change net operating loss carryforwards, or NOLs, and other pre-change tax attributes (such as research and development tax credits) to offset its post-change income or taxes may be limited. Our prior equity offerings and other changes in our stock ownership may have resulted in such ownership changes. In addition, we may experience ownership changes in the future as a result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certain of our subsidiaries or controlled entities may not be available to offset taxable income earned by our subsidiaries or other controlled entities. In addition, under legislation commonly referred to as the Tax Cuts and Jobs Act of 2017, or the Tax Act, the amount of post-2017 NOLs that we are permitted to deduct in any taxable year is limited to 80% of our taxable income in such year. The Tax Act generally eliminates the ability to carry back any NOLs to prior taxable years, while allowing post-2017 unused NOLs to be carried forward indefinitely. There is a risk that due to changes under the Tax Act,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2017, the Tax Act was signed into law. The Tax Act, among other things, contains significant changes to corporate taxation, including</w:t>
      </w:r>
    </w:p>
    <w:p>
      <w:pPr>
        <w:spacing w:after="0" w:line="32" w:lineRule="exact"/>
        <w:rPr>
          <w:sz w:val="20"/>
          <w:szCs w:val="20"/>
          <w:color w:val="auto"/>
        </w:rPr>
      </w:pPr>
    </w:p>
    <w:p>
      <w:pPr>
        <w:ind w:right="20" w:firstLine="2"/>
        <w:spacing w:after="0" w:line="273" w:lineRule="auto"/>
        <w:tabs>
          <w:tab w:leader="none" w:pos="2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reduction of the corporate tax rate from a top marginal rate of 35% to a flat rate of 21%, (ii) limitation of the tax deduction for interest expense to 30% of adjusted earnings (except for certain small businesses), (iii) limitation of the deduction for NOLs to 80% of current year taxable income in respect of NOLs generated during or after 2018 and elimination of NOL carrybacks, (iv) immediate deductions for certain new investments instead of deductions for depreciation expense over time, and (v) modifying or repealing many business deductions and credits. Any federal NOL incurred in 2018 and in future years may now be carried forward indefinitely pursuant to the Tax Act. Similar rules and limitations may apply for state income tax proposes.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discovery, development, and commercialization</w:t>
      </w:r>
    </w:p>
    <w:p>
      <w:pPr>
        <w:spacing w:after="0" w:line="115"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that we intend to develop and intend to license have not yet been clinically tested, nor are we aware of any clinical trials for safety or efficacy having been completed by third parties using our base editing or similar technologies.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setting, optimizing the efficiency and specificity of such product candidates, and ensuring the therapeutic selectivity of such product candidates. There can be no assurance we will be successful in solving any or all of these issues.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concentrated our research efforts to date on preclinical work to bring therapeutics to the clinic for our initial indications, and our future success is highly dependent on the successful development of base editing technologies, cellular delivery methods and therapeutic applications of that technology. While some of the existing gene editing technologies have progressed to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8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 for more information.</w:t>
      </w:r>
    </w:p>
    <w:p>
      <w:pPr>
        <w:spacing w:after="0" w:line="39" w:lineRule="exact"/>
        <w:rPr>
          <w:sz w:val="20"/>
          <w:szCs w:val="20"/>
          <w:color w:val="auto"/>
        </w:rPr>
      </w:pPr>
    </w:p>
    <w:p>
      <w:pPr>
        <w:ind w:right="740"/>
        <w:spacing w:after="0" w:line="275" w:lineRule="auto"/>
        <w:rPr>
          <w:sz w:val="20"/>
          <w:szCs w:val="20"/>
          <w:color w:val="auto"/>
        </w:rPr>
      </w:pPr>
      <w:r>
        <w:rPr>
          <w:rFonts w:ascii="Arial" w:cs="Arial" w:eastAsia="Arial" w:hAnsi="Arial"/>
          <w:sz w:val="17"/>
          <w:szCs w:val="17"/>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 xml:space="preserve">The success of our business depends primarily upon our ability to identify, develop, and commercialize product candidates based on our gene editing platform. All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83"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7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b w:val="1"/>
          <w:bCs w:val="1"/>
          <w:i w:val="1"/>
          <w:iCs w:val="1"/>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7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To date, we have focused our efforts on gene editing technologies using base editing. Other companies have previously undertaken research and development of gene editing technologies using zinc finger nucleases, engineered meganucleases, and transcription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5"/>
          <w:szCs w:val="15"/>
          <w:color w:val="auto"/>
        </w:rPr>
        <w:t>activator-like effector nucleases, or TALENs, but to date none has obtained marketing approval for a product candidate. There can be no certainty that base editing technology will lead to the development of genetic medicines or that other gene editing technologies will not be considered better or more attractive for the development of medicines. For example, Feng Zhang’s group at MIT and Broad Institute, and, separately, Samuel Sternberg’s group at Columbia University announced the discovery of the use of transposons, or jumping genes, in June 2019. Transposons can insert themselves into different places in the genome and can be programmed to carry specific DNA sequences to specific sites, without the need for making double-stranded breaks in DNA. In addition, one of our founders, David Liu, and his group at Broad Institute developed a novel gene editing technology. We have secured an exclusive license from Prime Medicine, a company founded by David Liu, to pursue this new technology in certain fields and for certain applications similar to those we are already pursuing with base editing. Our license does not cover all fields and applications of this new technology for gene editing and Prime Medicine retains broad rights to use this technology outside of the fields licensed to us. It is possible that this gene editing technology developed by David Liu’s group is competitive with our business, and it is also possible that such gene editing technology may potentially be considered more attractive than base editing. Therefore, Prime Medicine may pursue this technology in other fields and for other applications and may develop competing products using such technology. David Liu recently reported results from his lab related to base editing in mitochondria; this is accomplished by splitting the deaminase into two halves, which are reassembled at the desired regions of the mitochondrial DNA. This new technology could be used to treat mitochondrial diseases. Our current technology cannot edit within the mitochondria. In addition, Geoffrey von Maltzahn and others recently launched a company called Tessera Therapeutics, which is focused on a technology they call “Gene Writing.” This technology, which utilizes mobile genetic elements, can alter the genome by inserting genes and exons, introducing small insertions and deletions, or by changing single or multiple DNA base pairs. Similarly, another new gene editing technology that has not been discovered yet may be determined to be more attractive than base editing. Moreover, if we decide to develop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as discussed above, David Liu and his group at Broad Institute have developed novel gene editing technology outside of the field of his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278" w:lineRule="exact"/>
        <w:rPr>
          <w:sz w:val="20"/>
          <w:szCs w:val="20"/>
          <w:color w:val="auto"/>
        </w:rPr>
      </w:pPr>
    </w:p>
    <w:p>
      <w:pPr>
        <w:ind w:right="80"/>
        <w:spacing w:after="0" w:line="345" w:lineRule="auto"/>
        <w:rPr>
          <w:sz w:val="20"/>
          <w:szCs w:val="20"/>
          <w:color w:val="auto"/>
        </w:rPr>
      </w:pPr>
      <w:r>
        <w:rPr>
          <w:rFonts w:ascii="Arial" w:cs="Arial" w:eastAsia="Arial" w:hAnsi="Arial"/>
          <w:sz w:val="14"/>
          <w:szCs w:val="14"/>
          <w:b w:val="1"/>
          <w:bCs w:val="1"/>
          <w:i w:val="1"/>
          <w:iCs w:val="1"/>
          <w:color w:val="auto"/>
        </w:rPr>
        <w:t>We are very early in our development efforts. All of our product candidates are still in preclinical development or earlier stages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We are very early in our development efforts and have focused our research and development efforts to date on base editing technology, identifying our initial targeted disease indications and our initial product candidates. We have not yet achieved preclinical proof of 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for the majority of our programs and there is no guarantee that we will achieve it for these programs. Our future success depends heavily on the successful development of our base editing product candidates. Currently, all of our product candidates are in preclinical development or in discovery. We have invested substantially all of our efforts and financial resources in building our base editing platform, and the identification and preclinical development of our current product candidates.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Commencing clinical trials in the United States is also subject to acceptance by the FDA of our Investigational New Drug application, or IND, and finalizing the trial design based on discussions with the FDA and other regulatory authorities. In the event that the FDA requires us to complete additional preclinical studies or we are required to satisfy other FDA requests, the start of our first clinical trials may be delayed. Even after we receive and incorporate guidance from these regulatory authorities, the FDA or other regulatory authorities could disagree that we have satisfied their requirements to commence our clinical trial or change their position on the acceptability of our data, trial design or the clinical endpoints selected, which may require us to complete additional preclinical studies or clinical trials or impose stricter requirements for approval than we currently expect. There are equivalent processes and risks applicable to clinical trial applications in other countries, including in Europe.</w:t>
      </w:r>
    </w:p>
    <w:p>
      <w:pPr>
        <w:spacing w:after="0" w:line="79"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Commercialization of our product candidates we may develop will require additional preclinical and clinical development; regulatory and marketing approval in multiple jurisdictions, including by the FDA and the EMA; obtaining manufacturing supply, capacity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39" w:name="page40"/>
    <w:bookmarkEnd w:id="39"/>
    <w:p>
      <w:pPr>
        <w:ind w:right="120"/>
        <w:spacing w:after="0" w:line="275" w:lineRule="auto"/>
        <w:rPr>
          <w:sz w:val="20"/>
          <w:szCs w:val="20"/>
          <w:color w:val="auto"/>
        </w:rPr>
      </w:pPr>
      <w:r>
        <w:rPr>
          <w:rFonts w:ascii="Arial" w:cs="Arial" w:eastAsia="Arial" w:hAnsi="Arial"/>
          <w:sz w:val="17"/>
          <w:szCs w:val="17"/>
          <w:color w:val="auto"/>
        </w:rPr>
        <w:t>expertise; building of a commercial organization; and significant marketing efforts. The success of product candidates we may identify and develop will depend on many factors, including the following:</w:t>
      </w:r>
    </w:p>
    <w:p>
      <w:pPr>
        <w:spacing w:after="0" w:line="165" w:lineRule="exact"/>
        <w:rPr>
          <w:sz w:val="20"/>
          <w:szCs w:val="20"/>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IND-enabling studies, and clinical trials;</w:t>
      </w:r>
    </w:p>
    <w:p>
      <w:pPr>
        <w:spacing w:after="0" w:line="213" w:lineRule="exact"/>
        <w:rPr>
          <w:rFonts w:ascii="Arial" w:cs="Arial" w:eastAsia="Arial" w:hAnsi="Arial"/>
          <w:sz w:val="17"/>
          <w:szCs w:val="17"/>
          <w:color w:val="auto"/>
        </w:rPr>
      </w:pPr>
    </w:p>
    <w:p>
      <w:pPr>
        <w:ind w:left="740" w:right="300" w:hanging="367"/>
        <w:spacing w:after="0" w:line="275"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 acceptance of IND applications or comparable foreign applications that allow commencement of our planned clinical trials or future clinical trials for our product candidates;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receipt of marketing approvals from applicable regulatory authorities;</w:t>
      </w:r>
    </w:p>
    <w:p>
      <w:pPr>
        <w:spacing w:after="0" w:line="213" w:lineRule="exact"/>
        <w:rPr>
          <w:rFonts w:ascii="Arial" w:cs="Arial" w:eastAsia="Arial" w:hAnsi="Arial"/>
          <w:sz w:val="17"/>
          <w:szCs w:val="17"/>
          <w:color w:val="auto"/>
        </w:rPr>
      </w:pPr>
    </w:p>
    <w:p>
      <w:pPr>
        <w:ind w:left="740" w:right="420" w:hanging="367"/>
        <w:spacing w:after="0" w:line="275"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establishment of arrangements with third-party manufacturers for clinical supply and commercial manufacturing and, where applicable, commercial manufacturing capabilities;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successful development of our internal manufacturing processes and transfer to larger-scale facilities operated by either a CMO, or by us;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non-patent exclusivity for our medicines;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launching commercial sales of the medicines, if and when approved, whether alone or in collaboration with others;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acceptance of the products, if and when approved, by patients, the medical community, and third-party payors;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effectively competing with other therapies and treatment options;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continued acceptable safety profile of the medicines following approval;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enforcing and defending intellectual property and proprietary rights and claims;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supplying the product at a price that is acceptable to the pricing or reimbursement authorities in different countries.</w:t>
      </w:r>
    </w:p>
    <w:p>
      <w:pPr>
        <w:spacing w:after="0" w:line="213"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If any of the product candidates we may develop, or the delivery modes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5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have not evaluated any product candidates in human clinical trials. Moreover, there have been only a limited number of clinical trials involving the use of gene editing technologies and none involving base editing technology similar to our technology. It is impossible to predict when or if any product candidates we may develop will prove safe in humans. In the genetic medicine field, there have been several significant adverse events from gene therapy treatments in the past, including reported cases of leukemia and death. There can be no assurance that base editing technologies will not cause undesirable side effects, as improper editing of a patient’s DNA could lead to lymphoma, leukemia, or other cancers, or other aberrantly functioning cells.</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53"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5"/>
          <w:szCs w:val="15"/>
          <w:color w:val="auto"/>
        </w:rPr>
        <w:t>In certain of our programs, we plan to use lipid nanoparticles, or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PEG from some lipids or PEG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5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Our viral vectors including AAV or lentiviruses, which are relatively new approaches used for disease treatment, also have known side effects, and for which additional risks could develop in the future. In past clinical trials that were conducted by others with non-AAV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Furthermore, the FDA has stated that lentiviral vectors possess characteristics that may pose high risks of delayed adverse events. Such delayed adverse events may occur in other viral vectors, including AAV vectors, at a lower rate.</w:t>
      </w:r>
    </w:p>
    <w:p>
      <w:pPr>
        <w:spacing w:after="0" w:line="8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In addition to side effects and adverse events caused by our product candidates, the conditioning administration process or related procedures which may be used in our electroporation pipeline also can cause adverse side effects and adverse events. Additionally, we have and may continue to collaborate with third parties to develop alternative conditioning regimes. We cannot predict if alternative conditioning regimes will be compatible with our product candidates. If in the future we are unable to demonstrate that such adverse events were caused by the conditioning regimens used, or administration process or related procedure, the FDA, the European Commission, EMA or other regulatory authorities could order us to cease further development of, or deny or limit approval of, our product candidates for any or all target indications. Even if we are able to demonstrate that adverse events are not related to the drug product or the administration of such drug product, such occurrences could affect patient recruitment, the ability of enrolled patients to complete the clinical trial, or the commercial viability of any product candidates that obtain regulatory approval.</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185" w:lineRule="exact"/>
        <w:rPr>
          <w:sz w:val="20"/>
          <w:szCs w:val="20"/>
          <w:color w:val="auto"/>
        </w:rPr>
      </w:pPr>
    </w:p>
    <w:p>
      <w:pPr>
        <w:ind w:left="740" w:hanging="36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regulatory authorities may suspend or withdraw approvals of such product candidate;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or limit the approved use of such product candidate;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conduct additional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1" w:name="page42"/>
    <w:bookmarkEnd w:id="41"/>
    <w:p>
      <w:pPr>
        <w:ind w:right="300"/>
        <w:spacing w:after="0" w:line="275" w:lineRule="auto"/>
        <w:rPr>
          <w:sz w:val="20"/>
          <w:szCs w:val="20"/>
          <w:color w:val="auto"/>
        </w:rPr>
      </w:pPr>
      <w:r>
        <w:rPr>
          <w:rFonts w:ascii="Arial" w:cs="Arial" w:eastAsia="Arial" w:hAnsi="Arial"/>
          <w:sz w:val="17"/>
          <w:szCs w:val="17"/>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63"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b w:val="1"/>
          <w:bCs w:val="1"/>
          <w:i w:val="1"/>
          <w:iCs w:val="1"/>
          <w:color w:val="auto"/>
        </w:rPr>
        <w:t>We have not tested any of our proposed delivery modalities and product candidates in clinical trials and any favorable preclinical results are not predictive of results that may be observed in clinical trials.</w:t>
      </w:r>
    </w:p>
    <w:p>
      <w:pPr>
        <w:spacing w:after="0" w:line="6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We have not tested any of our proposed delivery modalities in clinical trials. For example, we intend to use novel split intein technology for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 We also intend to use LNPs to deliver some of our base editors. While LNPs have been used to deliver smaller molecules, such as RNAi, they have not been clinically proven to deliver larger RNA molecules, such as the ones we intend to use for our base editors. Furthermore, as with many AAV-mediated gene therapy approaches, certain patients’ immune systems might prohibit the successful delivery, thereby potentially limiting treatment outcomes of these patients. Even if initial clinical trials in any of our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spacing w:after="0" w:line="70"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61"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Any such adverse events may cause us to delay, limit, or terminate planned clinical trials, any of which would have a material adverse effect on our business, financial condition, results of operations, and prospects.</w:t>
      </w:r>
    </w:p>
    <w:p>
      <w:pPr>
        <w:spacing w:after="0" w:line="63"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In addition, the results of preclinical studies may not be predictive of the results of later-stage preclinical studies or clinical trials. To date, we have not generated preclinical or clinical trial results. If we generate preclinical results, such results will not ensure that later preclinical studies or clinical trials will demonstrate similar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4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70"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b w:val="1"/>
          <w:bCs w:val="1"/>
          <w:i w:val="1"/>
          <w:iCs w:val="1"/>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39"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2" w:name="page43"/>
    <w:bookmarkEnd w:id="42"/>
    <w:p>
      <w:pPr>
        <w:spacing w:after="0" w:line="253" w:lineRule="auto"/>
        <w:rPr>
          <w:sz w:val="20"/>
          <w:szCs w:val="20"/>
          <w:color w:val="auto"/>
        </w:rPr>
      </w:pPr>
      <w:r>
        <w:rPr>
          <w:rFonts w:ascii="Arial" w:cs="Arial" w:eastAsia="Arial" w:hAnsi="Arial"/>
          <w:sz w:val="17"/>
          <w:szCs w:val="17"/>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86"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85" w:lineRule="exact"/>
        <w:rPr>
          <w:sz w:val="20"/>
          <w:szCs w:val="20"/>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and safety of such product candidates as demonstrated in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and perceived advantages compared to alternative treatments;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limitation to our targeted patient population and limitations or warnings contained in approved labeling by the FDA or other regulatory authorities;</w:t>
      </w:r>
    </w:p>
    <w:p>
      <w:pPr>
        <w:spacing w:after="0" w:line="224" w:lineRule="exact"/>
        <w:rPr>
          <w:rFonts w:ascii="Arial" w:cs="Arial" w:eastAsia="Arial" w:hAnsi="Arial"/>
          <w:sz w:val="16"/>
          <w:szCs w:val="16"/>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offer our medicines for sale at competitive prices;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convenience and ease of administration compared to alternative treatments;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 by the FDA, the EMA, or other regulatory agencies;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public attitudes regarding genetic medicine generally and gene editing and base editing technologies specifically;</w:t>
      </w:r>
    </w:p>
    <w:p>
      <w:pPr>
        <w:spacing w:after="0" w:line="213" w:lineRule="exact"/>
        <w:rPr>
          <w:rFonts w:ascii="Arial" w:cs="Arial" w:eastAsia="Arial" w:hAnsi="Arial"/>
          <w:sz w:val="17"/>
          <w:szCs w:val="17"/>
          <w:color w:val="auto"/>
        </w:rPr>
      </w:pPr>
    </w:p>
    <w:p>
      <w:pPr>
        <w:ind w:left="740" w:hanging="367"/>
        <w:spacing w:after="0" w:line="275"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165" w:lineRule="exact"/>
        <w:rPr>
          <w:rFonts w:ascii="Arial" w:cs="Arial" w:eastAsia="Arial" w:hAnsi="Arial"/>
          <w:sz w:val="17"/>
          <w:szCs w:val="17"/>
          <w:color w:val="auto"/>
        </w:rPr>
      </w:pPr>
    </w:p>
    <w:p>
      <w:pPr>
        <w:ind w:left="740" w:right="100" w:hanging="367"/>
        <w:spacing w:after="0" w:line="275"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the EMA, or other regulatory authorities, including any limitations or warnings contained in a product’s approved labeling;</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publicity concerning our products or competing products and treatments;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sufficient third-party coverage or reimbursement;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213"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Even if any of our product candidates we may develop are approved, such products may not achieve an adequate level of acceptance, we may not generate significant product revenues, and we may not become profitable.</w:t>
      </w:r>
    </w:p>
    <w:p>
      <w:pPr>
        <w:spacing w:after="0" w:line="63" w:lineRule="exact"/>
        <w:rPr>
          <w:sz w:val="20"/>
          <w:szCs w:val="20"/>
          <w:color w:val="auto"/>
        </w:rPr>
      </w:pPr>
    </w:p>
    <w:p>
      <w:pPr>
        <w:ind w:right="760"/>
        <w:spacing w:after="0" w:line="344" w:lineRule="auto"/>
        <w:rPr>
          <w:sz w:val="20"/>
          <w:szCs w:val="20"/>
          <w:color w:val="auto"/>
        </w:rPr>
      </w:pPr>
      <w:r>
        <w:rPr>
          <w:rFonts w:ascii="Arial" w:cs="Arial" w:eastAsia="Arial" w:hAnsi="Arial"/>
          <w:sz w:val="15"/>
          <w:szCs w:val="15"/>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do not have a sales or marketing infrastructure and have limited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43" w:name="page44"/>
    <w:bookmarkEnd w:id="43"/>
    <w:p>
      <w:pPr>
        <w:ind w:right="40"/>
        <w:spacing w:after="0" w:line="275" w:lineRule="auto"/>
        <w:rPr>
          <w:sz w:val="20"/>
          <w:szCs w:val="20"/>
          <w:color w:val="auto"/>
        </w:rPr>
      </w:pPr>
      <w:r>
        <w:rPr>
          <w:rFonts w:ascii="Arial" w:cs="Arial" w:eastAsia="Arial" w:hAnsi="Arial"/>
          <w:sz w:val="17"/>
          <w:szCs w:val="17"/>
          <w:color w:val="auto"/>
        </w:rPr>
        <w:t>we may choose to build a focused sales, marketing, and commercial support infrastructure to sell, or participate in sales activities with our collaborators for, some of our product candidates we may develop if and when they are approved.</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product candidates we may develop on our own include:</w:t>
      </w:r>
    </w:p>
    <w:p>
      <w:pPr>
        <w:spacing w:after="0" w:line="213" w:lineRule="exact"/>
        <w:rPr>
          <w:sz w:val="20"/>
          <w:szCs w:val="20"/>
          <w:color w:val="auto"/>
        </w:rPr>
      </w:pPr>
    </w:p>
    <w:p>
      <w:pPr>
        <w:ind w:left="740" w:right="320" w:hanging="367"/>
        <w:spacing w:after="0" w:line="275"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marketing, reimbursement, customer service, medical affairs, and other support personnel;</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medicines;</w:t>
      </w:r>
    </w:p>
    <w:p>
      <w:pPr>
        <w:spacing w:after="0" w:line="224" w:lineRule="exact"/>
        <w:rPr>
          <w:rFonts w:ascii="Arial" w:cs="Arial" w:eastAsia="Arial" w:hAnsi="Arial"/>
          <w:sz w:val="16"/>
          <w:szCs w:val="16"/>
          <w:color w:val="auto"/>
        </w:rPr>
      </w:pPr>
    </w:p>
    <w:p>
      <w:pPr>
        <w:ind w:left="740" w:hanging="367"/>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24" w:lineRule="exact"/>
        <w:rPr>
          <w:rFonts w:ascii="Arial" w:cs="Arial" w:eastAsia="Arial" w:hAnsi="Arial"/>
          <w:sz w:val="16"/>
          <w:szCs w:val="16"/>
          <w:color w:val="auto"/>
        </w:rPr>
      </w:pPr>
    </w:p>
    <w:p>
      <w:pPr>
        <w:ind w:left="740" w:hanging="367"/>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restricted or closed distribution channels that make it difficult to distribute our product candidates we may develop to segments of the patient population;</w:t>
      </w:r>
    </w:p>
    <w:p>
      <w:pPr>
        <w:spacing w:after="0" w:line="236" w:lineRule="exact"/>
        <w:rPr>
          <w:rFonts w:ascii="Arial" w:cs="Arial" w:eastAsia="Arial" w:hAnsi="Arial"/>
          <w:sz w:val="15"/>
          <w:szCs w:val="15"/>
          <w:color w:val="auto"/>
        </w:rPr>
      </w:pPr>
    </w:p>
    <w:p>
      <w:pPr>
        <w:ind w:left="740" w:right="160" w:hanging="367"/>
        <w:spacing w:after="0" w:line="275"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lack of complementary medicines to be offered by sales personnel, which may put us at a competitive disadvantage relative to companies with more extensive product lines; and</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commercialization organization.</w:t>
      </w:r>
    </w:p>
    <w:p>
      <w:pPr>
        <w:spacing w:after="0" w:line="21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83"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development and commercialization of new drug products is highly competitive. Moreover, the base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3"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There are several other companies utilizing CRISPR/Cas9 nuclease technology, including Caribou Biosciences, Editas Medicine, CRISPR Therapeutics, and Intellia Therapeutics. Several additional companies utilize other nuclease-based genome editing technologies, including Zinc Fingers, Arcuses, and TAL Nucleases, which includes Sangamo Biosciences, Precision BioSciences and bluebird bio. The Horizon Discovery Group reported that it licensed base editing technology from Rutgers. Tessera Therapeutics utilizes mobile genetic elements for gene editing. In addition, we face competition from companies utilizing gene therapy, oligonucleotides, and CAR-T therapeutic approaches.</w:t>
      </w:r>
    </w:p>
    <w:p>
      <w:pPr>
        <w:spacing w:after="0" w:line="78"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7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4" w:name="page45"/>
    <w:bookmarkEnd w:id="44"/>
    <w:p>
      <w:pPr>
        <w:spacing w:after="0" w:line="291" w:lineRule="auto"/>
        <w:rPr>
          <w:sz w:val="20"/>
          <w:szCs w:val="20"/>
          <w:color w:val="auto"/>
        </w:rPr>
      </w:pPr>
      <w:r>
        <w:rPr>
          <w:rFonts w:ascii="Arial" w:cs="Arial" w:eastAsia="Arial" w:hAnsi="Arial"/>
          <w:sz w:val="15"/>
          <w:szCs w:val="15"/>
          <w:color w:val="auto"/>
        </w:rPr>
        <w:t>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5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7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In addition, in June 2020, a patient in Audentes Therapeutics’ clinical trial investigating AT132 (a gene therapy product candidate which was being delivered via AAV administration) for X-linked myotubular myopathy (XLMTM) died. Preliminary findings indicated that the immediate cause of death was sepsis, which followed progressive liver dysfunction that occurred within the first 4-6 weeks following AT132 dosing, and which did not respond to standard treatment.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55"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News reports indicate that Dr. He was sentenced to three years in prison and fined $430,000 in December 2019 by the Chinese government for illegal medical practice in connection with such activities. In the wake of the claim, the World Health Organization established a new advisory committee to create global governance and oversight standards for human gene editing and announced plans for a new global registry to track research on human genome editing. The Alliance for Regenerative Medicine also released principles for the use of gene editing in therapeutic applications endorsed by a number of companies that use gene editing technologies.</w:t>
      </w:r>
    </w:p>
    <w:p>
      <w:pPr>
        <w:spacing w:after="0" w:line="5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National Institutes of Health, or NIH, has announced that the agency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17"/>
          <w:szCs w:val="17"/>
          <w:color w:val="auto"/>
        </w:rPr>
        <w:t>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7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7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69"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46" w:name="page47"/>
    <w:bookmarkEnd w:id="46"/>
    <w:p>
      <w:pPr>
        <w:spacing w:after="0" w:line="255" w:lineRule="auto"/>
        <w:rPr>
          <w:sz w:val="20"/>
          <w:szCs w:val="20"/>
          <w:color w:val="auto"/>
        </w:rPr>
      </w:pPr>
      <w:r>
        <w:rPr>
          <w:rFonts w:ascii="Arial" w:cs="Arial" w:eastAsia="Arial" w:hAnsi="Arial"/>
          <w:sz w:val="17"/>
          <w:szCs w:val="17"/>
          <w:color w:val="auto"/>
        </w:rPr>
        <w:t>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185" w:lineRule="exact"/>
        <w:rPr>
          <w:sz w:val="20"/>
          <w:szCs w:val="20"/>
          <w:color w:val="auto"/>
        </w:rPr>
      </w:pPr>
    </w:p>
    <w:p>
      <w:pPr>
        <w:ind w:left="740" w:hanging="36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13"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73"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5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focus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could limit commercialization of any medicines that we may develop.</w:t>
      </w:r>
    </w:p>
    <w:p>
      <w:pPr>
        <w:spacing w:after="0" w:line="13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58" w:lineRule="exact"/>
        <w:rPr>
          <w:sz w:val="20"/>
          <w:szCs w:val="20"/>
          <w:color w:val="auto"/>
        </w:rPr>
      </w:pPr>
    </w:p>
    <w:p>
      <w:pPr>
        <w:ind w:left="5540" w:right="4960" w:hanging="5167"/>
        <w:spacing w:after="0" w:line="771" w:lineRule="auto"/>
        <w:tabs>
          <w:tab w:leader="none" w:pos="744"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decreased demand for any product candidates or medicines that we may develop;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715581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7" w:name="page48"/>
    <w:bookmarkEnd w:id="47"/>
    <w:p>
      <w:pPr>
        <w:ind w:left="740" w:hanging="36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significant time and costs to defend the related litigation;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inability to commercialize any medicines that we may develop.</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55"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3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5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73"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48" w:name="page49"/>
    <w:bookmarkEnd w:id="48"/>
    <w:p>
      <w:pPr>
        <w:ind w:right="80"/>
        <w:spacing w:after="0" w:line="277" w:lineRule="auto"/>
        <w:rPr>
          <w:sz w:val="20"/>
          <w:szCs w:val="20"/>
          <w:color w:val="auto"/>
        </w:rPr>
      </w:pPr>
      <w:r>
        <w:rPr>
          <w:rFonts w:ascii="Arial" w:cs="Arial" w:eastAsia="Arial" w:hAnsi="Arial"/>
          <w:sz w:val="16"/>
          <w:szCs w:val="16"/>
          <w:color w:val="auto"/>
        </w:rPr>
        <w:t>materials that meet FDA,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future pre-clinical studies or clinical trials. In addition, our product candidates we may develop will require complicated delivery modalities, such as electroporation, LNPs, or viral vectors, each of which will introduce additional complexities in the manufacturing process.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Furthermore, we intend to use novel split intein technology for any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3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Given the nature of biologics manufacturing, including for the lentivirus vectors and AAV vectors,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review</w:t>
      </w:r>
    </w:p>
    <w:p>
      <w:pPr>
        <w:spacing w:after="0" w:line="115"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b w:val="1"/>
          <w:bCs w:val="1"/>
          <w:i w:val="1"/>
          <w:iCs w:val="1"/>
          <w:color w:val="auto"/>
        </w:rPr>
        <w:t>Because base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regulatory requirements that will govern any novel base editing product candidates we develop are not entirely clear and may change. Within the broader genetic medicine field, we are aware of a limited number of gene therapy products that have received marketing authorization from the FDA and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 Gene therapy clinical trials are also subject to review and oversight by an institutional biosafety committee, or IBC,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74"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The same applies in the EU. The EMA’s Committee for Advanced Therapies, or CAT, is responsible for assessing the quality, safety, and efficacy of advanced-therapy medicinal products. The role of the CAT is to prepare a draft opinion on an application for marketing authorization for a gene therapy medicinal candidate that is submitted to the Committee for Medicinal Products for Human Use, or CHMP, before CHMP adopts its final opinion.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As a result,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49" w:name="page50"/>
    <w:bookmarkEnd w:id="49"/>
    <w:p>
      <w:pPr>
        <w:ind w:right="280"/>
        <w:spacing w:after="0" w:line="275" w:lineRule="auto"/>
        <w:rPr>
          <w:sz w:val="20"/>
          <w:szCs w:val="20"/>
          <w:color w:val="auto"/>
        </w:rPr>
      </w:pPr>
      <w:r>
        <w:rPr>
          <w:rFonts w:ascii="Arial" w:cs="Arial" w:eastAsia="Arial" w:hAnsi="Arial"/>
          <w:sz w:val="17"/>
          <w:szCs w:val="17"/>
          <w:color w:val="auto"/>
        </w:rPr>
        <w:t>procedures and standards applied to gene therapy products and cell therapy products may be applied to any product candidates we may develop, but that remains uncertain at this point.</w:t>
      </w:r>
    </w:p>
    <w:p>
      <w:pPr>
        <w:spacing w:after="0" w:line="6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Adverse developments in post-marketing experience or in clinical trials conducted by others of gene therapy products, cell therapy products, or products developed through the application of a base editing or other gene editing technology may cause the FDA, the EMA, and other regulatory bodies to revise the requirements for development or approval of any product candidates we may develop or limit the use of products utilizing base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base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6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63" w:lineRule="exact"/>
        <w:rPr>
          <w:sz w:val="20"/>
          <w:szCs w:val="20"/>
          <w:color w:val="auto"/>
        </w:rPr>
      </w:pPr>
    </w:p>
    <w:p>
      <w:pPr>
        <w:jc w:val="both"/>
        <w:ind w:right="480"/>
        <w:spacing w:after="0" w:line="263" w:lineRule="auto"/>
        <w:rPr>
          <w:sz w:val="20"/>
          <w:szCs w:val="20"/>
          <w:color w:val="auto"/>
        </w:rPr>
      </w:pPr>
      <w:r>
        <w:rPr>
          <w:rFonts w:ascii="Arial" w:cs="Arial" w:eastAsia="Arial" w:hAnsi="Arial"/>
          <w:sz w:val="17"/>
          <w:szCs w:val="17"/>
          <w:b w:val="1"/>
          <w:bCs w:val="1"/>
          <w:i w:val="1"/>
          <w:iCs w:val="1"/>
          <w:color w:val="auto"/>
        </w:rPr>
        <w:t>Because we are developing product candidates in the field of genetic medicines, a field that includes gene therapy and gene editing,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including T-cell acute lymphoblastic leukemia, glycogen storage disorder and Stargardt disease, have small patient populations, and designing and executing a rigorous clinical trial with appropriate statistical power is more difficult than with diseases that have larger patient populations.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w:t>
      </w:r>
    </w:p>
    <w:p>
      <w:pPr>
        <w:spacing w:after="0" w:line="77" w:lineRule="exact"/>
        <w:rPr>
          <w:sz w:val="20"/>
          <w:szCs w:val="20"/>
          <w:color w:val="auto"/>
        </w:rPr>
      </w:pPr>
    </w:p>
    <w:p>
      <w:pPr>
        <w:jc w:val="both"/>
        <w:ind w:right="140"/>
        <w:spacing w:after="0" w:line="263" w:lineRule="auto"/>
        <w:rPr>
          <w:sz w:val="20"/>
          <w:szCs w:val="20"/>
          <w:color w:val="auto"/>
        </w:rPr>
      </w:pPr>
      <w:r>
        <w:rPr>
          <w:rFonts w:ascii="Arial" w:cs="Arial" w:eastAsia="Arial" w:hAnsi="Arial"/>
          <w:sz w:val="17"/>
          <w:szCs w:val="17"/>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Before obtaining marketing approval from regulatory authorities for the sale of any product candidates we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78"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0" w:name="page51"/>
    <w:bookmarkEnd w:id="50"/>
    <w:p>
      <w:pPr>
        <w:spacing w:after="0" w:line="275" w:lineRule="auto"/>
        <w:rPr>
          <w:sz w:val="20"/>
          <w:szCs w:val="20"/>
          <w:color w:val="auto"/>
        </w:rPr>
      </w:pPr>
      <w:r>
        <w:rPr>
          <w:rFonts w:ascii="Arial" w:cs="Arial" w:eastAsia="Arial" w:hAnsi="Arial"/>
          <w:sz w:val="17"/>
          <w:szCs w:val="17"/>
          <w:color w:val="auto"/>
        </w:rPr>
        <w:t>We and our collaborators, if any, may experience numerous unforeseen events during, or as a result of, clinical trials that could delay or prevent our ability to receive marketing approval or commercialize any product candidates we may identify and develop, including:</w:t>
      </w:r>
    </w:p>
    <w:p>
      <w:pPr>
        <w:spacing w:after="0" w:line="165" w:lineRule="exact"/>
        <w:rPr>
          <w:sz w:val="20"/>
          <w:szCs w:val="20"/>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reaching a consensus with regulators on trial design;</w:t>
      </w:r>
    </w:p>
    <w:p>
      <w:pPr>
        <w:spacing w:after="0" w:line="213" w:lineRule="exact"/>
        <w:rPr>
          <w:rFonts w:ascii="Arial" w:cs="Arial" w:eastAsia="Arial" w:hAnsi="Arial"/>
          <w:sz w:val="17"/>
          <w:szCs w:val="17"/>
          <w:color w:val="auto"/>
        </w:rPr>
      </w:pPr>
    </w:p>
    <w:p>
      <w:pPr>
        <w:ind w:left="740" w:right="160" w:hanging="367"/>
        <w:spacing w:after="0" w:line="275"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regulators, institutional review boards, or IRBs, or independent ethics committees may not authorize us or our investigators to commence a clinical trial or conduct a clinical trial at a prospective trial site;</w:t>
      </w:r>
    </w:p>
    <w:p>
      <w:pPr>
        <w:spacing w:after="0" w:line="165" w:lineRule="exact"/>
        <w:rPr>
          <w:rFonts w:ascii="Arial" w:cs="Arial" w:eastAsia="Arial" w:hAnsi="Arial"/>
          <w:sz w:val="17"/>
          <w:szCs w:val="17"/>
          <w:color w:val="auto"/>
        </w:rPr>
      </w:pPr>
    </w:p>
    <w:p>
      <w:pPr>
        <w:ind w:left="740" w:right="660" w:hanging="367"/>
        <w:spacing w:after="0" w:line="275"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clinical trial contracts or clinical trial protocols with prospective contract research organizations, or CROs, and clinical trial sites;</w:t>
      </w:r>
    </w:p>
    <w:p>
      <w:pPr>
        <w:spacing w:after="0" w:line="165" w:lineRule="exact"/>
        <w:rPr>
          <w:rFonts w:ascii="Arial" w:cs="Arial" w:eastAsia="Arial" w:hAnsi="Arial"/>
          <w:sz w:val="17"/>
          <w:szCs w:val="17"/>
          <w:color w:val="auto"/>
        </w:rPr>
      </w:pPr>
    </w:p>
    <w:p>
      <w:pPr>
        <w:ind w:left="740" w:right="100" w:hanging="367"/>
        <w:spacing w:after="0" w:line="275"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165" w:lineRule="exact"/>
        <w:rPr>
          <w:rFonts w:ascii="Arial" w:cs="Arial" w:eastAsia="Arial" w:hAnsi="Arial"/>
          <w:sz w:val="17"/>
          <w:szCs w:val="17"/>
          <w:color w:val="auto"/>
        </w:rPr>
      </w:pPr>
    </w:p>
    <w:p>
      <w:pPr>
        <w:ind w:left="740" w:right="140" w:hanging="367"/>
        <w:spacing w:after="0" w:line="275"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difficulty in designing well-controlled clinical trials due to ethical considerations which may render it inappropriate to conduct a trial with a control arm that can be effectively compared to a treatment arm;</w:t>
      </w:r>
    </w:p>
    <w:p>
      <w:pPr>
        <w:spacing w:after="0" w:line="165" w:lineRule="exact"/>
        <w:rPr>
          <w:rFonts w:ascii="Arial" w:cs="Arial" w:eastAsia="Arial" w:hAnsi="Arial"/>
          <w:sz w:val="17"/>
          <w:szCs w:val="17"/>
          <w:color w:val="auto"/>
        </w:rPr>
      </w:pPr>
    </w:p>
    <w:p>
      <w:pPr>
        <w:ind w:left="740" w:right="180" w:hanging="367"/>
        <w:spacing w:after="0" w:line="275"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difficulty in designing clinical trials and selecting endpoints for diseases that have not been well-studied and for which the natural history and course of the disease is poorly understood;</w:t>
      </w:r>
    </w:p>
    <w:p>
      <w:pPr>
        <w:spacing w:after="0" w:line="165" w:lineRule="exact"/>
        <w:rPr>
          <w:rFonts w:ascii="Arial" w:cs="Arial" w:eastAsia="Arial" w:hAnsi="Arial"/>
          <w:sz w:val="17"/>
          <w:szCs w:val="17"/>
          <w:color w:val="auto"/>
        </w:rPr>
      </w:pPr>
    </w:p>
    <w:p>
      <w:pPr>
        <w:ind w:left="740" w:right="220" w:hanging="367"/>
        <w:spacing w:after="0" w:line="314" w:lineRule="auto"/>
        <w:tabs>
          <w:tab w:leader="none" w:pos="7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140" w:lineRule="exact"/>
        <w:rPr>
          <w:rFonts w:ascii="Arial" w:cs="Arial" w:eastAsia="Arial" w:hAnsi="Arial"/>
          <w:sz w:val="15"/>
          <w:szCs w:val="15"/>
          <w:color w:val="auto"/>
        </w:rPr>
      </w:pPr>
    </w:p>
    <w:p>
      <w:pPr>
        <w:ind w:left="740" w:hanging="367"/>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24" w:lineRule="exact"/>
        <w:rPr>
          <w:rFonts w:ascii="Arial" w:cs="Arial" w:eastAsia="Arial" w:hAnsi="Arial"/>
          <w:sz w:val="16"/>
          <w:szCs w:val="16"/>
          <w:color w:val="auto"/>
        </w:rPr>
      </w:pPr>
    </w:p>
    <w:p>
      <w:pPr>
        <w:ind w:left="740" w:right="40" w:hanging="367"/>
        <w:spacing w:after="0" w:line="259"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78" w:lineRule="exact"/>
        <w:rPr>
          <w:rFonts w:ascii="Arial" w:cs="Arial" w:eastAsia="Arial" w:hAnsi="Arial"/>
          <w:sz w:val="17"/>
          <w:szCs w:val="17"/>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 of clinical trials of any product candidates we may develop may be greater than we anticipate;</w:t>
      </w:r>
    </w:p>
    <w:p>
      <w:pPr>
        <w:spacing w:after="0" w:line="213" w:lineRule="exact"/>
        <w:rPr>
          <w:rFonts w:ascii="Arial" w:cs="Arial" w:eastAsia="Arial" w:hAnsi="Arial"/>
          <w:sz w:val="17"/>
          <w:szCs w:val="17"/>
          <w:color w:val="auto"/>
        </w:rPr>
      </w:pPr>
    </w:p>
    <w:p>
      <w:pPr>
        <w:ind w:left="740" w:right="40" w:hanging="367"/>
        <w:spacing w:after="0" w:line="287"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157" w:lineRule="exact"/>
        <w:rPr>
          <w:rFonts w:ascii="Arial" w:cs="Arial" w:eastAsia="Arial" w:hAnsi="Arial"/>
          <w:sz w:val="16"/>
          <w:szCs w:val="16"/>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having patients complete participation in a trial or return for post-treatment follow-up;</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clinical trial sites dropping out of a trial;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clinical observation or analysis of the resulting data;</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occurrence of serious adverse events associated with any product candidates we may develop that are viewed to outweigh their potential benefits;</w:t>
      </w:r>
    </w:p>
    <w:p>
      <w:pPr>
        <w:spacing w:after="0" w:line="224" w:lineRule="exact"/>
        <w:rPr>
          <w:rFonts w:ascii="Arial" w:cs="Arial" w:eastAsia="Arial" w:hAnsi="Arial"/>
          <w:sz w:val="16"/>
          <w:szCs w:val="16"/>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 to the operations of the FDA; and</w:t>
      </w:r>
    </w:p>
    <w:p>
      <w:pPr>
        <w:spacing w:after="0" w:line="213" w:lineRule="exact"/>
        <w:rPr>
          <w:rFonts w:ascii="Arial" w:cs="Arial" w:eastAsia="Arial" w:hAnsi="Arial"/>
          <w:sz w:val="17"/>
          <w:szCs w:val="17"/>
          <w:color w:val="auto"/>
        </w:rPr>
      </w:pPr>
    </w:p>
    <w:p>
      <w:pPr>
        <w:ind w:left="740" w:right="380" w:hanging="367"/>
        <w:spacing w:after="0" w:line="275"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 or otherwise complying with additional requirements.</w:t>
      </w:r>
    </w:p>
    <w:p>
      <w:pPr>
        <w:spacing w:after="0" w:line="165"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158" w:lineRule="exact"/>
        <w:rPr>
          <w:sz w:val="20"/>
          <w:szCs w:val="20"/>
          <w:color w:val="auto"/>
        </w:rPr>
      </w:pPr>
    </w:p>
    <w:p>
      <w:pPr>
        <w:ind w:left="740" w:hanging="367"/>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delayed in obtaining marketing approval for any such product candidates we may develop or not obtain marketing approval at all;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 including boxed warnings;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1" w:name="page52"/>
    <w:bookmarkEnd w:id="51"/>
    <w:p>
      <w:pPr>
        <w:ind w:left="740" w:hanging="367"/>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 subject to changes in the way the product is administered;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213" w:lineRule="exact"/>
        <w:rPr>
          <w:rFonts w:ascii="Arial" w:cs="Arial" w:eastAsia="Arial" w:hAnsi="Arial"/>
          <w:sz w:val="17"/>
          <w:szCs w:val="17"/>
          <w:color w:val="auto"/>
        </w:rPr>
      </w:pPr>
    </w:p>
    <w:p>
      <w:pPr>
        <w:ind w:left="740" w:hanging="367"/>
        <w:spacing w:after="0" w:line="275"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have regulatory authorities withdraw, or suspend, their approval of the product or impose restrictions on its distribution in the form of a REMS or through modification to an existing REMS;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 sued; or</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experience damage to our reputation.</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and delays related to the COVID-19 pandemic could exacerbate delays in enrolling for new clinical trials.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Patient enrollment is also affected by other factors, including:</w:t>
      </w:r>
    </w:p>
    <w:p>
      <w:pPr>
        <w:spacing w:after="0" w:line="213" w:lineRule="exact"/>
        <w:rPr>
          <w:sz w:val="20"/>
          <w:szCs w:val="20"/>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severity of the disease under investigation;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size of the patient population and process for identifying patients;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 of the trial protocol;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and efficacy of approved medications for the disease under investigation;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of genetic testing for potential patients;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ability to obtain and maintain patient informed consent;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 that enrolled patients will drop out before completion of the trial;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eligibility and exclusion criteria for the trial in question;</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trial;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perceived risks and benefits of base editing as a therapeutic approach;</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efforts to facilitate timely enrollment in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patient referral practices of physicians;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ability to monitor patients adequately during and after treatment;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patients, especially for those conditions which have small patient pools.</w:t>
      </w:r>
    </w:p>
    <w:p>
      <w:pPr>
        <w:spacing w:after="0" w:line="21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ability to successfully initiate, enroll, and complete a clinical trial in any foreign country is subject to numerous risks unique to conducting business in foreign countries, including:</w:t>
      </w:r>
    </w:p>
    <w:p>
      <w:pPr>
        <w:spacing w:after="0" w:line="165" w:lineRule="exact"/>
        <w:rPr>
          <w:sz w:val="20"/>
          <w:szCs w:val="20"/>
          <w:color w:val="auto"/>
        </w:rPr>
      </w:pPr>
    </w:p>
    <w:p>
      <w:pPr>
        <w:ind w:left="5540" w:right="5100" w:hanging="5167"/>
        <w:spacing w:after="0" w:line="505" w:lineRule="auto"/>
        <w:tabs>
          <w:tab w:leader="none" w:pos="744" w:val="left"/>
        </w:tabs>
        <w:numPr>
          <w:ilvl w:val="0"/>
          <w:numId w:val="34"/>
        </w:numPr>
        <w:rPr>
          <w:rFonts w:ascii="Arial" w:cs="Arial" w:eastAsia="Arial" w:hAnsi="Arial"/>
          <w:sz w:val="15"/>
          <w:szCs w:val="15"/>
          <w:color w:val="auto"/>
        </w:rPr>
      </w:pPr>
      <w:r>
        <w:rPr>
          <w:rFonts w:ascii="Arial" w:cs="Arial" w:eastAsia="Arial" w:hAnsi="Arial"/>
          <w:sz w:val="15"/>
          <w:szCs w:val="15"/>
          <w:color w:val="auto"/>
        </w:rPr>
        <w:t>difficulty in establishing or managing relationships with CROs and physicians;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296545</wp:posOffset>
            </wp:positionV>
            <wp:extent cx="715581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52" w:name="page53"/>
    <w:bookmarkEnd w:id="52"/>
    <w:p>
      <w:pPr>
        <w:ind w:left="740" w:hanging="36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standards for the conduct of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standard-of-care for patients with a particular disease;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difficulty in locating qualified local consultants, physicians, and partners; and</w:t>
      </w:r>
    </w:p>
    <w:p>
      <w:pPr>
        <w:spacing w:after="0" w:line="213" w:lineRule="exact"/>
        <w:rPr>
          <w:rFonts w:ascii="Arial" w:cs="Arial" w:eastAsia="Arial" w:hAnsi="Arial"/>
          <w:sz w:val="17"/>
          <w:szCs w:val="17"/>
          <w:color w:val="auto"/>
        </w:rPr>
      </w:pPr>
    </w:p>
    <w:p>
      <w:pPr>
        <w:ind w:left="740" w:right="80" w:hanging="367"/>
        <w:spacing w:after="0" w:line="275"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76"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63"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175" w:lineRule="exact"/>
        <w:rPr>
          <w:sz w:val="20"/>
          <w:szCs w:val="20"/>
          <w:color w:val="auto"/>
        </w:rPr>
      </w:pPr>
    </w:p>
    <w:p>
      <w:pPr>
        <w:ind w:left="740" w:right="320" w:hanging="367"/>
        <w:spacing w:after="0" w:line="275"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develop any product candidates may be adversely affected if we are unable to appropriately select patients for enrollment in our clinical trials; and</w:t>
      </w:r>
    </w:p>
    <w:p>
      <w:pPr>
        <w:spacing w:after="0" w:line="165" w:lineRule="exact"/>
        <w:rPr>
          <w:rFonts w:ascii="Arial" w:cs="Arial" w:eastAsia="Arial" w:hAnsi="Arial"/>
          <w:sz w:val="17"/>
          <w:szCs w:val="17"/>
          <w:color w:val="auto"/>
        </w:rPr>
      </w:pPr>
    </w:p>
    <w:p>
      <w:pPr>
        <w:ind w:left="740" w:right="200" w:hanging="367"/>
        <w:spacing w:after="0" w:line="275"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7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relationships with third parties</w:t>
      </w:r>
    </w:p>
    <w:p>
      <w:pPr>
        <w:spacing w:after="0" w:line="115" w:lineRule="exact"/>
        <w:rPr>
          <w:sz w:val="20"/>
          <w:szCs w:val="20"/>
          <w:color w:val="auto"/>
        </w:rPr>
      </w:pPr>
    </w:p>
    <w:p>
      <w:pPr>
        <w:jc w:val="both"/>
        <w:ind w:right="320"/>
        <w:spacing w:after="0" w:line="263" w:lineRule="auto"/>
        <w:rPr>
          <w:sz w:val="20"/>
          <w:szCs w:val="20"/>
          <w:color w:val="auto"/>
        </w:rPr>
      </w:pPr>
      <w:r>
        <w:rPr>
          <w:rFonts w:ascii="Arial" w:cs="Arial" w:eastAsia="Arial" w:hAnsi="Arial"/>
          <w:sz w:val="17"/>
          <w:szCs w:val="17"/>
          <w:b w:val="1"/>
          <w:bCs w:val="1"/>
          <w:i w:val="1"/>
          <w:iCs w:val="1"/>
          <w:color w:val="auto"/>
        </w:rPr>
        <w:t>We expect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expect to rely on third parties, such as CMOs, CROs, clinical data management organizations, medical institutions, and clinical investigators, to manufacture components of our product candidates we may develop and to conduct our clinical trials. We currently rely and expect to continue to rely on third parties to conduct some aspects of our research and preclinical testing. For example, we rely on a third party to conduct electroporation; we rely on a third party to supply LNPs; and we rely on third parties to manufacture viral vectors. Any of these third parties may terminate their engagements with us at any time under certain criteria. If we need to enter into alternative arrangements, it may delay our product development activities.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Although we intend to design the clinical trials for our product candidates,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3" w:name="page54"/>
    <w:bookmarkEnd w:id="53"/>
    <w:p>
      <w:pPr>
        <w:ind w:right="100"/>
        <w:spacing w:after="0" w:line="344" w:lineRule="auto"/>
        <w:rPr>
          <w:sz w:val="20"/>
          <w:szCs w:val="20"/>
          <w:color w:val="auto"/>
        </w:rPr>
      </w:pPr>
      <w:r>
        <w:rPr>
          <w:rFonts w:ascii="Arial" w:cs="Arial" w:eastAsia="Arial" w:hAnsi="Arial"/>
          <w:sz w:val="15"/>
          <w:szCs w:val="15"/>
          <w:color w:val="auto"/>
        </w:rPr>
        <w:t>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9" w:lineRule="exact"/>
        <w:rPr>
          <w:sz w:val="20"/>
          <w:szCs w:val="20"/>
          <w:color w:val="auto"/>
        </w:rPr>
      </w:pPr>
    </w:p>
    <w:p>
      <w:pPr>
        <w:ind w:left="740" w:hanging="367"/>
        <w:spacing w:after="0"/>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79"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6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do not have any manufacturing facilities at the present time. We currently rely on third-party manufacturers for the manufacture of our materials for preclinical studies and may continue to do so for clinical testing and for commercial supply of any product candidates that we may develop and for which we or our collaborators obtain marketing approval. We do not have a long-term supply agreement with any of the third-party manufacturers, and we purchase our required supply on a purchase order basis.</w:t>
      </w:r>
    </w:p>
    <w:p>
      <w:pPr>
        <w:spacing w:after="0" w:line="76"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65" w:lineRule="exact"/>
        <w:rPr>
          <w:sz w:val="20"/>
          <w:szCs w:val="20"/>
          <w:color w:val="auto"/>
        </w:rPr>
      </w:pPr>
    </w:p>
    <w:p>
      <w:pPr>
        <w:ind w:left="740" w:hanging="367"/>
        <w:spacing w:after="0"/>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quality assurance, safety, and pharmacovigilance and related reporting; and</w:t>
      </w:r>
    </w:p>
    <w:p>
      <w:pPr>
        <w:spacing w:after="0" w:line="213" w:lineRule="exact"/>
        <w:rPr>
          <w:rFonts w:ascii="Arial" w:cs="Arial" w:eastAsia="Arial" w:hAnsi="Arial"/>
          <w:sz w:val="17"/>
          <w:szCs w:val="17"/>
          <w:color w:val="auto"/>
        </w:rPr>
      </w:pPr>
    </w:p>
    <w:p>
      <w:pPr>
        <w:ind w:left="740" w:right="580" w:hanging="367"/>
        <w:spacing w:after="0" w:line="275"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possible inability of third-party suppliers to supply and/or transport materials, components and products to us in a timely manner as a result of disruptions to the global supply chain in connection with the COVID-19 pandemic.</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6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6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i w:val="1"/>
          <w:iCs w:val="1"/>
          <w:color w:val="auto"/>
        </w:rPr>
        <w:t>We may enter into collaborations with third parties for the research, development, and commercialization of certain of the product candidates we may develop.</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any such collaborations are not successful, we may not be able to capitalize on the market potential of those product candidates.</w:t>
      </w:r>
    </w:p>
    <w:p>
      <w:pPr>
        <w:spacing w:after="0" w:line="10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research programs or any product candidates we may develop pose numerous risks to us, including the following:</w:t>
      </w:r>
    </w:p>
    <w:p>
      <w:pPr>
        <w:spacing w:after="0" w:line="213" w:lineRule="exact"/>
        <w:rPr>
          <w:sz w:val="20"/>
          <w:szCs w:val="20"/>
          <w:color w:val="auto"/>
        </w:rPr>
      </w:pPr>
    </w:p>
    <w:p>
      <w:pPr>
        <w:ind w:left="740" w:hanging="367"/>
        <w:spacing w:after="0"/>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13" w:lineRule="exact"/>
        <w:rPr>
          <w:rFonts w:ascii="Arial" w:cs="Arial" w:eastAsia="Arial" w:hAnsi="Arial"/>
          <w:sz w:val="17"/>
          <w:szCs w:val="17"/>
          <w:color w:val="auto"/>
        </w:rPr>
      </w:pPr>
    </w:p>
    <w:p>
      <w:pPr>
        <w:ind w:left="740" w:right="180" w:hanging="367"/>
        <w:spacing w:after="0" w:line="26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75" w:lineRule="exact"/>
        <w:rPr>
          <w:rFonts w:ascii="Arial" w:cs="Arial" w:eastAsia="Arial" w:hAnsi="Arial"/>
          <w:sz w:val="17"/>
          <w:szCs w:val="17"/>
          <w:color w:val="auto"/>
        </w:rPr>
      </w:pPr>
    </w:p>
    <w:p>
      <w:pPr>
        <w:ind w:left="740" w:right="40" w:hanging="367"/>
        <w:spacing w:after="0" w:line="275"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5" w:lineRule="exact"/>
        <w:rPr>
          <w:rFonts w:ascii="Arial" w:cs="Arial" w:eastAsia="Arial" w:hAnsi="Arial"/>
          <w:sz w:val="17"/>
          <w:szCs w:val="17"/>
          <w:color w:val="auto"/>
        </w:rPr>
      </w:pPr>
    </w:p>
    <w:p>
      <w:pPr>
        <w:ind w:left="740" w:right="120" w:hanging="367"/>
        <w:spacing w:after="0" w:line="26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medicines or product candidates we may develop if the collaborators believe that competitive products are more likely to be successfully developed or can be commercialized under terms that are more economically attractive than ours.</w:t>
      </w:r>
    </w:p>
    <w:p>
      <w:pPr>
        <w:spacing w:after="0" w:line="175" w:lineRule="exact"/>
        <w:rPr>
          <w:rFonts w:ascii="Arial" w:cs="Arial" w:eastAsia="Arial" w:hAnsi="Arial"/>
          <w:sz w:val="17"/>
          <w:szCs w:val="17"/>
          <w:color w:val="auto"/>
        </w:rPr>
      </w:pPr>
    </w:p>
    <w:p>
      <w:pPr>
        <w:ind w:left="740" w:right="180" w:hanging="367"/>
        <w:spacing w:after="0" w:line="275"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medicines may not commit sufficient resources to the marketing and distribution of such medicine or medicines.</w:t>
      </w:r>
    </w:p>
    <w:p>
      <w:pPr>
        <w:spacing w:after="0" w:line="165" w:lineRule="exact"/>
        <w:rPr>
          <w:rFonts w:ascii="Arial" w:cs="Arial" w:eastAsia="Arial" w:hAnsi="Arial"/>
          <w:sz w:val="17"/>
          <w:szCs w:val="17"/>
          <w:color w:val="auto"/>
        </w:rPr>
      </w:pPr>
    </w:p>
    <w:p>
      <w:pPr>
        <w:ind w:left="740" w:right="60" w:hanging="367"/>
        <w:spacing w:after="0" w:line="308"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41" w:lineRule="exact"/>
        <w:rPr>
          <w:rFonts w:ascii="Arial" w:cs="Arial" w:eastAsia="Arial" w:hAnsi="Arial"/>
          <w:sz w:val="16"/>
          <w:szCs w:val="16"/>
          <w:color w:val="auto"/>
        </w:rPr>
      </w:pPr>
    </w:p>
    <w:p>
      <w:pPr>
        <w:ind w:left="740" w:right="360" w:hanging="367"/>
        <w:spacing w:after="0" w:line="308"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41" w:lineRule="exact"/>
        <w:rPr>
          <w:rFonts w:ascii="Arial" w:cs="Arial" w:eastAsia="Arial" w:hAnsi="Arial"/>
          <w:sz w:val="16"/>
          <w:szCs w:val="16"/>
          <w:color w:val="auto"/>
        </w:rPr>
      </w:pPr>
    </w:p>
    <w:p>
      <w:pPr>
        <w:ind w:left="740" w:hanging="367"/>
        <w:spacing w:after="0"/>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213" w:lineRule="exact"/>
        <w:rPr>
          <w:rFonts w:ascii="Arial" w:cs="Arial" w:eastAsia="Arial" w:hAnsi="Arial"/>
          <w:sz w:val="17"/>
          <w:szCs w:val="17"/>
          <w:color w:val="auto"/>
        </w:rPr>
      </w:pPr>
    </w:p>
    <w:p>
      <w:pPr>
        <w:ind w:left="740" w:right="240" w:hanging="367"/>
        <w:spacing w:after="0" w:line="275"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 we may develop.</w:t>
      </w:r>
    </w:p>
    <w:p>
      <w:pPr>
        <w:spacing w:after="0" w:line="165" w:lineRule="exact"/>
        <w:rPr>
          <w:rFonts w:ascii="Arial" w:cs="Arial" w:eastAsia="Arial" w:hAnsi="Arial"/>
          <w:sz w:val="17"/>
          <w:szCs w:val="17"/>
          <w:color w:val="auto"/>
        </w:rPr>
      </w:pPr>
    </w:p>
    <w:p>
      <w:pPr>
        <w:ind w:left="740" w:right="160" w:hanging="367"/>
        <w:spacing w:after="0" w:line="263"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Quarterly Report on Form 10-Q apply to the activities of our collaborators.</w:t>
      </w:r>
    </w:p>
    <w:p>
      <w:pPr>
        <w:spacing w:after="0" w:line="5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5" w:name="page56"/>
    <w:bookmarkEnd w:id="55"/>
    <w:p>
      <w:pPr>
        <w:ind w:right="180"/>
        <w:spacing w:after="0" w:line="275" w:lineRule="auto"/>
        <w:rPr>
          <w:sz w:val="20"/>
          <w:szCs w:val="20"/>
          <w:color w:val="auto"/>
        </w:rPr>
      </w:pPr>
      <w:r>
        <w:rPr>
          <w:rFonts w:ascii="Arial" w:cs="Arial" w:eastAsia="Arial" w:hAnsi="Arial"/>
          <w:sz w:val="17"/>
          <w:szCs w:val="17"/>
          <w:color w:val="auto"/>
        </w:rPr>
        <w:t>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6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our product candidates we may develop.</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134"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health epidemics or outbreaks, including COVID-19, could adversely impact our business.</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Due to the evolving and uncertain global impacts of the COVID-19 pandemic, we cannot precisely determine or quantify the impact this pandemic will have on our business operations for the remainder of our fiscal year ending December 31, 2020 or beyond. The extent to which COVID-19 may impact our business, results of operations and future growth prospects will depend on a variety of factors and future developments, which are highly uncertain and cannot be predicted with confidence, including the ultimate geographic spread of the disease,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83" w:lineRule="exact"/>
        <w:rPr>
          <w:sz w:val="20"/>
          <w:szCs w:val="20"/>
          <w:color w:val="auto"/>
        </w:rPr>
      </w:pPr>
    </w:p>
    <w:p>
      <w:pPr>
        <w:ind w:right="180"/>
        <w:spacing w:after="0" w:line="299" w:lineRule="auto"/>
        <w:rPr>
          <w:sz w:val="20"/>
          <w:szCs w:val="20"/>
          <w:color w:val="auto"/>
        </w:rPr>
      </w:pPr>
      <w:r>
        <w:rPr>
          <w:rFonts w:ascii="Arial" w:cs="Arial" w:eastAsia="Arial" w:hAnsi="Arial"/>
          <w:sz w:val="15"/>
          <w:szCs w:val="15"/>
          <w:color w:val="auto"/>
        </w:rPr>
        <w:t>The rapid spread of the virus has led to the implementation of various responses, including government-imposed quarantines, including shelter-in-place mandates, sweeping restrictions on travel, and other public health safety measures, as well as reported adverse impacts on healthcare resources, facilities and providers, in Massachusetts, where our primary offices and laboratory spaces are located, across the United States, and in other countries. The extent to which COVID-19 continues to impact our operations and those of our third-party partners will depend on future developments, which are highly uncertain and cannot be predicted with confidence, including the duration of the outbreak, additional or modified government actions, new information which may emerge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56" w:name="page57"/>
    <w:bookmarkEnd w:id="56"/>
    <w:p>
      <w:pPr>
        <w:ind w:right="280"/>
        <w:spacing w:after="0" w:line="275" w:lineRule="auto"/>
        <w:rPr>
          <w:sz w:val="20"/>
          <w:szCs w:val="20"/>
          <w:color w:val="auto"/>
        </w:rPr>
      </w:pPr>
      <w:r>
        <w:rPr>
          <w:rFonts w:ascii="Arial" w:cs="Arial" w:eastAsia="Arial" w:hAnsi="Arial"/>
          <w:sz w:val="17"/>
          <w:szCs w:val="17"/>
          <w:color w:val="auto"/>
        </w:rPr>
        <w:t>concerning the severity of COVID-19 and the actions taken to contain COVID-19 or treat its impact, among others. As interventions to contain the spread of the virus are lifted or reduced, new COVID-19 outbreaks may result in new or heightened restrictions.</w:t>
      </w:r>
    </w:p>
    <w:p>
      <w:pPr>
        <w:spacing w:after="0" w:line="63" w:lineRule="exact"/>
        <w:rPr>
          <w:sz w:val="20"/>
          <w:szCs w:val="20"/>
          <w:color w:val="auto"/>
        </w:rPr>
      </w:pPr>
    </w:p>
    <w:p>
      <w:pPr>
        <w:ind w:right="360"/>
        <w:spacing w:after="0" w:line="296" w:lineRule="auto"/>
        <w:rPr>
          <w:sz w:val="20"/>
          <w:szCs w:val="20"/>
          <w:color w:val="auto"/>
        </w:rPr>
      </w:pPr>
      <w:r>
        <w:rPr>
          <w:rFonts w:ascii="Arial" w:cs="Arial" w:eastAsia="Arial" w:hAnsi="Arial"/>
          <w:sz w:val="15"/>
          <w:szCs w:val="15"/>
          <w:color w:val="auto"/>
        </w:rPr>
        <w:t>To protect the health of our employees and their families, and our communities, in accordance with direction from state and local government authorities, we restricted access to our facilities to personnel and third parties who must perform critical activities that must be completed on-site, limited the number of such personnel that can be present at our facilities at any one time, and requested that some of our personnel work remotely. We plan to maintain these or similar restrictions until we believe employees can fully resume such activities in accordance with federal, state and local requirements. In the event that governmental authorities were to increase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COVID-19 pandemic has also impacted, and may continue to impact, our third-party suppliers, including through the effects of facility closures, reductions in operating hours, staggered shifts and other social distancing efforts, labor shortages, decreased productivity and unavailability of materials or components. While we maintain an inventory of materials necessary to conduct our pre-clinical studies, a prolonged outbreak could lead to shortages in these materials.</w:t>
      </w:r>
    </w:p>
    <w:p>
      <w:pPr>
        <w:spacing w:after="0" w:line="5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Additionally, timely completion of preclinical activities is dependent upon the availability of, for example, preclinical sites, researchers and investigators, regulatory agency personnel, and materials, which may be adversely affected by global health matters, such as pandemics. We plan to conduct preclinical activities for our programs in geographies which are currently being affected by COVID-19.</w:t>
      </w:r>
    </w:p>
    <w:p>
      <w:pPr>
        <w:spacing w:after="0" w:line="73"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Some factors from the COVID-19 pandemic that could delay or otherwise adversely affect the completion of our preclinical activities and, depending on the duration of the outbreak, the initiation of any future clinical trials, as well as our business generally, include:</w:t>
      </w:r>
    </w:p>
    <w:p>
      <w:pPr>
        <w:spacing w:after="0" w:line="165" w:lineRule="exact"/>
        <w:rPr>
          <w:sz w:val="20"/>
          <w:szCs w:val="20"/>
          <w:color w:val="auto"/>
        </w:rPr>
      </w:pPr>
    </w:p>
    <w:p>
      <w:pPr>
        <w:ind w:left="740" w:right="160" w:hanging="367"/>
        <w:spacing w:after="0" w:line="280" w:lineRule="auto"/>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163" w:lineRule="exact"/>
        <w:rPr>
          <w:rFonts w:ascii="Arial" w:cs="Arial" w:eastAsia="Arial" w:hAnsi="Arial"/>
          <w:sz w:val="16"/>
          <w:szCs w:val="16"/>
          <w:color w:val="auto"/>
        </w:rPr>
      </w:pPr>
    </w:p>
    <w:p>
      <w:pPr>
        <w:ind w:left="740" w:right="600" w:hanging="367"/>
        <w:spacing w:after="0" w:line="275"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limitations on our business operations by local, state, or the federal government that could impact our ability to conduct our preclinical activities, including completing our IND-enabling studies;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limitations on travel that could hinder our timelines;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interruption in global shipping affecting the transport of key materials; and</w:t>
      </w:r>
    </w:p>
    <w:p>
      <w:pPr>
        <w:spacing w:after="0" w:line="213" w:lineRule="exact"/>
        <w:rPr>
          <w:rFonts w:ascii="Arial" w:cs="Arial" w:eastAsia="Arial" w:hAnsi="Arial"/>
          <w:sz w:val="17"/>
          <w:szCs w:val="17"/>
          <w:color w:val="auto"/>
        </w:rPr>
      </w:pPr>
    </w:p>
    <w:p>
      <w:pPr>
        <w:ind w:left="740" w:right="180" w:hanging="367"/>
        <w:spacing w:after="0" w:line="275"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interruption of, or delays in receiving, key materials from our contract manufacturing organizations due to staffing shortages, production slowdowns or stoppages and disruptions in delivery systems.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These and other factors arising from COVID-19 could worsen in countries that are already afflicted with COVID-19 or could continue to spread to additional countries, each of which could further adversely impact our ability to conduct preclinical or any future clinical trials, and, in general, our business, and could have a material adverse impact on our operations and financial condition and results.</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Additionally, the extent and duration of the impact of COVID-19 pandemic on our stock price and other biopharmaceutical companies is uncertain and may make us look less attractive to investors and, as a result, there may be a less active trading market for our common stock, our stock price may be more volatile, and our ability to raise capital could be impaired.</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COVID-19 outbreak continues to rapidly evolve. The extent to which the outbreak may impact our business, preclinical studies and any future clinical trials will highly depend on future developments, which are very uncertain and cannot be predicted with confidence, such as the ultimate geographic spread of the disease, the duration of the outbreak, travel restrictions and other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address the disease.</w:t>
      </w:r>
    </w:p>
    <w:p>
      <w:pPr>
        <w:spacing w:after="0" w:line="78" w:lineRule="exact"/>
        <w:rPr>
          <w:sz w:val="20"/>
          <w:szCs w:val="20"/>
          <w:color w:val="auto"/>
        </w:rPr>
      </w:pPr>
    </w:p>
    <w:p>
      <w:pPr>
        <w:ind w:right="380"/>
        <w:spacing w:after="0" w:line="344" w:lineRule="auto"/>
        <w:rPr>
          <w:sz w:val="20"/>
          <w:szCs w:val="20"/>
          <w:color w:val="auto"/>
        </w:rPr>
      </w:pPr>
      <w:r>
        <w:rPr>
          <w:rFonts w:ascii="Arial" w:cs="Arial" w:eastAsia="Arial" w:hAnsi="Arial"/>
          <w:sz w:val="15"/>
          <w:szCs w:val="15"/>
          <w:color w:val="auto"/>
        </w:rPr>
        <w:t>The COVID-19 pandemic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1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any product candidates we develop and for our base editing platform technology,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base editing platform technology may be adversely affected.</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commercial success will depend in large part on our ability to obtain and maintain patent, trademark, trade secret and other intellectual property protection of our base editing platform technology, product candidates and other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seek to protect our proprietary position by in-licensing intellectual property relating to our platform technology and filing patent applications in the United States and abroad related to our base editing platform technology and product candidates that are important to our business. If we or our licensors are unable to obtain or maintain patent protection with respect to our base editing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74"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been the subject of much litigation in recent years. The field of genome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and product candidates we may develop, or which effectively prevent others from commercializing competitive technologies and product candidates.</w:t>
      </w:r>
    </w:p>
    <w:p>
      <w:pPr>
        <w:spacing w:after="0" w:line="50"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No consistent policy regarding the scope of claims allowable in the field of genome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6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58" w:name="page59"/>
    <w:bookmarkEnd w:id="58"/>
    <w:p>
      <w:pPr>
        <w:spacing w:after="0" w:line="291" w:lineRule="auto"/>
        <w:rPr>
          <w:sz w:val="20"/>
          <w:szCs w:val="20"/>
          <w:color w:val="auto"/>
        </w:rPr>
      </w:pPr>
      <w:r>
        <w:rPr>
          <w:rFonts w:ascii="Arial" w:cs="Arial" w:eastAsia="Arial" w:hAnsi="Arial"/>
          <w:sz w:val="15"/>
          <w:szCs w:val="15"/>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6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the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initiate a discovery program in accordance with the development plan and development milestones for the development of a licensed product covered by certain sub-categories of licensed patents. If we fail to initiate such a discovery program, our rights with respect to the sub-category of licensed patents will terminate.</w:t>
      </w:r>
    </w:p>
    <w:p>
      <w:pPr>
        <w:spacing w:after="0" w:line="60"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treatment and prevention of ocular disease and diagnosis, treatment, and prevention of human cancers through engineered T-cells, which are licensed to other licensees, including Allergan Pharmaceuticals International Limited and Juno Therapeutics, Inc. If we determine that rights to such excluded fields are necessary to commercialize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58"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54"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59" w:name="page60"/>
    <w:bookmarkEnd w:id="59"/>
    <w:p>
      <w:pPr>
        <w:ind w:right="340"/>
        <w:spacing w:after="0" w:line="275" w:lineRule="auto"/>
        <w:rPr>
          <w:sz w:val="20"/>
          <w:szCs w:val="20"/>
          <w:color w:val="auto"/>
        </w:rPr>
      </w:pPr>
      <w:r>
        <w:rPr>
          <w:rFonts w:ascii="Arial" w:cs="Arial" w:eastAsia="Arial" w:hAnsi="Arial"/>
          <w:sz w:val="17"/>
          <w:szCs w:val="17"/>
          <w:color w:val="auto"/>
        </w:rPr>
        <w:t>technology. Any grant of rights to a third party in this scenario would narrow the scope of our exclusive rights to the patents and patent applications we have in-licensed from Broad Institute and/or Harvard, as applicable.</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60"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54"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5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68"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b w:val="1"/>
          <w:bCs w:val="1"/>
          <w:i w:val="1"/>
          <w:iCs w:val="1"/>
          <w:color w:val="auto"/>
        </w:rPr>
        <w:t>Our owned and in-licensed patents and patent applications may not provide sufficient protection of our base editing platform technologies, our product candidates and our future product candidates or result in any competitive advantage.</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have in-licensed a number of issued U.S. patents and patent applications that cover base editing and gene targeting technologies. We have applied for provisional patent applications or Patent Cooperation Treaty, or PCT, applications intended to specifically cover our base editing platform technology and uses with respect to treatment of particular diseases and conditions,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technologies or our product candidates, or that such patents will not be challenged, narrowed, circumvented, invalidated or held unenforceable. Any failure to obtain or maintain patent protection with respect to our base editing platform technology and product candidates could have a material adverse effect on our business, financial condition, results of operations and growth prospects.</w:t>
      </w:r>
    </w:p>
    <w:p>
      <w:pPr>
        <w:spacing w:after="0" w:line="6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owned patent applications and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0" w:name="page61"/>
    <w:bookmarkEnd w:id="60"/>
    <w:p>
      <w:pPr>
        <w:ind w:right="560"/>
        <w:spacing w:after="0" w:line="275" w:lineRule="auto"/>
        <w:rPr>
          <w:sz w:val="20"/>
          <w:szCs w:val="20"/>
          <w:color w:val="auto"/>
        </w:rPr>
      </w:pPr>
      <w:r>
        <w:rPr>
          <w:rFonts w:ascii="Arial" w:cs="Arial" w:eastAsia="Arial" w:hAnsi="Arial"/>
          <w:sz w:val="17"/>
          <w:szCs w:val="17"/>
          <w:color w:val="auto"/>
        </w:rPr>
        <w:t>do not actively promote their product for our targeted indications or uses for which we may obtain patents, providers may recommend that patients use these products off-label, or patients may do so themselves.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 applications we own or the patents and patent applications we in-license with respect to our base editing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6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7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Likewise, our currently owned patent applications, if issued as patents, and in-licensed patents and patent applications, if issued as patents, directed to our proprietary base editing technologies and our product candidates are expected to expire from 2034 through 2040,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61" w:name="page62"/>
    <w:bookmarkEnd w:id="61"/>
    <w:p>
      <w:pPr>
        <w:ind w:right="180"/>
        <w:spacing w:after="0" w:line="275" w:lineRule="auto"/>
        <w:rPr>
          <w:sz w:val="20"/>
          <w:szCs w:val="20"/>
          <w:color w:val="auto"/>
        </w:rPr>
      </w:pPr>
      <w:r>
        <w:rPr>
          <w:rFonts w:ascii="Arial" w:cs="Arial" w:eastAsia="Arial" w:hAnsi="Arial"/>
          <w:sz w:val="17"/>
          <w:szCs w:val="17"/>
          <w:color w:val="auto"/>
        </w:rPr>
        <w:t>right to exclude others from practicing these inventions. The expiration of these patents could also have a similar material adverse effect on our business, financial condition, results of operations and prospects.</w:t>
      </w:r>
    </w:p>
    <w:p>
      <w:pPr>
        <w:spacing w:after="0" w:line="63"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b w:val="1"/>
          <w:bCs w:val="1"/>
          <w:i w:val="1"/>
          <w:iCs w:val="1"/>
          <w:color w:val="auto"/>
        </w:rPr>
        <w:t>Our owned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Although we have an option to exclusively license certain patents and patent applications directed to Cas9 and Cas12a from Editas, who in turn has licensed such patents from various academic institutions including the Broad Institute, we do not currently have a license to such patents and patent applications. Certain of the U.S. patents and one U.S. patent application to which we hold an option are co-owned by the Broad Institute and MIT, and in some cases co-owned by the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83"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On June 24, 2019, the PTAB declared an interference (U.S. Interference No. 106,115) between 10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As a result of the declaration of interference, an adversarial proceeding in the USPTO before the PTAB has been initiated, which is declared to ultimately determine priority, specifically and which party was first to invent the claimed subject matter, and oral arguments commenced on May 18, 2020.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Although we cannot predict with any certainty how long each phase will actually take, each phase may take approximately a year or longer before a decision is made by the PTAB. It is possible for motions filed in the preliminary motions phase to be dispositive of the interference proceeding, such that the second priority phase is not reached. The 10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will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or our licensors may also be subject to claims that former employees, collaborators, or other third parties have an interest in our owned patent applications or in-licensed patents or patent applications or other intellectual property as an inventor or co-inventor. If we are unable to obtain an exclusive license to any such third-party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78"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2" w:name="page63"/>
    <w:bookmarkEnd w:id="62"/>
    <w:p>
      <w:pPr>
        <w:ind w:right="140"/>
        <w:spacing w:after="0" w:line="257" w:lineRule="auto"/>
        <w:rPr>
          <w:sz w:val="20"/>
          <w:szCs w:val="20"/>
          <w:color w:val="auto"/>
        </w:rPr>
      </w:pPr>
      <w:r>
        <w:rPr>
          <w:rFonts w:ascii="Arial" w:cs="Arial" w:eastAsia="Arial" w:hAnsi="Arial"/>
          <w:sz w:val="17"/>
          <w:szCs w:val="17"/>
          <w:color w:val="auto"/>
        </w:rPr>
        <w:t>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foreign intellectual property rights and may not be able to protect our intellectual property and proprietary rights throughout the world.</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55"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46" w:lineRule="exact"/>
        <w:rPr>
          <w:sz w:val="20"/>
          <w:szCs w:val="20"/>
          <w:color w:val="auto"/>
        </w:rPr>
      </w:pPr>
    </w:p>
    <w:p>
      <w:pPr>
        <w:ind w:right="540"/>
        <w:spacing w:after="0" w:line="308"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7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or product candidates. Any of the foregoing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63" w:name="page64"/>
    <w:bookmarkEnd w:id="63"/>
    <w:p>
      <w:pPr>
        <w:ind w:right="380"/>
        <w:spacing w:after="0" w:line="275" w:lineRule="auto"/>
        <w:rPr>
          <w:sz w:val="20"/>
          <w:szCs w:val="20"/>
          <w:color w:val="auto"/>
        </w:rPr>
      </w:pPr>
      <w:r>
        <w:rPr>
          <w:rFonts w:ascii="Arial" w:cs="Arial" w:eastAsia="Arial" w:hAnsi="Arial"/>
          <w:sz w:val="17"/>
          <w:szCs w:val="17"/>
          <w:color w:val="auto"/>
        </w:rPr>
        <w:t>could have a material adverse effect on our competitive position, business, financial conditions, results of operations, and growth prospects. Disputes may arise regarding intellectual property subject to a licensing agreement, including:</w:t>
      </w:r>
    </w:p>
    <w:p>
      <w:pPr>
        <w:spacing w:after="0" w:line="165" w:lineRule="exact"/>
        <w:rPr>
          <w:sz w:val="20"/>
          <w:szCs w:val="20"/>
          <w:color w:val="auto"/>
        </w:rPr>
      </w:pPr>
    </w:p>
    <w:p>
      <w:pPr>
        <w:ind w:left="740" w:hanging="367"/>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24" w:lineRule="exact"/>
        <w:rPr>
          <w:rFonts w:ascii="Arial" w:cs="Arial" w:eastAsia="Arial" w:hAnsi="Arial"/>
          <w:sz w:val="16"/>
          <w:szCs w:val="16"/>
          <w:color w:val="auto"/>
        </w:rPr>
      </w:pPr>
    </w:p>
    <w:p>
      <w:pPr>
        <w:ind w:left="740" w:hanging="367"/>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sublicensing of patent and other rights to third parties under our collaborative development relationships;</w:t>
      </w:r>
    </w:p>
    <w:p>
      <w:pPr>
        <w:spacing w:after="0" w:line="213" w:lineRule="exact"/>
        <w:rPr>
          <w:rFonts w:ascii="Arial" w:cs="Arial" w:eastAsia="Arial" w:hAnsi="Arial"/>
          <w:sz w:val="17"/>
          <w:szCs w:val="17"/>
          <w:color w:val="auto"/>
        </w:rPr>
      </w:pPr>
    </w:p>
    <w:p>
      <w:pPr>
        <w:ind w:left="740" w:right="1060" w:hanging="367"/>
        <w:spacing w:after="0" w:line="275"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165" w:lineRule="exact"/>
        <w:rPr>
          <w:rFonts w:ascii="Arial" w:cs="Arial" w:eastAsia="Arial" w:hAnsi="Arial"/>
          <w:sz w:val="17"/>
          <w:szCs w:val="17"/>
          <w:color w:val="auto"/>
        </w:rPr>
      </w:pPr>
    </w:p>
    <w:p>
      <w:pPr>
        <w:ind w:left="740" w:right="200" w:hanging="367"/>
        <w:spacing w:after="0" w:line="275"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acquiring or in-licensing necessary rights to key technologies or any product candidates we may develop.</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licensees including Harvard, Broad Institute, Editas, and Bio Palette in the past, we cannot assure you that we will be able to in-license or acquire the rights to any product candidates or technologies from third parties on acceptable terms or at all.</w:t>
      </w:r>
    </w:p>
    <w:p>
      <w:pPr>
        <w:spacing w:after="0" w:line="7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For example, our agreements with certain of our third-party licensors provide that our filed of use excludes particular fields, for example, treatment and prevention of ocular disease, and diagnosis, treatment, and prevention of human cancers through engineered T-cells, which are licensed exclusively or non-exclusively to other third-party licensees.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6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Furthermore, there has been extensive patenting activity in the field of genome editing, and pharmaceutical companies, biotechnology companies, and academic institutions are competing with us or are expected to compete with us in the in the field of genome editing technology and filing patent applications potentially relevant to our business and we are aware of certain third-party patent applications that, if issued, may allow the third party to circumvent our patent rights. For example, we are aware of several third-party patents, and patent applications, that if issued, may be construed to cover our base editing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technology. We may also require licenses from third parties for certain non-base editing technologies including certain delivery methods that we are evaluating for use with product candidates we may develop. In addition, some of our owned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4" w:name="page65"/>
    <w:bookmarkEnd w:id="64"/>
    <w:p>
      <w:pPr>
        <w:ind w:right="140"/>
        <w:spacing w:after="0" w:line="275" w:lineRule="auto"/>
        <w:rPr>
          <w:sz w:val="20"/>
          <w:szCs w:val="20"/>
          <w:color w:val="auto"/>
        </w:rPr>
      </w:pPr>
      <w:r>
        <w:rPr>
          <w:rFonts w:ascii="Arial" w:cs="Arial" w:eastAsia="Arial" w:hAnsi="Arial"/>
          <w:sz w:val="17"/>
          <w:szCs w:val="17"/>
          <w:color w:val="auto"/>
        </w:rPr>
        <w:t>addition, we may need the cooperation of any such co-owners of our patents in order to enforce such patents against third parties, and such cooperation may not be provided to us.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Additionally, we may collaborate with academic institutions to accelerate our preclinical research or development under written agreements with these institutions.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In certain cases, these institutions provide us with an option to negotiate a license to any of the institution’s rights in technology resulting from the collaboration.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Even if we hold such an option, we may be unable to negotiate a license from the institution within the specified timeframe or under terms that are acceptable to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do so, the institution may offer the intellectual property rights to others, potentially blocking our ability to pursue our program.</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b w:val="1"/>
          <w:bCs w:val="1"/>
          <w:i w:val="1"/>
          <w:iCs w:val="1"/>
          <w:color w:val="auto"/>
        </w:rPr>
        <w:t>The intellectual property landscape around genome editing technology, including base editing,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73" w:lineRule="exact"/>
        <w:rPr>
          <w:sz w:val="20"/>
          <w:szCs w:val="20"/>
          <w:color w:val="auto"/>
        </w:rPr>
      </w:pPr>
    </w:p>
    <w:p>
      <w:pPr>
        <w:jc w:val="both"/>
        <w:ind w:right="80"/>
        <w:spacing w:after="0" w:line="280" w:lineRule="auto"/>
        <w:rPr>
          <w:sz w:val="20"/>
          <w:szCs w:val="20"/>
          <w:color w:val="auto"/>
        </w:rPr>
      </w:pPr>
      <w:r>
        <w:rPr>
          <w:rFonts w:ascii="Arial" w:cs="Arial" w:eastAsia="Arial" w:hAnsi="Arial"/>
          <w:sz w:val="16"/>
          <w:szCs w:val="16"/>
          <w:color w:val="auto"/>
        </w:rPr>
        <w:t>The field of genome editing, especially in the area of base editing technology, is still in its infancy, and no such product candidates have reached the market. Due to the intense research and development that is taking place by several companies, including us and our competitors, in this field,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6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and any product candidates we may develop, including interference proceedings,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6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As the biotechnology and pharmaceutical industries expand and more patents are issued, the risk increases that our base editing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our base editing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In November 2018, it was reported that 211 patent families and 1835 patent family members worldwide referenced CRISPR or Cas in the title, abstracts or claims.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5" w:name="page66"/>
    <w:bookmarkEnd w:id="65"/>
    <w:p>
      <w:pPr>
        <w:ind w:right="20"/>
        <w:spacing w:after="0" w:line="286" w:lineRule="auto"/>
        <w:rPr>
          <w:sz w:val="20"/>
          <w:szCs w:val="20"/>
          <w:color w:val="auto"/>
        </w:rPr>
      </w:pPr>
      <w:r>
        <w:rPr>
          <w:rFonts w:ascii="Arial" w:cs="Arial" w:eastAsia="Arial" w:hAnsi="Arial"/>
          <w:sz w:val="15"/>
          <w:szCs w:val="15"/>
          <w:color w:val="auto"/>
        </w:rPr>
        <w:t>to gene editing. The University of California portfolio includes, for example, U.S. Patent Nos. 10,266,850; 10,227,611; 10,000,772; 10,113,167; 10,301,651; 10,308,961; 10,337,029; 10,351,878; 10,407,697; 10,358,659; 10,358,658; 10,385,360; 10,400,253; 10,421,980; 10,415,061; 10,443,076; 10,487,341; 10,513,712; 10,519,467; 10,526,619, which are expected to expire around March 2033, excluding any additional term for patent term adjustment, or PTA, or patent term extension, or PTE, and any disclaimed term for terminal disclaimers. The University of California portfolio also includes U.S. pre-grant patent publications 20190264233, 20190264235, 20190264236, 20190271008, and 20190256871, which are indicated as in condition for allowance by the USPTO, as well as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 opposed in Europe by multiple parties. For example, the EPO Opposition Division has initiated opposition proceedings against European Patent Nos. EP3,241,902 B1 and EP2,800,811 B1, which are estimated to expire in March 2033 (excluding any patent term adjustments or extensions). In addition, notices of opposition have also been filed by several third parties against European Patent No. EP3,401,400 B1, which is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European patent EP3,241,902 B1 and how oppositions filed against EP3,401,400 B1 will be resolved. Most of the claims of European patent EP 2,800,811 B1 were maintained without amendment by the Opposition Division, but this decision is being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4"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63"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ability to commercialize our product candidates in the United States and abroad may be adversely affected if we cannot obtain a license on commercially reasonable terms to relevant third-party patents that cover our product candidates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6" w:name="page67"/>
    <w:bookmarkEnd w:id="66"/>
    <w:p>
      <w:pPr>
        <w:ind w:right="360"/>
        <w:spacing w:after="0" w:line="275" w:lineRule="auto"/>
        <w:rPr>
          <w:sz w:val="20"/>
          <w:szCs w:val="20"/>
          <w:color w:val="auto"/>
        </w:rPr>
      </w:pPr>
      <w:r>
        <w:rPr>
          <w:rFonts w:ascii="Arial" w:cs="Arial" w:eastAsia="Arial" w:hAnsi="Arial"/>
          <w:sz w:val="17"/>
          <w:szCs w:val="17"/>
          <w:color w:val="auto"/>
        </w:rPr>
        <w:t>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8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future patents or the patents of our licensors, which could be expensive, time consuming, and unsuccessful and could result in a finding that such patents are unenforceable or invalid.</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Competitors may infringe our future patents or the patents of our licensing partners, or we may be required to defend against claims of infringement. In addition, our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6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or other or proprietary technologies.</w:t>
      </w:r>
    </w:p>
    <w:p>
      <w:pPr>
        <w:spacing w:after="0" w:line="6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7" w:name="page68"/>
    <w:bookmarkEnd w:id="67"/>
    <w:p>
      <w:pPr>
        <w:ind w:right="60"/>
        <w:spacing w:after="0" w:line="253"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6" w:lineRule="exact"/>
        <w:rPr>
          <w:sz w:val="20"/>
          <w:szCs w:val="20"/>
          <w:color w:val="auto"/>
        </w:rPr>
      </w:pPr>
    </w:p>
    <w:p>
      <w:pPr>
        <w:ind w:right="140"/>
        <w:spacing w:after="0" w:line="380"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i w:val="1"/>
          <w:iCs w:val="1"/>
          <w:color w:val="auto"/>
        </w:rPr>
        <w:t>Changes in patent law in the United States and in non-U.S. jurisdictions could diminish the value of patents in general, thereby impairing our ability to protect our base editing platform technology and product candidates.</w:t>
      </w:r>
    </w:p>
    <w:p>
      <w:pPr>
        <w:spacing w:after="0" w:line="63"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7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will be prosecuted, allowing third party submission of prior art and establish a new post-grant review system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82"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addition, recent U.S. Supreme Court rulings have narrowed the scope of patent protection available in certain circumstances and weakened the rights of patent owners in certain situations. In addition to increasing uncertainty with regard to our ability to obtain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8" w:name="page69"/>
    <w:bookmarkEnd w:id="68"/>
    <w:p>
      <w:pPr>
        <w:spacing w:after="0" w:line="274" w:lineRule="auto"/>
        <w:rPr>
          <w:sz w:val="20"/>
          <w:szCs w:val="20"/>
          <w:color w:val="auto"/>
        </w:rPr>
      </w:pPr>
      <w:r>
        <w:rPr>
          <w:rFonts w:ascii="Arial" w:cs="Arial" w:eastAsia="Arial" w:hAnsi="Arial"/>
          <w:sz w:val="16"/>
          <w:szCs w:val="16"/>
          <w:color w:val="auto"/>
        </w:rPr>
        <w:t xml:space="preserve">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Arial" w:cs="Arial" w:eastAsia="Arial" w:hAnsi="Arial"/>
          <w:sz w:val="16"/>
          <w:szCs w:val="16"/>
          <w:i w:val="1"/>
          <w:iCs w:val="1"/>
          <w:color w:val="auto"/>
        </w:rPr>
        <w:t>Assoc. for Molecular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Pathology v. Myriad Genetics, Inc., </w:t>
      </w:r>
      <w:r>
        <w:rPr>
          <w:rFonts w:ascii="Arial" w:cs="Arial" w:eastAsia="Arial" w:hAnsi="Arial"/>
          <w:sz w:val="16"/>
          <w:szCs w:val="16"/>
          <w:color w:val="auto"/>
        </w:rPr>
        <w:t>the U.S. Supreme Court held that certain claims to DNA molecules are not patentable. We cannot predict how this and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by 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PTE and data exclusivity for any product candidates we may develop, our business may be materially harmed.</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1"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73"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6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69" w:name="page70"/>
    <w:bookmarkEnd w:id="69"/>
    <w:p>
      <w:pPr>
        <w:ind w:right="40"/>
        <w:spacing w:after="0" w:line="255" w:lineRule="auto"/>
        <w:rPr>
          <w:sz w:val="20"/>
          <w:szCs w:val="20"/>
          <w:color w:val="auto"/>
        </w:rPr>
      </w:pPr>
      <w:r>
        <w:rPr>
          <w:rFonts w:ascii="Arial" w:cs="Arial" w:eastAsia="Arial" w:hAnsi="Arial"/>
          <w:sz w:val="17"/>
          <w:szCs w:val="17"/>
          <w:color w:val="auto"/>
        </w:rPr>
        <w:t>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3" w:lineRule="exact"/>
        <w:rPr>
          <w:sz w:val="20"/>
          <w:szCs w:val="20"/>
          <w:color w:val="auto"/>
        </w:rPr>
      </w:pPr>
    </w:p>
    <w:p>
      <w:pPr>
        <w:jc w:val="both"/>
        <w:ind w:right="200"/>
        <w:spacing w:after="0" w:line="314" w:lineRule="auto"/>
        <w:rPr>
          <w:sz w:val="20"/>
          <w:szCs w:val="20"/>
          <w:color w:val="auto"/>
        </w:rPr>
      </w:pPr>
      <w:r>
        <w:rPr>
          <w:rFonts w:ascii="Arial" w:cs="Arial" w:eastAsia="Arial" w:hAnsi="Arial"/>
          <w:sz w:val="15"/>
          <w:szCs w:val="15"/>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39"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b w:val="1"/>
          <w:bCs w:val="1"/>
          <w:i w:val="1"/>
          <w:iCs w:val="1"/>
          <w:color w:val="auto"/>
        </w:rPr>
        <w:t>Third parties may assert that our employees, consultants, or advisors have wrongfully used or disclosed confidential information or misappropriated trade secrets.</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5" w:lineRule="exact"/>
        <w:rPr>
          <w:sz w:val="20"/>
          <w:szCs w:val="20"/>
          <w:color w:val="auto"/>
        </w:rPr>
      </w:pPr>
    </w:p>
    <w:p>
      <w:pPr>
        <w:ind w:left="740" w:hanging="367"/>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product candidates we may develop will eventually become commercially available in generic or biosimilar product forms;</w:t>
      </w:r>
    </w:p>
    <w:p>
      <w:pPr>
        <w:spacing w:after="0" w:line="213" w:lineRule="exact"/>
        <w:rPr>
          <w:rFonts w:ascii="Arial" w:cs="Arial" w:eastAsia="Arial" w:hAnsi="Arial"/>
          <w:sz w:val="17"/>
          <w:szCs w:val="17"/>
          <w:color w:val="auto"/>
        </w:rPr>
      </w:pPr>
    </w:p>
    <w:p>
      <w:pPr>
        <w:ind w:left="740" w:right="220" w:hanging="367"/>
        <w:spacing w:after="0" w:line="275"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165" w:lineRule="exact"/>
        <w:rPr>
          <w:rFonts w:ascii="Arial" w:cs="Arial" w:eastAsia="Arial" w:hAnsi="Arial"/>
          <w:sz w:val="17"/>
          <w:szCs w:val="17"/>
          <w:color w:val="auto"/>
        </w:rPr>
      </w:pPr>
    </w:p>
    <w:p>
      <w:pPr>
        <w:ind w:left="740" w:right="20" w:hanging="367"/>
        <w:spacing w:after="0" w:line="275"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make the inventions covered by the issued patent or pending patent application that we license or may own in the future;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70" w:name="page71"/>
    <w:bookmarkEnd w:id="70"/>
    <w:p>
      <w:pPr>
        <w:ind w:left="740" w:right="48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file patent applications covering certain of our or their inventions;</w:t>
      </w:r>
    </w:p>
    <w:p>
      <w:pPr>
        <w:spacing w:after="0" w:line="165" w:lineRule="exact"/>
        <w:rPr>
          <w:rFonts w:ascii="Arial" w:cs="Arial" w:eastAsia="Arial" w:hAnsi="Arial"/>
          <w:sz w:val="17"/>
          <w:szCs w:val="17"/>
          <w:color w:val="auto"/>
        </w:rPr>
      </w:pPr>
    </w:p>
    <w:p>
      <w:pPr>
        <w:ind w:left="740" w:right="24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165" w:lineRule="exact"/>
        <w:rPr>
          <w:rFonts w:ascii="Arial" w:cs="Arial" w:eastAsia="Arial" w:hAnsi="Arial"/>
          <w:sz w:val="17"/>
          <w:szCs w:val="17"/>
          <w:color w:val="auto"/>
        </w:rPr>
      </w:pPr>
    </w:p>
    <w:p>
      <w:pPr>
        <w:ind w:left="740" w:right="46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our pending, owned or licensed patent applications or those that we may own in the future will not lead to issued patents;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it is possible that there are prior public disclosures that could invalidate our owned or in-licensed patents, or parts of our owned or in-licensed patents;</w:t>
      </w:r>
    </w:p>
    <w:p>
      <w:pPr>
        <w:spacing w:after="0" w:line="236" w:lineRule="exact"/>
        <w:rPr>
          <w:rFonts w:ascii="Arial" w:cs="Arial" w:eastAsia="Arial" w:hAnsi="Arial"/>
          <w:sz w:val="15"/>
          <w:szCs w:val="15"/>
          <w:color w:val="auto"/>
        </w:rPr>
      </w:pPr>
    </w:p>
    <w:p>
      <w:pPr>
        <w:ind w:left="740" w:right="28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or technology similar to ours;</w:t>
      </w:r>
    </w:p>
    <w:p>
      <w:pPr>
        <w:spacing w:after="0" w:line="165" w:lineRule="exact"/>
        <w:rPr>
          <w:rFonts w:ascii="Arial" w:cs="Arial" w:eastAsia="Arial" w:hAnsi="Arial"/>
          <w:sz w:val="17"/>
          <w:szCs w:val="17"/>
          <w:color w:val="auto"/>
        </w:rPr>
      </w:pPr>
    </w:p>
    <w:p>
      <w:pPr>
        <w:ind w:left="740" w:right="280" w:hanging="367"/>
        <w:spacing w:after="0" w:line="263"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75" w:lineRule="exact"/>
        <w:rPr>
          <w:rFonts w:ascii="Arial" w:cs="Arial" w:eastAsia="Arial" w:hAnsi="Arial"/>
          <w:sz w:val="17"/>
          <w:szCs w:val="17"/>
          <w:color w:val="auto"/>
        </w:rPr>
      </w:pPr>
    </w:p>
    <w:p>
      <w:pPr>
        <w:ind w:left="740" w:right="84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unenforceable, or narrowed in scope, including as a result of legal challenges by our competitors;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13" w:lineRule="exact"/>
        <w:rPr>
          <w:rFonts w:ascii="Arial" w:cs="Arial" w:eastAsia="Arial" w:hAnsi="Arial"/>
          <w:sz w:val="17"/>
          <w:szCs w:val="17"/>
          <w:color w:val="auto"/>
        </w:rPr>
      </w:pPr>
    </w:p>
    <w:p>
      <w:pPr>
        <w:ind w:left="740" w:right="28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proprietary rights or the proprietary rights of license partners or current or future collaborators to the same extent as the laws of the United States;</w:t>
      </w:r>
    </w:p>
    <w:p>
      <w:pPr>
        <w:spacing w:after="0" w:line="165" w:lineRule="exact"/>
        <w:rPr>
          <w:rFonts w:ascii="Arial" w:cs="Arial" w:eastAsia="Arial" w:hAnsi="Arial"/>
          <w:sz w:val="17"/>
          <w:szCs w:val="17"/>
          <w:color w:val="auto"/>
        </w:rPr>
      </w:pPr>
    </w:p>
    <w:p>
      <w:pPr>
        <w:ind w:left="740" w:hanging="367"/>
        <w:spacing w:after="0" w:line="308"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41" w:lineRule="exact"/>
        <w:rPr>
          <w:rFonts w:ascii="Arial" w:cs="Arial" w:eastAsia="Arial" w:hAnsi="Arial"/>
          <w:sz w:val="16"/>
          <w:szCs w:val="16"/>
          <w:color w:val="auto"/>
        </w:rPr>
      </w:pPr>
    </w:p>
    <w:p>
      <w:pPr>
        <w:ind w:left="740" w:right="12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5" w:lineRule="exact"/>
        <w:rPr>
          <w:rFonts w:ascii="Arial" w:cs="Arial" w:eastAsia="Arial" w:hAnsi="Arial"/>
          <w:sz w:val="17"/>
          <w:szCs w:val="17"/>
          <w:color w:val="auto"/>
        </w:rPr>
      </w:pPr>
    </w:p>
    <w:p>
      <w:pPr>
        <w:ind w:left="740" w:right="8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and our collaborators may develop adjacent or competing products that are outside the scope of our patents;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product candidates we develop may be covered by third parties’ patents or other exclusive rights;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patents of others may harm our business; or</w:t>
      </w:r>
    </w:p>
    <w:p>
      <w:pPr>
        <w:spacing w:after="0" w:line="213" w:lineRule="exact"/>
        <w:rPr>
          <w:rFonts w:ascii="Arial" w:cs="Arial" w:eastAsia="Arial" w:hAnsi="Arial"/>
          <w:sz w:val="17"/>
          <w:szCs w:val="17"/>
          <w:color w:val="auto"/>
        </w:rPr>
      </w:pPr>
    </w:p>
    <w:p>
      <w:pPr>
        <w:ind w:left="740" w:right="120" w:hanging="367"/>
        <w:spacing w:after="0" w:line="275"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intellectual property.</w:t>
      </w:r>
    </w:p>
    <w:p>
      <w:pPr>
        <w:spacing w:after="0" w:line="165" w:lineRule="exact"/>
        <w:rPr>
          <w:sz w:val="20"/>
          <w:szCs w:val="20"/>
          <w:color w:val="auto"/>
        </w:rPr>
      </w:pPr>
    </w:p>
    <w:p>
      <w:pPr>
        <w:ind w:right="1140"/>
        <w:spacing w:after="0" w:line="376" w:lineRule="auto"/>
        <w:rPr>
          <w:sz w:val="20"/>
          <w:szCs w:val="20"/>
          <w:color w:val="auto"/>
        </w:rPr>
      </w:pPr>
      <w:r>
        <w:rPr>
          <w:rFonts w:ascii="Arial" w:cs="Arial" w:eastAsia="Arial" w:hAnsi="Arial"/>
          <w:sz w:val="17"/>
          <w:szCs w:val="17"/>
          <w:color w:val="auto"/>
        </w:rPr>
        <w:t xml:space="preserve">Should any of these events occur, they could have a material adverse effect on our business, financial condition, results of operations, and prospects. </w:t>
      </w:r>
      <w:r>
        <w:rPr>
          <w:rFonts w:ascii="Arial" w:cs="Arial" w:eastAsia="Arial" w:hAnsi="Arial"/>
          <w:sz w:val="17"/>
          <w:szCs w:val="17"/>
          <w:b w:val="1"/>
          <w:bCs w:val="1"/>
          <w:color w:val="auto"/>
        </w:rPr>
        <w:t>Risks related to regulatory and other legal compliance matters</w:t>
      </w:r>
    </w:p>
    <w:p>
      <w:pPr>
        <w:spacing w:after="0" w:line="1" w:lineRule="exact"/>
        <w:rPr>
          <w:sz w:val="20"/>
          <w:szCs w:val="20"/>
          <w:color w:val="auto"/>
        </w:rPr>
      </w:pPr>
    </w:p>
    <w:p>
      <w:pPr>
        <w:jc w:val="both"/>
        <w:ind w:right="160"/>
        <w:spacing w:after="0" w:line="25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76"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1" w:name="page72"/>
    <w:bookmarkEnd w:id="71"/>
    <w:p>
      <w:pPr>
        <w:ind w:right="40"/>
        <w:spacing w:after="0" w:line="299" w:lineRule="auto"/>
        <w:rPr>
          <w:sz w:val="20"/>
          <w:szCs w:val="20"/>
          <w:color w:val="auto"/>
        </w:rPr>
      </w:pPr>
      <w:r>
        <w:rPr>
          <w:rFonts w:ascii="Arial" w:cs="Arial" w:eastAsia="Arial" w:hAnsi="Arial"/>
          <w:sz w:val="15"/>
          <w:szCs w:val="15"/>
          <w:color w:val="auto"/>
        </w:rPr>
        <w:t>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6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63"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60"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The withdrawal of the U.K. from the EU occurred on January 31, 2020, which is commonly known as “Brexit.” A “transition period” through December 31, 2020 has been established to allow the United Kingdom and EU to negotiate the terms of the United Kingdom’s withdrawal from the EU.</w:t>
      </w:r>
    </w:p>
    <w:p>
      <w:pPr>
        <w:spacing w:after="0" w:line="3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Since the regulatory framework for pharmaceutical products in the U.K.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U.K.. In the first instance, a separate U.K. authorization from any centralized authorization for the EU would need to be applied before the end of any agreed transition period. In the immediately foreseeable future, the process is likely to remain very similar to that applicable in the EU, albeit that the processes for applications will be separate. Longer term, the U.K. is likely to develop its own legislation that diverges from that in the EU.</w:t>
      </w:r>
    </w:p>
    <w:p>
      <w:pPr>
        <w:spacing w:after="0" w:line="83"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b w:val="1"/>
          <w:bCs w:val="1"/>
          <w:i w:val="1"/>
          <w:iCs w:val="1"/>
          <w:color w:val="auto"/>
        </w:rPr>
        <w:t>Even if we, or any collaborators we may have, obtain marketing approvals for any product candidates we develop,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EMA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79" w:lineRule="exact"/>
        <w:rPr>
          <w:sz w:val="20"/>
          <w:szCs w:val="20"/>
          <w:color w:val="auto"/>
        </w:rPr>
      </w:pPr>
    </w:p>
    <w:p>
      <w:pPr>
        <w:ind w:right="860"/>
        <w:spacing w:after="0" w:line="275" w:lineRule="auto"/>
        <w:rPr>
          <w:sz w:val="20"/>
          <w:szCs w:val="20"/>
          <w:color w:val="auto"/>
        </w:rPr>
      </w:pPr>
      <w:r>
        <w:rPr>
          <w:rFonts w:ascii="Arial" w:cs="Arial" w:eastAsia="Arial" w:hAnsi="Arial"/>
          <w:sz w:val="17"/>
          <w:szCs w:val="17"/>
          <w:color w:val="auto"/>
        </w:rPr>
        <w:t>Accordingly, assuming we, or any collaborators we may have, receive marketing approval for one or more product candidates we develop, we, and such collaborators, and our and their contract manufacturers will continue to expend time, money, and effort in 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2" w:name="page73"/>
    <w:bookmarkEnd w:id="72"/>
    <w:p>
      <w:pPr>
        <w:ind w:right="20"/>
        <w:spacing w:after="0" w:line="257" w:lineRule="auto"/>
        <w:rPr>
          <w:sz w:val="20"/>
          <w:szCs w:val="20"/>
          <w:color w:val="auto"/>
        </w:rPr>
      </w:pPr>
      <w:r>
        <w:rPr>
          <w:rFonts w:ascii="Arial" w:cs="Arial" w:eastAsia="Arial" w:hAnsi="Arial"/>
          <w:sz w:val="17"/>
          <w:szCs w:val="17"/>
          <w:color w:val="auto"/>
        </w:rPr>
        <w:t>areas of regulatory compliance, including manufacturing, production, product surveillance, and quality control. If we and such collaborators are not able to comply with post-approval regulatory requirements, we and such collaborators could be subject to enforcement actions or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FDA, the EMA, and other regulatory agencies closely regulate the post-approval marketing and promotion of medicines to ensure that they are marketed only for the approved indications and in accordance with the provisions of the approved labeling. The FDA, the EMA and other regulatory agencies impose stringent restrictions on manufacturers’ communications regarding off-label use, and if we market our medicines for off-label use, we may be subject to enforcement action for off-label marketing by the FDA and other federal and state enforcement agencies, including the Department of Justice.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addition, later discovery of previously unknown problems with our medicines, manufacturers, or manufacturing processes, or failure to comply with regulatory requirements, may yield various negative consequences, including:</w:t>
      </w:r>
    </w:p>
    <w:p>
      <w:pPr>
        <w:spacing w:after="0" w:line="165" w:lineRule="exact"/>
        <w:rPr>
          <w:sz w:val="20"/>
          <w:szCs w:val="20"/>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on such medicines, manufacturers, or manufacturing processes;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on the labeling or marketing of a medicine;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on the distribution or use of a medicine;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requirements to conduct post-marketing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receipt of warning or untitled letters;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withdrawal of the medicines from the market;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recall of medicines;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on future procurements with governmental authorities;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suspension of any ongoing clinical trials;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refusal to permit the import or export of our medicines;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product seizure;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73" w:lineRule="exact"/>
        <w:rPr>
          <w:sz w:val="20"/>
          <w:szCs w:val="20"/>
          <w:color w:val="auto"/>
        </w:rPr>
      </w:pPr>
    </w:p>
    <w:p>
      <w:pPr>
        <w:jc w:val="both"/>
        <w:ind w:right="160"/>
        <w:spacing w:after="0" w:line="263" w:lineRule="auto"/>
        <w:rPr>
          <w:sz w:val="20"/>
          <w:szCs w:val="20"/>
          <w:color w:val="auto"/>
        </w:rPr>
      </w:pPr>
      <w:r>
        <w:rPr>
          <w:rFonts w:ascii="Arial" w:cs="Arial" w:eastAsia="Arial" w:hAnsi="Arial"/>
          <w:sz w:val="17"/>
          <w:szCs w:val="17"/>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40"/>
          </w:cols>
          <w:pgMar w:left="320" w:top="434" w:right="439" w:bottom="1440" w:gutter="0" w:footer="0" w:header="0"/>
        </w:sectPr>
      </w:pPr>
    </w:p>
    <w:bookmarkStart w:id="73" w:name="page74"/>
    <w:bookmarkEnd w:id="73"/>
    <w:p>
      <w:pPr>
        <w:ind w:right="60"/>
        <w:spacing w:after="0" w:line="257"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180" w:lineRule="exact"/>
        <w:rPr>
          <w:sz w:val="20"/>
          <w:szCs w:val="20"/>
          <w:color w:val="auto"/>
        </w:rPr>
      </w:pPr>
    </w:p>
    <w:p>
      <w:pPr>
        <w:ind w:left="740" w:right="420" w:hanging="367"/>
        <w:spacing w:after="0" w:line="263"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175" w:lineRule="exact"/>
        <w:rPr>
          <w:rFonts w:ascii="Arial" w:cs="Arial" w:eastAsia="Arial" w:hAnsi="Arial"/>
          <w:sz w:val="17"/>
          <w:szCs w:val="17"/>
          <w:color w:val="auto"/>
        </w:rPr>
      </w:pPr>
    </w:p>
    <w:p>
      <w:pPr>
        <w:ind w:left="740" w:right="620" w:hanging="367"/>
        <w:spacing w:after="0" w:line="263"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175" w:lineRule="exact"/>
        <w:rPr>
          <w:rFonts w:ascii="Arial" w:cs="Arial" w:eastAsia="Arial" w:hAnsi="Arial"/>
          <w:sz w:val="17"/>
          <w:szCs w:val="17"/>
          <w:color w:val="auto"/>
        </w:rPr>
      </w:pPr>
    </w:p>
    <w:p>
      <w:pPr>
        <w:jc w:val="both"/>
        <w:ind w:left="740" w:right="320" w:hanging="367"/>
        <w:spacing w:after="0" w:line="263"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175" w:lineRule="exact"/>
        <w:rPr>
          <w:rFonts w:ascii="Arial" w:cs="Arial" w:eastAsia="Arial" w:hAnsi="Arial"/>
          <w:sz w:val="17"/>
          <w:szCs w:val="17"/>
          <w:color w:val="auto"/>
        </w:rPr>
      </w:pPr>
    </w:p>
    <w:p>
      <w:pPr>
        <w:ind w:left="740" w:right="420" w:hanging="367"/>
        <w:spacing w:after="0" w:line="275"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165" w:lineRule="exact"/>
        <w:rPr>
          <w:rFonts w:ascii="Arial" w:cs="Arial" w:eastAsia="Arial" w:hAnsi="Arial"/>
          <w:sz w:val="17"/>
          <w:szCs w:val="17"/>
          <w:color w:val="auto"/>
        </w:rPr>
      </w:pPr>
    </w:p>
    <w:p>
      <w:pPr>
        <w:ind w:left="740" w:right="460" w:hanging="367"/>
        <w:spacing w:after="0" w:line="344" w:lineRule="auto"/>
        <w:tabs>
          <w:tab w:leader="none" w:pos="7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18" w:lineRule="exact"/>
        <w:rPr>
          <w:rFonts w:ascii="Arial" w:cs="Arial" w:eastAsia="Arial" w:hAnsi="Arial"/>
          <w:sz w:val="15"/>
          <w:szCs w:val="15"/>
          <w:color w:val="auto"/>
        </w:rPr>
      </w:pPr>
    </w:p>
    <w:p>
      <w:pPr>
        <w:ind w:left="740" w:right="140" w:hanging="367"/>
        <w:spacing w:after="0" w:line="259"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 and</w:t>
      </w:r>
    </w:p>
    <w:p>
      <w:pPr>
        <w:spacing w:after="0" w:line="178" w:lineRule="exact"/>
        <w:rPr>
          <w:rFonts w:ascii="Arial" w:cs="Arial" w:eastAsia="Arial" w:hAnsi="Arial"/>
          <w:sz w:val="17"/>
          <w:szCs w:val="17"/>
          <w:color w:val="auto"/>
        </w:rPr>
      </w:pPr>
    </w:p>
    <w:p>
      <w:pPr>
        <w:ind w:left="740" w:right="120" w:hanging="367"/>
        <w:spacing w:after="0" w:line="275"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65"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73"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5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5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4" w:name="page75"/>
    <w:bookmarkEnd w:id="74"/>
    <w:p>
      <w:pPr>
        <w:ind w:right="100"/>
        <w:spacing w:after="0" w:line="294" w:lineRule="auto"/>
        <w:rPr>
          <w:sz w:val="20"/>
          <w:szCs w:val="20"/>
          <w:color w:val="auto"/>
        </w:rPr>
      </w:pPr>
      <w:r>
        <w:rPr>
          <w:rFonts w:ascii="Arial" w:cs="Arial" w:eastAsia="Arial" w:hAnsi="Arial"/>
          <w:sz w:val="15"/>
          <w:szCs w:val="15"/>
          <w:color w:val="auto"/>
        </w:rPr>
        <w:t>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54"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b w:val="1"/>
          <w:bCs w:val="1"/>
          <w:i w:val="1"/>
          <w:iCs w:val="1"/>
          <w:color w:val="auto"/>
        </w:rPr>
        <w:t>Healthcare and other reform legislation may increase the difficulty and cost for us and any collaborators we may have to obtain marketing approval of and commercialize any product candidates we may develop and affect the prices we, or they, may obtain.</w:t>
      </w:r>
    </w:p>
    <w:p>
      <w:pPr>
        <w:spacing w:after="0" w:line="6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50"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Within the United States, the federal government and individual states have aggressively pursued healthcare reform, as evidenced by the passing of the Healthcare Reform Act and the ongoing efforts to modify or repeal that legislation. The Healthcare Reform Act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Trump Administration and additional modifications or repeal may occur. For example, tax reform legislation was enacted at the end of 2017 that eliminates the tax penalty established under the Healthcare Reform Act for individuals who do not maintain mandated health insurance coverage beginning in 2019. The Healthcare Reform Act has also been subject to judicial challenge. In December 2018, a federal district court, in a challenge brought by a number of state attorneys general, found the Healthcare Reform Act unconstitutional in its entirety because, once Congress repealed the individual mandate provision, there was no longer a basis to rely on Congressional taxing authority to support enactment of the law. In December 2019, a federal appeals court agreed that the individual mandate was unconstitutional but remanded the case back to the district court to assess more carefully whether any provisions of the Healthcare Reform Act were severable and could survive. In March 2020, the Supreme Court agreed to hear the case. Pending resolution of the litigation, the Healthcare Reform Act is still operational in all respects. There are, and may continue to be, judicial challenges. We cannot predict the ultimate content, timing or effect of any changes to the Healthcare Reform Act or other federal and state reform efforts. There is no assurance that federal or state health care reform will not adversely affect our future business and financial results, and we cannot predict how future federal or state legislative, judicial or administrative changes relating to healthcare reform will affect our business.</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Federal and state governments have shown significant interest in implementing cost-containment programs to limit the growth of government-paid healthcare costs, including price controls, waivers from Medicaid drug rebate law requirements, restrictions on reimbursement and requirements for substitution of generic products for branded prescription drugs. The private sector has also sought to control healthcare costs by limiting coverage or reimbursement or requiring discounts and rebates on products. 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could significantly decrease the available coverage and the price we might establish for our potential products, which would have an adverse effect on our net revenues and operating results.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for biological products will be changed, or what the impact of such changes on the marketing approvals of our product candidates, if any, may be. In addition, increased scrutiny by the U.S. Congress of the FDA’s approval and decision-making processes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5" w:name="page76"/>
    <w:bookmarkEnd w:id="75"/>
    <w:p>
      <w:pPr>
        <w:ind w:right="480"/>
        <w:spacing w:after="0" w:line="308" w:lineRule="auto"/>
        <w:rPr>
          <w:sz w:val="20"/>
          <w:szCs w:val="20"/>
          <w:color w:val="auto"/>
        </w:rPr>
      </w:pPr>
      <w:r>
        <w:rPr>
          <w:rFonts w:ascii="Arial" w:cs="Arial" w:eastAsia="Arial" w:hAnsi="Arial"/>
          <w:sz w:val="16"/>
          <w:szCs w:val="16"/>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6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8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63"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5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FDA’s standards for granting orphan drug exclusivity in the gene therapy context are unclear and evolving.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drug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55" w:lineRule="exact"/>
        <w:rPr>
          <w:sz w:val="20"/>
          <w:szCs w:val="20"/>
          <w:color w:val="auto"/>
        </w:rPr>
      </w:pPr>
    </w:p>
    <w:p>
      <w:pPr>
        <w:ind w:right="720"/>
        <w:spacing w:after="0" w:line="275"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6" w:name="page77"/>
    <w:bookmarkEnd w:id="76"/>
    <w:p>
      <w:pPr>
        <w:ind w:right="480"/>
        <w:spacing w:after="0" w:line="263" w:lineRule="auto"/>
        <w:rPr>
          <w:sz w:val="20"/>
          <w:szCs w:val="20"/>
          <w:color w:val="auto"/>
        </w:rPr>
      </w:pPr>
      <w:r>
        <w:rPr>
          <w:rFonts w:ascii="Arial" w:cs="Arial" w:eastAsia="Arial" w:hAnsi="Arial"/>
          <w:sz w:val="17"/>
          <w:szCs w:val="17"/>
          <w:color w:val="auto"/>
        </w:rPr>
        <w:t>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pacing w:after="0" w:line="73"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On January 28, 2020, the FDA issued a draft guidance document describing its current thinking on when a gene therapy product is the “same” as another product for purposes of orphan exclusivity. Under the Draft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There remains significant ambiguity and uncertainty under FDA’s draft guidance, and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54"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69"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39" w:lineRule="exact"/>
        <w:rPr>
          <w:sz w:val="20"/>
          <w:szCs w:val="20"/>
          <w:color w:val="auto"/>
        </w:rPr>
      </w:pPr>
    </w:p>
    <w:p>
      <w:pPr>
        <w:jc w:val="both"/>
        <w:ind w:right="100"/>
        <w:spacing w:after="0" w:line="344" w:lineRule="auto"/>
        <w:rPr>
          <w:sz w:val="20"/>
          <w:szCs w:val="20"/>
          <w:color w:val="auto"/>
        </w:rPr>
      </w:pPr>
      <w:r>
        <w:rPr>
          <w:rFonts w:ascii="Arial" w:cs="Arial" w:eastAsia="Arial" w:hAnsi="Arial"/>
          <w:sz w:val="15"/>
          <w:szCs w:val="15"/>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5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77" w:name="page78"/>
    <w:bookmarkEnd w:id="77"/>
    <w:p>
      <w:pPr>
        <w:spacing w:after="0" w:line="273" w:lineRule="auto"/>
        <w:rPr>
          <w:sz w:val="20"/>
          <w:szCs w:val="20"/>
          <w:color w:val="auto"/>
        </w:rPr>
      </w:pPr>
      <w:r>
        <w:rPr>
          <w:rFonts w:ascii="Arial" w:cs="Arial" w:eastAsia="Arial" w:hAnsi="Arial"/>
          <w:sz w:val="16"/>
          <w:szCs w:val="16"/>
          <w:color w:val="auto"/>
        </w:rPr>
        <w:t>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68"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and EU.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79"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5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The U.S. Department of Health and Human Services, of HHS, has the discretion to impose penalties without attempting to resolve violations through informal means.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70"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In the EU, we are subject to the General Data Protection Regulation, or GDPR, which went into effect in May 2018 and which imposes new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 The GDPR places restrictions on the cross-border transfer of personal data from the EU to countries that have not been found by the European Commission to offer adequate data protection legislation, such as the United States. In July 2020, the Court of Justice of the European Union (“CJEU”) invalidated the EU-U.S. Privacy Shield framework (“Privacy Shield”), one of the mechanisms used to legitimize the transfer of personal data from the EU to the U.S. The CJEU decision also drew into question the long-term viability of an alternative means of data transfer, the standard contractual clauses, for transfers of personal data from the EU to the U.S. While we were not self-certified under the Privacy Shield, this CJEU decision may lead to increased scrutiny on data transfers from the EU to the U.S. generally and increase our costs of compliance with data privacy legislation.</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8" w:name="page79"/>
    <w:bookmarkEnd w:id="78"/>
    <w:p>
      <w:pPr>
        <w:ind w:right="60"/>
        <w:spacing w:after="0" w:line="304" w:lineRule="auto"/>
        <w:rPr>
          <w:sz w:val="20"/>
          <w:szCs w:val="20"/>
          <w:color w:val="auto"/>
        </w:rPr>
      </w:pPr>
      <w:r>
        <w:rPr>
          <w:rFonts w:ascii="Arial" w:cs="Arial" w:eastAsia="Arial" w:hAnsi="Arial"/>
          <w:sz w:val="15"/>
          <w:szCs w:val="15"/>
          <w:color w:val="auto"/>
        </w:rPr>
        <w:t>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w:t>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While we continue to address the implications of the recent changes to EU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EU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information technology</w:t>
      </w:r>
    </w:p>
    <w:p>
      <w:pPr>
        <w:spacing w:after="0" w:line="115"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b w:val="1"/>
          <w:bCs w:val="1"/>
          <w:i w:val="1"/>
          <w:iCs w:val="1"/>
          <w:color w:val="auto"/>
        </w:rPr>
        <w:t>Our future success depends on our ability to retain our Chief Executive Officer, Chief Scientific Officer and other key executives and to attract, retain, and motivate qualified personnel.</w:t>
      </w:r>
    </w:p>
    <w:p>
      <w:pPr>
        <w:spacing w:after="0" w:line="63"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We are highly dependent on John Evans, our Chief Executive Officer, and Dr. Giuseppe Ciaramella, our President and Chief Scientific Officer, as well as the other principal members of our management and scientific teams. Mr. Evans, Dr. Ciaramella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6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8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connection with the growth and advancement of our pipeline and becoming a public company, we expect to increase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Further, in connection with our collaboration and license agreement with Prime Medicine, we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79" w:name="page80"/>
    <w:bookmarkEnd w:id="79"/>
    <w:p>
      <w:pPr>
        <w:ind w:right="160"/>
        <w:spacing w:after="0" w:line="257" w:lineRule="auto"/>
        <w:rPr>
          <w:sz w:val="20"/>
          <w:szCs w:val="20"/>
          <w:color w:val="auto"/>
        </w:rPr>
      </w:pPr>
      <w:r>
        <w:rPr>
          <w:rFonts w:ascii="Arial" w:cs="Arial" w:eastAsia="Arial" w:hAnsi="Arial"/>
          <w:sz w:val="17"/>
          <w:szCs w:val="17"/>
          <w:color w:val="auto"/>
        </w:rPr>
        <w:t>are obligated to provide management services to Prime Medicine for up to one year, which could distract our management team from their responsibilities to our own company.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5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proprietary information or other disruptions. For example, the loss of clinical trial data from future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15"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b w:val="1"/>
          <w:bCs w:val="1"/>
          <w:i w:val="1"/>
          <w:iCs w:val="1"/>
          <w:color w:val="auto"/>
        </w:rPr>
        <w:t>The market price of our common stock may be volatile and fluctuate substantially, which could result in substantially losses for purchasers of our common stock and subject us to securities class action litigation.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is likely to be highly volatile and may fluctuate substantially due to many factors, including:</w:t>
      </w:r>
    </w:p>
    <w:p>
      <w:pPr>
        <w:spacing w:after="0" w:line="213" w:lineRule="exact"/>
        <w:rPr>
          <w:sz w:val="20"/>
          <w:szCs w:val="20"/>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 of existing or new competitive product candidates or technologies;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timing and results of preclinical studies for any product candidates that we may develop;</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failure or discontinuation of any of our product development and research programs;</w:t>
      </w:r>
    </w:p>
    <w:p>
      <w:pPr>
        <w:spacing w:after="0" w:line="213" w:lineRule="exact"/>
        <w:rPr>
          <w:rFonts w:ascii="Arial" w:cs="Arial" w:eastAsia="Arial" w:hAnsi="Arial"/>
          <w:sz w:val="17"/>
          <w:szCs w:val="17"/>
          <w:color w:val="auto"/>
        </w:rPr>
      </w:pPr>
    </w:p>
    <w:p>
      <w:pPr>
        <w:ind w:left="740" w:right="420" w:hanging="367"/>
        <w:spacing w:after="0" w:line="275"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results of preclinical studies, clinical trials, or regulatory approvals of product candidates of our competitors, or announcements about new research programs or product candidates of our competitors;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changing views regarding the use of genetic medicines, including those that involve gene editing;</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commencement or termination of collaborations for our product development and research programs;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programs, clinical development programs, or product candidates that we may develop;</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efforts to develop additional product candidates or products;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00"/>
          </w:cols>
          <w:pgMar w:left="320" w:top="434" w:right="379" w:bottom="1440" w:gutter="0" w:footer="0" w:header="0"/>
        </w:sectPr>
      </w:pPr>
    </w:p>
    <w:bookmarkStart w:id="80" w:name="page81"/>
    <w:bookmarkEnd w:id="80"/>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sales of our common stock by us, our insiders or other stockholders;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expiration of market stand-off or lock-up agreement;</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estimates or recommendations by securities analysts, if any, that cover our stock;</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13"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Securities litigation could result in substantial costs and divert management’s attention and resources from our business.</w:t>
      </w:r>
    </w:p>
    <w:p>
      <w:pPr>
        <w:spacing w:after="0" w:line="11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directors, executive officers and affiliates have significant voting power and may take actions that are not in the best interests of our other stockholders.</w:t>
      </w:r>
    </w:p>
    <w:p>
      <w:pPr>
        <w:spacing w:after="0" w:line="134"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As of June 30, 2020, our directors and executive officers and their affiliates beneficially owned shares representing approximately 31.9%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6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will require annual management assessment of the effectiveness of our internal control over financial reporting. While we outsourced our finance and accounting personnel until the end of 2018, we have added additional finance and accounting personnel with certain skill sets that we need as a public company.</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 and make it more difficult for us to effectively market and sell our service to new and existing customers.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81" w:name="page82"/>
    <w:bookmarkEnd w:id="81"/>
    <w:p>
      <w:pPr>
        <w:ind w:right="20"/>
        <w:spacing w:after="0" w:line="275"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our Annual Report on Form 10-K for the year ended December 31, 2019,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52"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We are also a “smaller reporting company” as defined in Regulation S-K.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68"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6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As a public company, and particularly after we are no longer an “emerging growth company,” we have incurred and expect to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have added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Annual Report on Form 10-K for the year ended December 31, 2020.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82" w:name="page83"/>
    <w:bookmarkEnd w:id="82"/>
    <w:p>
      <w:pPr>
        <w:jc w:val="both"/>
        <w:ind w:right="80"/>
        <w:spacing w:after="0" w:line="287" w:lineRule="auto"/>
        <w:rPr>
          <w:sz w:val="20"/>
          <w:szCs w:val="20"/>
          <w:color w:val="auto"/>
        </w:rPr>
      </w:pPr>
      <w:r>
        <w:rPr>
          <w:rFonts w:ascii="Arial" w:cs="Arial" w:eastAsia="Arial" w:hAnsi="Arial"/>
          <w:sz w:val="16"/>
          <w:szCs w:val="16"/>
          <w:color w:val="auto"/>
        </w:rPr>
        <w:t>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5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6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7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158" w:lineRule="exact"/>
        <w:rPr>
          <w:sz w:val="20"/>
          <w:szCs w:val="20"/>
          <w:color w:val="auto"/>
        </w:rPr>
      </w:pPr>
    </w:p>
    <w:p>
      <w:pPr>
        <w:ind w:left="740" w:right="700" w:hanging="367"/>
        <w:spacing w:after="0" w:line="275"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authorize “blank check” preferred stock, which could be issued by our board of directors without stockholder approval and may contain voting, liquidation, dividend and other rights superior to our common stock;</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create a classified board of directors whose members serve staggered three-year terms;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prohibit stockholder action by written consent;</w:t>
      </w:r>
    </w:p>
    <w:p>
      <w:pPr>
        <w:spacing w:after="0" w:line="213" w:lineRule="exact"/>
        <w:rPr>
          <w:rFonts w:ascii="Arial" w:cs="Arial" w:eastAsia="Arial" w:hAnsi="Arial"/>
          <w:sz w:val="17"/>
          <w:szCs w:val="17"/>
          <w:color w:val="auto"/>
        </w:rPr>
      </w:pPr>
    </w:p>
    <w:p>
      <w:pPr>
        <w:ind w:left="740" w:right="640" w:hanging="367"/>
        <w:spacing w:after="0" w:line="275"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65"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w:t>
      </w:r>
    </w:p>
    <w:p>
      <w:pPr>
        <w:spacing w:after="0" w:line="213" w:lineRule="exact"/>
        <w:rPr>
          <w:rFonts w:ascii="Arial" w:cs="Arial" w:eastAsia="Arial" w:hAnsi="Arial"/>
          <w:sz w:val="17"/>
          <w:szCs w:val="17"/>
          <w:color w:val="auto"/>
        </w:rPr>
      </w:pPr>
    </w:p>
    <w:p>
      <w:pPr>
        <w:ind w:left="740" w:hanging="367"/>
        <w:spacing w:after="0"/>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expressly authorized our board of directors to make, alter, amend or repeal our amended and restated by-laws; and</w:t>
      </w:r>
    </w:p>
    <w:p>
      <w:pPr>
        <w:spacing w:after="0" w:line="213" w:lineRule="exact"/>
        <w:rPr>
          <w:rFonts w:ascii="Arial" w:cs="Arial" w:eastAsia="Arial" w:hAnsi="Arial"/>
          <w:sz w:val="17"/>
          <w:szCs w:val="17"/>
          <w:color w:val="auto"/>
        </w:rPr>
      </w:pPr>
    </w:p>
    <w:p>
      <w:pPr>
        <w:ind w:left="740" w:right="220" w:hanging="367"/>
        <w:spacing w:after="0" w:line="275"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require supermajority votes of the holders of our common stock to amend specified provisions of our amended and restated certificate of incorporation and amended and restated by-laws.</w:t>
      </w:r>
    </w:p>
    <w:p>
      <w:pPr>
        <w:spacing w:after="0" w:line="165" w:lineRule="exact"/>
        <w:rPr>
          <w:sz w:val="20"/>
          <w:szCs w:val="20"/>
          <w:color w:val="auto"/>
        </w:rPr>
      </w:pPr>
    </w:p>
    <w:p>
      <w:pPr>
        <w:ind w:right="320"/>
        <w:spacing w:after="0" w:line="308"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20"/>
          </w:cols>
          <w:pgMar w:left="320" w:top="434" w:right="359" w:bottom="1440" w:gutter="0" w:footer="0" w:header="0"/>
        </w:sectPr>
      </w:pPr>
    </w:p>
    <w:bookmarkStart w:id="83" w:name="page84"/>
    <w:bookmarkEnd w:id="83"/>
    <w:p>
      <w:pPr>
        <w:ind w:right="20"/>
        <w:spacing w:after="0" w:line="263"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any action to interpret, apply, enforce or determine the validity of our amended and restated certificate of incorporation or our amended and restated by-laws or (5) any other action asserting a claim against us that is governed by the internal affairs doctrine.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and amended and restated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or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Uses of Proceeds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15"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On July 21, 2020, pursuant to the Bio Palette License Agreement, we issued 175,000 shares of our common stock to Bio Palette in satisfaction of certain milestone payment obligations pursuant to the Bio Palette License Agreement. We relied on the exemption from the registration requirements of the Securities Act under Section 4(a)(2) thereof, for a transaction by an issuer not involving any public offering.</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registered securities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February 10, 2020, we closed our IPO in which we issued and sold 12,176,471 shares of our common stock, including 1,588,235 shares of common stock sold pursuant to the underwriters’ full exercise of their option to purchase additional shares, at a public offering price of $17.00 per share, for aggregate gross proceeds of $207.0 million. All of the shares issued and sold in the IPO were registered under the Securities Act pursuant to a Registration Statement on Form S-1 (File No. 333-233985), which was declared effective by the SEC on February 5, 2020, and a Registration Statement on Form S-1 MEF (File No. 333-236284) filed pursuant to Rule 462(b) of the Securities Act. J.P. Morgan Securities LLC, Jeffries LLC, and Barclays Capital Inc. acted as joint bookrunning managers of the IPO and as representatives of the underwriters. Wedbush Securities Inc. acted as the lead manager for the IPO. The offering commenced on February 5, 2020 and did not terminate until the sale of all the shares offered.</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net offering proceeds to us, after deducting underwriting discounts and estimated offering expenses payable by us of $18.7 million, were $188.3 million. No offering expenses were paid directly or indirectly to any of our directors or officers (or their associates) or persons owning 10.0% or more of any class of our equity securities or to any other affiliates. We are holding a significant portion of the balance of the net proceeds from the offering in money market funds and short-term investments. There has been no material change in our planned use of the net proceeds from our IPO described in our final prospectus, dated February 5, 2020, filed with the SEC pursuant to Rule 424(b) relating to our Registration Statement on Form S-1.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5581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Item 6.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10"/>
          </w:tcPr>
          <w:p>
            <w:pPr>
              <w:ind w:left="240"/>
              <w:spacing w:after="0"/>
              <w:rPr>
                <w:sz w:val="20"/>
                <w:szCs w:val="20"/>
                <w:color w:val="auto"/>
              </w:rPr>
            </w:pPr>
            <w:r>
              <w:rPr>
                <w:rFonts w:ascii="Arial" w:cs="Arial" w:eastAsia="Arial" w:hAnsi="Arial"/>
                <w:sz w:val="14"/>
                <w:szCs w:val="14"/>
                <w:b w:val="1"/>
                <w:bCs w:val="1"/>
                <w:color w:val="auto"/>
              </w:rPr>
              <w:t>Description of Exhibit</w:t>
            </w:r>
          </w:p>
        </w:tc>
      </w:tr>
      <w:tr>
        <w:trPr>
          <w:trHeight w:val="274"/>
        </w:trPr>
        <w:tc>
          <w:tcPr>
            <w:tcW w:w="1020" w:type="dxa"/>
            <w:vAlign w:val="bottom"/>
            <w:tcBorders>
              <w:top w:val="single" w:sz="8" w:color="auto"/>
            </w:tcBorders>
          </w:tcPr>
          <w:p>
            <w:pPr>
              <w:jc w:val="right"/>
              <w:ind w:right="597"/>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23"/>
                <w:szCs w:val="23"/>
                <w:color w:val="auto"/>
              </w:rPr>
            </w:pPr>
          </w:p>
        </w:tc>
        <w:tc>
          <w:tcPr>
            <w:tcW w:w="4400" w:type="dxa"/>
            <w:vAlign w:val="bottom"/>
            <w:tcBorders>
              <w:top w:val="single" w:sz="8" w:color="auto"/>
            </w:tcBorders>
            <w:gridSpan w:val="12"/>
          </w:tcPr>
          <w:p>
            <w:pPr>
              <w:spacing w:after="0"/>
              <w:rPr>
                <w:rFonts w:ascii="Arial" w:cs="Arial" w:eastAsia="Arial" w:hAnsi="Arial"/>
                <w:sz w:val="17"/>
                <w:szCs w:val="17"/>
                <w:color w:val="0000EE"/>
              </w:rPr>
            </w:pPr>
            <w:hyperlink r:id="rId109">
              <w:r>
                <w:rPr>
                  <w:rFonts w:ascii="Arial" w:cs="Arial" w:eastAsia="Arial" w:hAnsi="Arial"/>
                  <w:sz w:val="17"/>
                  <w:szCs w:val="17"/>
                  <w:color w:val="0000EE"/>
                </w:rPr>
                <w:t>Fourth Amended Certificate of Incorporation of Beam</w:t>
              </w:r>
            </w:hyperlink>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00" w:type="dxa"/>
            <w:vAlign w:val="bottom"/>
            <w:tcBorders>
              <w:top w:val="single" w:sz="8" w:color="0000EE"/>
            </w:tcBorders>
            <w:gridSpan w:val="6"/>
          </w:tcPr>
          <w:p>
            <w:pPr>
              <w:spacing w:after="0" w:line="185" w:lineRule="exact"/>
              <w:rPr>
                <w:rFonts w:ascii="Arial" w:cs="Arial" w:eastAsia="Arial" w:hAnsi="Arial"/>
                <w:sz w:val="17"/>
                <w:szCs w:val="17"/>
                <w:color w:val="0000EE"/>
              </w:rPr>
            </w:pPr>
            <w:hyperlink r:id="rId109">
              <w:r>
                <w:rPr>
                  <w:rFonts w:ascii="Arial" w:cs="Arial" w:eastAsia="Arial" w:hAnsi="Arial"/>
                  <w:sz w:val="17"/>
                  <w:szCs w:val="17"/>
                  <w:color w:val="0000EE"/>
                </w:rPr>
                <w:t>Therapeutics Inc.</w:t>
              </w:r>
            </w:hyperlink>
          </w:p>
        </w:tc>
        <w:tc>
          <w:tcPr>
            <w:tcW w:w="700" w:type="dxa"/>
            <w:vAlign w:val="bottom"/>
            <w:gridSpan w:val="6"/>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7"/>
        </w:trPr>
        <w:tc>
          <w:tcPr>
            <w:tcW w:w="1020" w:type="dxa"/>
            <w:vAlign w:val="bottom"/>
          </w:tcPr>
          <w:p>
            <w:pPr>
              <w:jc w:val="right"/>
              <w:ind w:right="597"/>
              <w:spacing w:after="0"/>
              <w:rPr>
                <w:sz w:val="20"/>
                <w:szCs w:val="20"/>
                <w:color w:val="auto"/>
              </w:rPr>
            </w:pPr>
            <w:r>
              <w:rPr>
                <w:rFonts w:ascii="Arial" w:cs="Arial" w:eastAsia="Arial" w:hAnsi="Arial"/>
                <w:sz w:val="17"/>
                <w:szCs w:val="17"/>
                <w:color w:val="auto"/>
              </w:rPr>
              <w:t>3.2</w:t>
            </w:r>
          </w:p>
        </w:tc>
        <w:tc>
          <w:tcPr>
            <w:tcW w:w="320" w:type="dxa"/>
            <w:vAlign w:val="bottom"/>
          </w:tcPr>
          <w:p>
            <w:pPr>
              <w:spacing w:after="0"/>
              <w:rPr>
                <w:sz w:val="24"/>
                <w:szCs w:val="24"/>
                <w:color w:val="auto"/>
              </w:rPr>
            </w:pPr>
          </w:p>
        </w:tc>
        <w:tc>
          <w:tcPr>
            <w:tcW w:w="4400" w:type="dxa"/>
            <w:vAlign w:val="bottom"/>
            <w:gridSpan w:val="12"/>
          </w:tcPr>
          <w:p>
            <w:pPr>
              <w:spacing w:after="0"/>
              <w:rPr>
                <w:rFonts w:ascii="Arial" w:cs="Arial" w:eastAsia="Arial" w:hAnsi="Arial"/>
                <w:sz w:val="17"/>
                <w:szCs w:val="17"/>
                <w:u w:val="single" w:color="auto"/>
                <w:color w:val="0000EE"/>
                <w:w w:val="98"/>
              </w:rPr>
            </w:pPr>
            <w:hyperlink r:id="rId110">
              <w:r>
                <w:rPr>
                  <w:rFonts w:ascii="Arial" w:cs="Arial" w:eastAsia="Arial" w:hAnsi="Arial"/>
                  <w:sz w:val="17"/>
                  <w:szCs w:val="17"/>
                  <w:u w:val="single" w:color="auto"/>
                  <w:color w:val="0000EE"/>
                  <w:w w:val="98"/>
                </w:rPr>
                <w:t>Amended and Restated By-laws of Beam Therapeutics Inc.</w:t>
              </w:r>
            </w:hyperlink>
          </w:p>
        </w:tc>
      </w:tr>
      <w:tr>
        <w:trPr>
          <w:trHeight w:val="282"/>
        </w:trPr>
        <w:tc>
          <w:tcPr>
            <w:tcW w:w="1020" w:type="dxa"/>
            <w:vAlign w:val="bottom"/>
          </w:tcPr>
          <w:p>
            <w:pPr>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24"/>
                <w:szCs w:val="24"/>
                <w:color w:val="auto"/>
              </w:rPr>
            </w:pPr>
          </w:p>
        </w:tc>
        <w:tc>
          <w:tcPr>
            <w:tcW w:w="4400" w:type="dxa"/>
            <w:vAlign w:val="bottom"/>
            <w:gridSpan w:val="12"/>
          </w:tcPr>
          <w:p>
            <w:pPr>
              <w:spacing w:after="0"/>
              <w:rPr>
                <w:rFonts w:ascii="Arial" w:cs="Arial" w:eastAsia="Arial" w:hAnsi="Arial"/>
                <w:sz w:val="17"/>
                <w:szCs w:val="17"/>
                <w:color w:val="0000EE"/>
                <w:w w:val="94"/>
              </w:rPr>
            </w:pPr>
            <w:hyperlink w:anchor="page87">
              <w:r>
                <w:rPr>
                  <w:rFonts w:ascii="Arial" w:cs="Arial" w:eastAsia="Arial" w:hAnsi="Arial"/>
                  <w:sz w:val="17"/>
                  <w:szCs w:val="17"/>
                  <w:color w:val="0000EE"/>
                  <w:w w:val="94"/>
                </w:rPr>
                <w:t>Lease Agreement between Beam Therapeutics Inc. and ARE-</w:t>
              </w:r>
            </w:hyperlink>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0" w:type="dxa"/>
            <w:vAlign w:val="bottom"/>
            <w:tcBorders>
              <w:top w:val="single" w:sz="8" w:color="0000EE"/>
            </w:tcBorders>
            <w:gridSpan w:val="9"/>
          </w:tcPr>
          <w:p>
            <w:pPr>
              <w:spacing w:after="0" w:line="185" w:lineRule="exact"/>
              <w:rPr>
                <w:rFonts w:ascii="Arial" w:cs="Arial" w:eastAsia="Arial" w:hAnsi="Arial"/>
                <w:sz w:val="17"/>
                <w:szCs w:val="17"/>
                <w:color w:val="0000EE"/>
              </w:rPr>
            </w:pPr>
            <w:hyperlink w:anchor="page87">
              <w:r>
                <w:rPr>
                  <w:rFonts w:ascii="Arial" w:cs="Arial" w:eastAsia="Arial" w:hAnsi="Arial"/>
                  <w:sz w:val="17"/>
                  <w:szCs w:val="17"/>
                  <w:color w:val="0000EE"/>
                </w:rPr>
                <w:t>NC Region No. 14, LLC</w:t>
              </w:r>
            </w:hyperlink>
          </w:p>
        </w:tc>
        <w:tc>
          <w:tcPr>
            <w:tcW w:w="200" w:type="dxa"/>
            <w:vAlign w:val="bottom"/>
            <w:gridSpan w:val="3"/>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9"/>
        </w:trPr>
        <w:tc>
          <w:tcPr>
            <w:tcW w:w="1020" w:type="dxa"/>
            <w:vAlign w:val="bottom"/>
          </w:tcPr>
          <w:p>
            <w:pPr>
              <w:jc w:val="right"/>
              <w:ind w:right="597"/>
              <w:spacing w:after="0"/>
              <w:rPr>
                <w:sz w:val="20"/>
                <w:szCs w:val="20"/>
                <w:color w:val="auto"/>
              </w:rPr>
            </w:pPr>
            <w:r>
              <w:rPr>
                <w:rFonts w:ascii="Arial" w:cs="Arial" w:eastAsia="Arial" w:hAnsi="Arial"/>
                <w:sz w:val="17"/>
                <w:szCs w:val="17"/>
                <w:color w:val="auto"/>
                <w:w w:val="96"/>
              </w:rPr>
              <w:t>31.1</w:t>
            </w:r>
          </w:p>
        </w:tc>
        <w:tc>
          <w:tcPr>
            <w:tcW w:w="320" w:type="dxa"/>
            <w:vAlign w:val="bottom"/>
          </w:tcPr>
          <w:p>
            <w:pPr>
              <w:spacing w:after="0"/>
              <w:rPr>
                <w:sz w:val="24"/>
                <w:szCs w:val="24"/>
                <w:color w:val="auto"/>
              </w:rPr>
            </w:pPr>
          </w:p>
        </w:tc>
        <w:tc>
          <w:tcPr>
            <w:tcW w:w="4400" w:type="dxa"/>
            <w:vAlign w:val="bottom"/>
            <w:gridSpan w:val="12"/>
          </w:tcPr>
          <w:p>
            <w:pPr>
              <w:spacing w:after="0"/>
              <w:rPr>
                <w:rFonts w:ascii="Arial" w:cs="Arial" w:eastAsia="Arial" w:hAnsi="Arial"/>
                <w:sz w:val="17"/>
                <w:szCs w:val="17"/>
                <w:color w:val="0000EE"/>
                <w:w w:val="96"/>
              </w:rPr>
            </w:pPr>
            <w:hyperlink w:anchor="page133">
              <w:r>
                <w:rPr>
                  <w:rFonts w:ascii="Arial" w:cs="Arial" w:eastAsia="Arial" w:hAnsi="Arial"/>
                  <w:sz w:val="17"/>
                  <w:szCs w:val="17"/>
                  <w:color w:val="0000EE"/>
                  <w:w w:val="96"/>
                </w:rPr>
                <w:t>Certification of Principal Executive Officer Pursuant to Rules</w:t>
              </w:r>
            </w:hyperlink>
          </w:p>
        </w:tc>
      </w:tr>
      <w:tr>
        <w:trPr>
          <w:trHeight w:val="20"/>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gridSpan w:val="12"/>
          </w:tcPr>
          <w:p>
            <w:pPr>
              <w:spacing w:after="0" w:line="185" w:lineRule="exact"/>
              <w:rPr>
                <w:rFonts w:ascii="Arial" w:cs="Arial" w:eastAsia="Arial" w:hAnsi="Arial"/>
                <w:sz w:val="17"/>
                <w:szCs w:val="17"/>
                <w:color w:val="0000EE"/>
                <w:w w:val="93"/>
              </w:rPr>
            </w:pPr>
            <w:hyperlink w:anchor="page133">
              <w:r>
                <w:rPr>
                  <w:rFonts w:ascii="Arial" w:cs="Arial" w:eastAsia="Arial" w:hAnsi="Arial"/>
                  <w:sz w:val="17"/>
                  <w:szCs w:val="17"/>
                  <w:color w:val="0000EE"/>
                  <w:w w:val="93"/>
                </w:rPr>
                <w:t>13a-14(a) and 15d-14(a) under the Securities Exchange Act of</w:t>
              </w:r>
            </w:hyperlink>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20" w:type="dxa"/>
            <w:vAlign w:val="bottom"/>
            <w:tcBorders>
              <w:top w:val="single" w:sz="8" w:color="0000EE"/>
              <w:bottom w:val="single" w:sz="8" w:color="0000EE"/>
            </w:tcBorders>
            <w:gridSpan w:val="8"/>
          </w:tcPr>
          <w:p>
            <w:pPr>
              <w:spacing w:after="0" w:line="185" w:lineRule="exact"/>
              <w:rPr>
                <w:rFonts w:ascii="Arial" w:cs="Arial" w:eastAsia="Arial" w:hAnsi="Arial"/>
                <w:sz w:val="17"/>
                <w:szCs w:val="17"/>
                <w:color w:val="0000EE"/>
                <w:w w:val="88"/>
              </w:rPr>
            </w:pPr>
            <w:hyperlink w:anchor="page133">
              <w:r>
                <w:rPr>
                  <w:rFonts w:ascii="Arial" w:cs="Arial" w:eastAsia="Arial" w:hAnsi="Arial"/>
                  <w:sz w:val="17"/>
                  <w:szCs w:val="17"/>
                  <w:color w:val="0000EE"/>
                  <w:w w:val="88"/>
                </w:rPr>
                <w:t>1934, as Adopted Pursuant to Section 302 of the Sarbanes-</w:t>
              </w:r>
            </w:hyperlink>
          </w:p>
        </w:tc>
        <w:tc>
          <w:tcPr>
            <w:tcW w:w="220" w:type="dxa"/>
            <w:vAlign w:val="bottom"/>
            <w:tcBorders>
              <w:top w:val="single" w:sz="8" w:color="0000EE"/>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Borders>
              <w:bottom w:val="single" w:sz="8" w:color="0000EE"/>
            </w:tcBorders>
            <w:gridSpan w:val="2"/>
          </w:tcPr>
          <w:p>
            <w:pPr>
              <w:spacing w:after="0" w:line="185" w:lineRule="exact"/>
              <w:rPr>
                <w:rFonts w:ascii="Arial" w:cs="Arial" w:eastAsia="Arial" w:hAnsi="Arial"/>
                <w:sz w:val="17"/>
                <w:szCs w:val="17"/>
                <w:color w:val="0000EE"/>
                <w:w w:val="93"/>
              </w:rPr>
            </w:pPr>
            <w:hyperlink w:anchor="page133">
              <w:r>
                <w:rPr>
                  <w:rFonts w:ascii="Arial" w:cs="Arial" w:eastAsia="Arial" w:hAnsi="Arial"/>
                  <w:sz w:val="17"/>
                  <w:szCs w:val="17"/>
                  <w:color w:val="0000EE"/>
                  <w:w w:val="93"/>
                </w:rPr>
                <w:t>Oxley Act of 2002.</w:t>
              </w:r>
            </w:hyperlink>
          </w:p>
        </w:tc>
        <w:tc>
          <w:tcPr>
            <w:tcW w:w="3080" w:type="dxa"/>
            <w:vAlign w:val="bottom"/>
            <w:gridSpan w:val="10"/>
          </w:tcPr>
          <w:p>
            <w:pPr>
              <w:spacing w:after="0"/>
              <w:rPr>
                <w:sz w:val="16"/>
                <w:szCs w:val="16"/>
                <w:color w:val="auto"/>
              </w:rPr>
            </w:pPr>
          </w:p>
        </w:tc>
      </w:tr>
      <w:tr>
        <w:trPr>
          <w:trHeight w:val="299"/>
        </w:trPr>
        <w:tc>
          <w:tcPr>
            <w:tcW w:w="1020" w:type="dxa"/>
            <w:vAlign w:val="bottom"/>
          </w:tcPr>
          <w:p>
            <w:pPr>
              <w:jc w:val="right"/>
              <w:ind w:right="597"/>
              <w:spacing w:after="0"/>
              <w:rPr>
                <w:sz w:val="20"/>
                <w:szCs w:val="20"/>
                <w:color w:val="auto"/>
              </w:rPr>
            </w:pPr>
            <w:r>
              <w:rPr>
                <w:rFonts w:ascii="Arial" w:cs="Arial" w:eastAsia="Arial" w:hAnsi="Arial"/>
                <w:sz w:val="17"/>
                <w:szCs w:val="17"/>
                <w:color w:val="auto"/>
                <w:w w:val="96"/>
              </w:rPr>
              <w:t>31.2</w:t>
            </w:r>
          </w:p>
        </w:tc>
        <w:tc>
          <w:tcPr>
            <w:tcW w:w="320" w:type="dxa"/>
            <w:vAlign w:val="bottom"/>
          </w:tcPr>
          <w:p>
            <w:pPr>
              <w:spacing w:after="0"/>
              <w:rPr>
                <w:sz w:val="24"/>
                <w:szCs w:val="24"/>
                <w:color w:val="auto"/>
              </w:rPr>
            </w:pPr>
          </w:p>
        </w:tc>
        <w:tc>
          <w:tcPr>
            <w:tcW w:w="4200" w:type="dxa"/>
            <w:vAlign w:val="bottom"/>
            <w:tcBorders>
              <w:bottom w:val="single" w:sz="8" w:color="0000EE"/>
            </w:tcBorders>
            <w:gridSpan w:val="9"/>
          </w:tcPr>
          <w:p>
            <w:pPr>
              <w:spacing w:after="0"/>
              <w:rPr>
                <w:rFonts w:ascii="Arial" w:cs="Arial" w:eastAsia="Arial" w:hAnsi="Arial"/>
                <w:sz w:val="17"/>
                <w:szCs w:val="17"/>
                <w:color w:val="0000EE"/>
                <w:w w:val="93"/>
              </w:rPr>
            </w:pPr>
            <w:hyperlink w:anchor="page134">
              <w:r>
                <w:rPr>
                  <w:rFonts w:ascii="Arial" w:cs="Arial" w:eastAsia="Arial" w:hAnsi="Arial"/>
                  <w:sz w:val="17"/>
                  <w:szCs w:val="17"/>
                  <w:color w:val="0000EE"/>
                  <w:w w:val="93"/>
                </w:rPr>
                <w:t>Certification of Principal Financial Officer Pursuant to Rules</w:t>
              </w:r>
            </w:hyperlink>
          </w:p>
        </w:tc>
        <w:tc>
          <w:tcPr>
            <w:tcW w:w="200" w:type="dxa"/>
            <w:vAlign w:val="bottom"/>
            <w:gridSpan w:val="3"/>
          </w:tcPr>
          <w:p>
            <w:pPr>
              <w:spacing w:after="0"/>
              <w:rPr>
                <w:sz w:val="24"/>
                <w:szCs w:val="24"/>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gridSpan w:val="12"/>
          </w:tcPr>
          <w:p>
            <w:pPr>
              <w:spacing w:after="0" w:line="185" w:lineRule="exact"/>
              <w:rPr>
                <w:rFonts w:ascii="Arial" w:cs="Arial" w:eastAsia="Arial" w:hAnsi="Arial"/>
                <w:sz w:val="17"/>
                <w:szCs w:val="17"/>
                <w:color w:val="0000EE"/>
                <w:w w:val="93"/>
              </w:rPr>
            </w:pPr>
            <w:hyperlink w:anchor="page134">
              <w:r>
                <w:rPr>
                  <w:rFonts w:ascii="Arial" w:cs="Arial" w:eastAsia="Arial" w:hAnsi="Arial"/>
                  <w:sz w:val="17"/>
                  <w:szCs w:val="17"/>
                  <w:color w:val="0000EE"/>
                  <w:w w:val="93"/>
                </w:rPr>
                <w:t>13a-14(a) and 15d-14(a) under the Securities Exchange Act of</w:t>
              </w:r>
            </w:hyperlink>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20" w:type="dxa"/>
            <w:vAlign w:val="bottom"/>
            <w:tcBorders>
              <w:top w:val="single" w:sz="8" w:color="0000EE"/>
              <w:bottom w:val="single" w:sz="8" w:color="0000EE"/>
            </w:tcBorders>
            <w:gridSpan w:val="8"/>
          </w:tcPr>
          <w:p>
            <w:pPr>
              <w:spacing w:after="0" w:line="185" w:lineRule="exact"/>
              <w:rPr>
                <w:rFonts w:ascii="Arial" w:cs="Arial" w:eastAsia="Arial" w:hAnsi="Arial"/>
                <w:sz w:val="17"/>
                <w:szCs w:val="17"/>
                <w:color w:val="0000EE"/>
                <w:w w:val="88"/>
              </w:rPr>
            </w:pPr>
            <w:hyperlink w:anchor="page134">
              <w:r>
                <w:rPr>
                  <w:rFonts w:ascii="Arial" w:cs="Arial" w:eastAsia="Arial" w:hAnsi="Arial"/>
                  <w:sz w:val="17"/>
                  <w:szCs w:val="17"/>
                  <w:color w:val="0000EE"/>
                  <w:w w:val="88"/>
                </w:rPr>
                <w:t>1934, as Adopted Pursuant to Section 302 of the Sarbanes-</w:t>
              </w:r>
            </w:hyperlink>
          </w:p>
        </w:tc>
        <w:tc>
          <w:tcPr>
            <w:tcW w:w="220" w:type="dxa"/>
            <w:vAlign w:val="bottom"/>
            <w:tcBorders>
              <w:top w:val="single" w:sz="8" w:color="0000EE"/>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Borders>
              <w:bottom w:val="single" w:sz="8" w:color="0000EE"/>
            </w:tcBorders>
            <w:gridSpan w:val="2"/>
          </w:tcPr>
          <w:p>
            <w:pPr>
              <w:spacing w:after="0" w:line="185" w:lineRule="exact"/>
              <w:rPr>
                <w:rFonts w:ascii="Arial" w:cs="Arial" w:eastAsia="Arial" w:hAnsi="Arial"/>
                <w:sz w:val="17"/>
                <w:szCs w:val="17"/>
                <w:color w:val="0000EE"/>
                <w:w w:val="93"/>
              </w:rPr>
            </w:pPr>
            <w:hyperlink w:anchor="page134">
              <w:r>
                <w:rPr>
                  <w:rFonts w:ascii="Arial" w:cs="Arial" w:eastAsia="Arial" w:hAnsi="Arial"/>
                  <w:sz w:val="17"/>
                  <w:szCs w:val="17"/>
                  <w:color w:val="0000EE"/>
                  <w:w w:val="93"/>
                </w:rPr>
                <w:t>Oxley Act of 2002.</w:t>
              </w:r>
            </w:hyperlink>
          </w:p>
        </w:tc>
        <w:tc>
          <w:tcPr>
            <w:tcW w:w="3080" w:type="dxa"/>
            <w:vAlign w:val="bottom"/>
            <w:gridSpan w:val="10"/>
          </w:tcPr>
          <w:p>
            <w:pPr>
              <w:spacing w:after="0"/>
              <w:rPr>
                <w:sz w:val="16"/>
                <w:szCs w:val="16"/>
                <w:color w:val="auto"/>
              </w:rPr>
            </w:pPr>
          </w:p>
        </w:tc>
      </w:tr>
      <w:tr>
        <w:trPr>
          <w:trHeight w:val="299"/>
        </w:trPr>
        <w:tc>
          <w:tcPr>
            <w:tcW w:w="1020" w:type="dxa"/>
            <w:vAlign w:val="bottom"/>
          </w:tcPr>
          <w:p>
            <w:pPr>
              <w:jc w:val="right"/>
              <w:ind w:right="597"/>
              <w:spacing w:after="0"/>
              <w:rPr>
                <w:sz w:val="20"/>
                <w:szCs w:val="20"/>
                <w:color w:val="auto"/>
              </w:rPr>
            </w:pPr>
            <w:r>
              <w:rPr>
                <w:rFonts w:ascii="Arial" w:cs="Arial" w:eastAsia="Arial" w:hAnsi="Arial"/>
                <w:sz w:val="17"/>
                <w:szCs w:val="17"/>
                <w:color w:val="auto"/>
                <w:w w:val="96"/>
              </w:rPr>
              <w:t>32.1</w:t>
            </w:r>
          </w:p>
        </w:tc>
        <w:tc>
          <w:tcPr>
            <w:tcW w:w="320" w:type="dxa"/>
            <w:vAlign w:val="bottom"/>
          </w:tcPr>
          <w:p>
            <w:pPr>
              <w:spacing w:after="0"/>
              <w:rPr>
                <w:sz w:val="24"/>
                <w:szCs w:val="24"/>
                <w:color w:val="auto"/>
              </w:rPr>
            </w:pPr>
          </w:p>
        </w:tc>
        <w:tc>
          <w:tcPr>
            <w:tcW w:w="4400" w:type="dxa"/>
            <w:vAlign w:val="bottom"/>
            <w:gridSpan w:val="12"/>
          </w:tcPr>
          <w:p>
            <w:pPr>
              <w:spacing w:after="0"/>
              <w:rPr>
                <w:rFonts w:ascii="Arial" w:cs="Arial" w:eastAsia="Arial" w:hAnsi="Arial"/>
                <w:sz w:val="17"/>
                <w:szCs w:val="17"/>
                <w:color w:val="0000EE"/>
              </w:rPr>
            </w:pPr>
            <w:hyperlink w:anchor="page135">
              <w:r>
                <w:rPr>
                  <w:rFonts w:ascii="Arial" w:cs="Arial" w:eastAsia="Arial" w:hAnsi="Arial"/>
                  <w:sz w:val="17"/>
                  <w:szCs w:val="17"/>
                  <w:color w:val="0000EE"/>
                </w:rPr>
                <w:t>Certification of Principal Executive Officer Pursuant to 18</w:t>
              </w:r>
            </w:hyperlink>
          </w:p>
        </w:tc>
      </w:tr>
      <w:tr>
        <w:trPr>
          <w:trHeight w:val="20"/>
        </w:trPr>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Borders>
              <w:bottom w:val="single" w:sz="8" w:color="0000EE"/>
            </w:tcBorders>
            <w:gridSpan w:val="11"/>
          </w:tcPr>
          <w:p>
            <w:pPr>
              <w:spacing w:after="0" w:line="185" w:lineRule="exact"/>
              <w:rPr>
                <w:rFonts w:ascii="Arial" w:cs="Arial" w:eastAsia="Arial" w:hAnsi="Arial"/>
                <w:sz w:val="17"/>
                <w:szCs w:val="17"/>
                <w:color w:val="0000EE"/>
                <w:w w:val="89"/>
              </w:rPr>
            </w:pPr>
            <w:hyperlink w:anchor="page135">
              <w:r>
                <w:rPr>
                  <w:rFonts w:ascii="Arial" w:cs="Arial" w:eastAsia="Arial" w:hAnsi="Arial"/>
                  <w:sz w:val="17"/>
                  <w:szCs w:val="17"/>
                  <w:color w:val="0000EE"/>
                  <w:w w:val="89"/>
                </w:rPr>
                <w:t>U.S.C. Section 1350, as Adopted Pursuant to Section 906 of the</w:t>
              </w:r>
            </w:hyperlink>
          </w:p>
        </w:tc>
        <w:tc>
          <w:tcPr>
            <w:tcW w:w="40" w:type="dxa"/>
            <w:vAlign w:val="bottom"/>
          </w:tcPr>
          <w:p>
            <w:pPr>
              <w:spacing w:after="0"/>
              <w:rPr>
                <w:sz w:val="16"/>
                <w:szCs w:val="16"/>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tcBorders>
              <w:bottom w:val="single" w:sz="8" w:color="0000EE"/>
            </w:tcBorders>
            <w:gridSpan w:val="5"/>
          </w:tcPr>
          <w:p>
            <w:pPr>
              <w:spacing w:after="0" w:line="185" w:lineRule="exact"/>
              <w:rPr>
                <w:rFonts w:ascii="Arial" w:cs="Arial" w:eastAsia="Arial" w:hAnsi="Arial"/>
                <w:sz w:val="17"/>
                <w:szCs w:val="17"/>
                <w:color w:val="0000EE"/>
                <w:w w:val="91"/>
              </w:rPr>
            </w:pPr>
            <w:hyperlink w:anchor="page135">
              <w:r>
                <w:rPr>
                  <w:rFonts w:ascii="Arial" w:cs="Arial" w:eastAsia="Arial" w:hAnsi="Arial"/>
                  <w:sz w:val="17"/>
                  <w:szCs w:val="17"/>
                  <w:color w:val="0000EE"/>
                  <w:w w:val="91"/>
                </w:rPr>
                <w:t>Sarbanes-Oxley Act of 2002.</w:t>
              </w:r>
            </w:hyperlink>
          </w:p>
        </w:tc>
        <w:tc>
          <w:tcPr>
            <w:tcW w:w="2400" w:type="dxa"/>
            <w:vAlign w:val="bottom"/>
            <w:gridSpan w:val="7"/>
          </w:tcPr>
          <w:p>
            <w:pPr>
              <w:spacing w:after="0"/>
              <w:rPr>
                <w:sz w:val="16"/>
                <w:szCs w:val="16"/>
                <w:color w:val="auto"/>
              </w:rPr>
            </w:pPr>
          </w:p>
        </w:tc>
      </w:tr>
      <w:tr>
        <w:trPr>
          <w:trHeight w:val="299"/>
        </w:trPr>
        <w:tc>
          <w:tcPr>
            <w:tcW w:w="1020" w:type="dxa"/>
            <w:vAlign w:val="bottom"/>
          </w:tcPr>
          <w:p>
            <w:pPr>
              <w:jc w:val="right"/>
              <w:ind w:right="597"/>
              <w:spacing w:after="0"/>
              <w:rPr>
                <w:sz w:val="20"/>
                <w:szCs w:val="20"/>
                <w:color w:val="auto"/>
              </w:rPr>
            </w:pPr>
            <w:r>
              <w:rPr>
                <w:rFonts w:ascii="Arial" w:cs="Arial" w:eastAsia="Arial" w:hAnsi="Arial"/>
                <w:sz w:val="17"/>
                <w:szCs w:val="17"/>
                <w:color w:val="auto"/>
                <w:w w:val="96"/>
              </w:rPr>
              <w:t>32.2</w:t>
            </w:r>
          </w:p>
        </w:tc>
        <w:tc>
          <w:tcPr>
            <w:tcW w:w="320" w:type="dxa"/>
            <w:vAlign w:val="bottom"/>
          </w:tcPr>
          <w:p>
            <w:pPr>
              <w:spacing w:after="0"/>
              <w:rPr>
                <w:sz w:val="24"/>
                <w:szCs w:val="24"/>
                <w:color w:val="auto"/>
              </w:rPr>
            </w:pPr>
          </w:p>
        </w:tc>
        <w:tc>
          <w:tcPr>
            <w:tcW w:w="398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136">
              <w:r>
                <w:rPr>
                  <w:rFonts w:ascii="Arial" w:cs="Arial" w:eastAsia="Arial" w:hAnsi="Arial"/>
                  <w:sz w:val="17"/>
                  <w:szCs w:val="17"/>
                  <w:color w:val="0000EE"/>
                  <w:w w:val="93"/>
                </w:rPr>
                <w:t>Certification of Principal Financial Officer Pursuant to 18</w:t>
              </w:r>
            </w:hyperlink>
          </w:p>
        </w:tc>
        <w:tc>
          <w:tcPr>
            <w:tcW w:w="420" w:type="dxa"/>
            <w:vAlign w:val="bottom"/>
            <w:gridSpan w:val="5"/>
          </w:tcPr>
          <w:p>
            <w:pPr>
              <w:spacing w:after="0"/>
              <w:rPr>
                <w:sz w:val="24"/>
                <w:szCs w:val="24"/>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Borders>
              <w:bottom w:val="single" w:sz="8" w:color="0000EE"/>
            </w:tcBorders>
            <w:gridSpan w:val="11"/>
          </w:tcPr>
          <w:p>
            <w:pPr>
              <w:spacing w:after="0" w:line="185" w:lineRule="exact"/>
              <w:rPr>
                <w:rFonts w:ascii="Arial" w:cs="Arial" w:eastAsia="Arial" w:hAnsi="Arial"/>
                <w:sz w:val="17"/>
                <w:szCs w:val="17"/>
                <w:color w:val="0000EE"/>
                <w:w w:val="89"/>
              </w:rPr>
            </w:pPr>
            <w:hyperlink w:anchor="page136">
              <w:r>
                <w:rPr>
                  <w:rFonts w:ascii="Arial" w:cs="Arial" w:eastAsia="Arial" w:hAnsi="Arial"/>
                  <w:sz w:val="17"/>
                  <w:szCs w:val="17"/>
                  <w:color w:val="0000EE"/>
                  <w:w w:val="89"/>
                </w:rPr>
                <w:t>U.S.C. Section 1350, as Adopted Pursuant to Section 906 of the</w:t>
              </w:r>
            </w:hyperlink>
          </w:p>
        </w:tc>
        <w:tc>
          <w:tcPr>
            <w:tcW w:w="40" w:type="dxa"/>
            <w:vAlign w:val="bottom"/>
          </w:tcPr>
          <w:p>
            <w:pPr>
              <w:spacing w:after="0"/>
              <w:rPr>
                <w:sz w:val="16"/>
                <w:szCs w:val="16"/>
                <w:color w:val="auto"/>
              </w:rPr>
            </w:pPr>
          </w:p>
        </w:tc>
      </w:tr>
      <w:tr>
        <w:trPr>
          <w:trHeight w:val="184"/>
        </w:trPr>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0" w:type="dxa"/>
            <w:vAlign w:val="bottom"/>
            <w:gridSpan w:val="12"/>
          </w:tcPr>
          <w:p>
            <w:pPr>
              <w:spacing w:after="0" w:line="185" w:lineRule="exact"/>
              <w:rPr>
                <w:rFonts w:ascii="Arial" w:cs="Arial" w:eastAsia="Arial" w:hAnsi="Arial"/>
                <w:sz w:val="17"/>
                <w:szCs w:val="17"/>
                <w:color w:val="0000EE"/>
              </w:rPr>
            </w:pPr>
            <w:hyperlink w:anchor="page136">
              <w:r>
                <w:rPr>
                  <w:rFonts w:ascii="Arial" w:cs="Arial" w:eastAsia="Arial" w:hAnsi="Arial"/>
                  <w:sz w:val="17"/>
                  <w:szCs w:val="17"/>
                  <w:color w:val="0000EE"/>
                </w:rPr>
                <w:t>Sarbanes-Oxley Act of 2002.</w:t>
              </w:r>
            </w:hyperlink>
          </w:p>
        </w:tc>
      </w:tr>
      <w:tr>
        <w:trPr>
          <w:trHeight w:val="337"/>
        </w:trPr>
        <w:tc>
          <w:tcPr>
            <w:tcW w:w="13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198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auto"/>
              </w:rPr>
              <w:t>XBRL Instance Document</w:t>
            </w:r>
          </w:p>
        </w:tc>
        <w:tc>
          <w:tcPr>
            <w:tcW w:w="2420" w:type="dxa"/>
            <w:vAlign w:val="bottom"/>
            <w:gridSpan w:val="8"/>
          </w:tcPr>
          <w:p>
            <w:pPr>
              <w:spacing w:after="0"/>
              <w:rPr>
                <w:sz w:val="24"/>
                <w:szCs w:val="24"/>
                <w:color w:val="auto"/>
              </w:rPr>
            </w:pPr>
          </w:p>
        </w:tc>
      </w:tr>
      <w:tr>
        <w:trPr>
          <w:trHeight w:val="319"/>
        </w:trPr>
        <w:tc>
          <w:tcPr>
            <w:tcW w:w="1340" w:type="dxa"/>
            <w:vAlign w:val="bottom"/>
            <w:gridSpan w:val="2"/>
          </w:tcPr>
          <w:p>
            <w:pPr>
              <w:spacing w:after="0"/>
              <w:rPr>
                <w:sz w:val="20"/>
                <w:szCs w:val="20"/>
                <w:color w:val="auto"/>
              </w:rPr>
            </w:pPr>
            <w:r>
              <w:rPr>
                <w:rFonts w:ascii="Arial" w:cs="Arial" w:eastAsia="Arial" w:hAnsi="Arial"/>
                <w:sz w:val="17"/>
                <w:szCs w:val="17"/>
                <w:color w:val="auto"/>
              </w:rPr>
              <w:t>101.SCH</w:t>
            </w:r>
          </w:p>
        </w:tc>
        <w:tc>
          <w:tcPr>
            <w:tcW w:w="4400" w:type="dxa"/>
            <w:vAlign w:val="bottom"/>
            <w:gridSpan w:val="12"/>
          </w:tcPr>
          <w:p>
            <w:pPr>
              <w:spacing w:after="0"/>
              <w:rPr>
                <w:sz w:val="20"/>
                <w:szCs w:val="20"/>
                <w:color w:val="auto"/>
              </w:rPr>
            </w:pPr>
            <w:r>
              <w:rPr>
                <w:rFonts w:ascii="Arial" w:cs="Arial" w:eastAsia="Arial" w:hAnsi="Arial"/>
                <w:sz w:val="17"/>
                <w:szCs w:val="17"/>
                <w:color w:val="auto"/>
              </w:rPr>
              <w:t>XBRL Taxonomy Extension Schema Document</w:t>
            </w:r>
          </w:p>
        </w:tc>
      </w:tr>
      <w:tr>
        <w:trPr>
          <w:trHeight w:val="319"/>
        </w:trPr>
        <w:tc>
          <w:tcPr>
            <w:tcW w:w="13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4400" w:type="dxa"/>
            <w:vAlign w:val="bottom"/>
            <w:gridSpan w:val="12"/>
          </w:tcPr>
          <w:p>
            <w:pPr>
              <w:spacing w:after="0"/>
              <w:rPr>
                <w:sz w:val="20"/>
                <w:szCs w:val="20"/>
                <w:color w:val="auto"/>
              </w:rPr>
            </w:pPr>
            <w:r>
              <w:rPr>
                <w:rFonts w:ascii="Arial" w:cs="Arial" w:eastAsia="Arial" w:hAnsi="Arial"/>
                <w:sz w:val="17"/>
                <w:szCs w:val="17"/>
                <w:color w:val="auto"/>
              </w:rPr>
              <w:t>XBRL Taxonomy Calculation Linkbase Document</w:t>
            </w:r>
          </w:p>
        </w:tc>
      </w:tr>
      <w:tr>
        <w:trPr>
          <w:trHeight w:val="319"/>
        </w:trPr>
        <w:tc>
          <w:tcPr>
            <w:tcW w:w="13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4400" w:type="dxa"/>
            <w:vAlign w:val="bottom"/>
            <w:gridSpan w:val="12"/>
          </w:tcPr>
          <w:p>
            <w:pPr>
              <w:spacing w:after="0"/>
              <w:rPr>
                <w:sz w:val="20"/>
                <w:szCs w:val="20"/>
                <w:color w:val="auto"/>
              </w:rPr>
            </w:pPr>
            <w:r>
              <w:rPr>
                <w:rFonts w:ascii="Arial" w:cs="Arial" w:eastAsia="Arial" w:hAnsi="Arial"/>
                <w:sz w:val="17"/>
                <w:szCs w:val="17"/>
                <w:color w:val="auto"/>
                <w:w w:val="99"/>
              </w:rPr>
              <w:t>XBRL Taxonomy Extension Definition Linkbase Document</w:t>
            </w:r>
          </w:p>
        </w:tc>
      </w:tr>
      <w:tr>
        <w:trPr>
          <w:trHeight w:val="319"/>
        </w:trPr>
        <w:tc>
          <w:tcPr>
            <w:tcW w:w="13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4400" w:type="dxa"/>
            <w:vAlign w:val="bottom"/>
            <w:gridSpan w:val="12"/>
          </w:tcPr>
          <w:p>
            <w:pPr>
              <w:spacing w:after="0"/>
              <w:rPr>
                <w:sz w:val="20"/>
                <w:szCs w:val="20"/>
                <w:color w:val="auto"/>
              </w:rPr>
            </w:pPr>
            <w:r>
              <w:rPr>
                <w:rFonts w:ascii="Arial" w:cs="Arial" w:eastAsia="Arial" w:hAnsi="Arial"/>
                <w:sz w:val="17"/>
                <w:szCs w:val="17"/>
                <w:color w:val="auto"/>
              </w:rPr>
              <w:t>XBRL Taxonomy Label Linkbase Document</w:t>
            </w:r>
          </w:p>
        </w:tc>
      </w:tr>
      <w:tr>
        <w:trPr>
          <w:trHeight w:val="319"/>
        </w:trPr>
        <w:tc>
          <w:tcPr>
            <w:tcW w:w="13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4400" w:type="dxa"/>
            <w:vAlign w:val="bottom"/>
            <w:gridSpan w:val="12"/>
          </w:tcPr>
          <w:p>
            <w:pPr>
              <w:spacing w:after="0"/>
              <w:rPr>
                <w:sz w:val="20"/>
                <w:szCs w:val="20"/>
                <w:color w:val="auto"/>
              </w:rPr>
            </w:pPr>
            <w:r>
              <w:rPr>
                <w:rFonts w:ascii="Arial" w:cs="Arial" w:eastAsia="Arial" w:hAnsi="Arial"/>
                <w:sz w:val="17"/>
                <w:szCs w:val="17"/>
                <w:color w:val="auto"/>
              </w:rPr>
              <w:t>XBRL Taxonomy Presentation Linkbase Document</w:t>
            </w:r>
          </w:p>
        </w:tc>
      </w:tr>
      <w:tr>
        <w:trPr>
          <w:trHeight w:val="52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gridSpan w:val="12"/>
          </w:tcPr>
          <w:p>
            <w:pPr>
              <w:ind w:left="4200"/>
              <w:spacing w:after="0"/>
              <w:rPr>
                <w:sz w:val="20"/>
                <w:szCs w:val="20"/>
                <w:color w:val="auto"/>
              </w:rPr>
            </w:pPr>
            <w:r>
              <w:rPr>
                <w:rFonts w:ascii="Arial" w:cs="Arial" w:eastAsia="Arial" w:hAnsi="Arial"/>
                <w:sz w:val="17"/>
                <w:szCs w:val="17"/>
                <w:color w:val="auto"/>
                <w:w w:val="94"/>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15581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If Incorporated by Reference</w:t>
      </w:r>
    </w:p>
    <w:tbl>
      <w:tblPr>
        <w:tblLayout w:type="fixed"/>
        <w:tblInd w:w="0" w:type="dxa"/>
        <w:tblCellMar>
          <w:top w:w="0" w:type="dxa"/>
          <w:left w:w="0" w:type="dxa"/>
          <w:bottom w:w="0" w:type="dxa"/>
          <w:right w:w="0" w:type="dxa"/>
        </w:tblCellMar>
      </w:tblPr>
      <w:tr>
        <w:trPr>
          <w:trHeight w:val="113"/>
        </w:trPr>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center"/>
              <w:ind w:right="140"/>
              <w:spacing w:after="0" w:line="113" w:lineRule="exact"/>
              <w:rPr>
                <w:sz w:val="20"/>
                <w:szCs w:val="20"/>
                <w:color w:val="auto"/>
              </w:rPr>
            </w:pPr>
            <w:r>
              <w:rPr>
                <w:rFonts w:ascii="Arial" w:cs="Arial" w:eastAsia="Arial" w:hAnsi="Arial"/>
                <w:sz w:val="12"/>
                <w:szCs w:val="12"/>
                <w:b w:val="1"/>
                <w:bCs w:val="1"/>
                <w:color w:val="auto"/>
              </w:rPr>
              <w:t>File</w:t>
            </w:r>
          </w:p>
        </w:tc>
        <w:tc>
          <w:tcPr>
            <w:tcW w:w="1380" w:type="dxa"/>
            <w:vAlign w:val="bottom"/>
            <w:tcBorders>
              <w:top w:val="single" w:sz="8" w:color="auto"/>
            </w:tcBorders>
            <w:gridSpan w:val="2"/>
          </w:tcPr>
          <w:p>
            <w:pPr>
              <w:jc w:val="center"/>
              <w:ind w:right="120"/>
              <w:spacing w:after="0" w:line="113" w:lineRule="exact"/>
              <w:rPr>
                <w:sz w:val="20"/>
                <w:szCs w:val="20"/>
                <w:color w:val="auto"/>
              </w:rPr>
            </w:pPr>
            <w:r>
              <w:rPr>
                <w:rFonts w:ascii="Arial" w:cs="Arial" w:eastAsia="Arial" w:hAnsi="Arial"/>
                <w:sz w:val="12"/>
                <w:szCs w:val="12"/>
                <w:b w:val="1"/>
                <w:bCs w:val="1"/>
                <w:color w:val="auto"/>
              </w:rPr>
              <w:t>Date of</w:t>
            </w:r>
          </w:p>
        </w:tc>
        <w:tc>
          <w:tcPr>
            <w:tcW w:w="7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Exhibit</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4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311"/>
        </w:trPr>
        <w:tc>
          <w:tcPr>
            <w:tcW w:w="86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001-39208</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89"/>
              </w:rPr>
              <w:t>02/11/2020</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3.1</w:t>
            </w:r>
          </w:p>
        </w:tc>
      </w:tr>
      <w:tr>
        <w:trPr>
          <w:trHeight w:val="524"/>
        </w:trPr>
        <w:tc>
          <w:tcPr>
            <w:tcW w:w="86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001-39208</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89"/>
              </w:rPr>
              <w:t>02/11/2020</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2"/>
          <w:szCs w:val="12"/>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13970</wp:posOffset>
            </wp:positionV>
            <wp:extent cx="560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X</w:t>
      </w:r>
    </w:p>
    <w:p>
      <w:pPr>
        <w:sectPr>
          <w:pgSz w:w="11900" w:h="16838" w:orient="portrait"/>
          <w:cols w:equalWidth="0" w:num="3">
            <w:col w:w="5740" w:space="140"/>
            <w:col w:w="4340" w:space="320"/>
            <w:col w:w="540"/>
          </w:cols>
          <w:pgMar w:left="320" w:top="532" w:right="49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700" w:type="dxa"/>
            <w:vAlign w:val="bottom"/>
            <w:gridSpan w:val="2"/>
          </w:tcPr>
          <w:p>
            <w:pPr>
              <w:ind w:left="1980"/>
              <w:spacing w:after="0"/>
              <w:rPr>
                <w:sz w:val="20"/>
                <w:szCs w:val="20"/>
                <w:color w:val="auto"/>
              </w:rPr>
            </w:pPr>
            <w:r>
              <w:rPr>
                <w:rFonts w:ascii="Arial" w:cs="Arial" w:eastAsia="Arial" w:hAnsi="Arial"/>
                <w:sz w:val="17"/>
                <w:szCs w:val="17"/>
                <w:color w:val="auto"/>
              </w:rPr>
              <w:t>BEAM THERAPEUTICS INC.</w:t>
            </w:r>
          </w:p>
        </w:tc>
      </w:tr>
      <w:tr>
        <w:trPr>
          <w:trHeight w:val="409"/>
        </w:trPr>
        <w:tc>
          <w:tcPr>
            <w:tcW w:w="3540" w:type="dxa"/>
            <w:vAlign w:val="bottom"/>
          </w:tcPr>
          <w:p>
            <w:pPr>
              <w:spacing w:after="0"/>
              <w:rPr>
                <w:sz w:val="20"/>
                <w:szCs w:val="20"/>
                <w:color w:val="auto"/>
              </w:rPr>
            </w:pPr>
            <w:r>
              <w:rPr>
                <w:rFonts w:ascii="Arial" w:cs="Arial" w:eastAsia="Arial" w:hAnsi="Arial"/>
                <w:sz w:val="17"/>
                <w:szCs w:val="17"/>
                <w:color w:val="auto"/>
              </w:rPr>
              <w:t>Date: August 12, 2020</w:t>
            </w:r>
          </w:p>
        </w:tc>
        <w:tc>
          <w:tcPr>
            <w:tcW w:w="2320" w:type="dxa"/>
            <w:vAlign w:val="bottom"/>
          </w:tcPr>
          <w:p>
            <w:pPr>
              <w:ind w:left="1980"/>
              <w:spacing w:after="0"/>
              <w:rPr>
                <w:sz w:val="20"/>
                <w:szCs w:val="20"/>
                <w:color w:val="auto"/>
              </w:rPr>
            </w:pPr>
            <w:r>
              <w:rPr>
                <w:rFonts w:ascii="Arial" w:cs="Arial" w:eastAsia="Arial" w:hAnsi="Arial"/>
                <w:sz w:val="17"/>
                <w:szCs w:val="17"/>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John Evans</w:t>
            </w:r>
          </w:p>
        </w:tc>
      </w:tr>
      <w:tr>
        <w:trPr>
          <w:trHeight w:val="181"/>
        </w:trPr>
        <w:tc>
          <w:tcPr>
            <w:tcW w:w="3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380" w:type="dxa"/>
            <w:vAlign w:val="bottom"/>
          </w:tcPr>
          <w:p>
            <w:pPr>
              <w:jc w:val="center"/>
              <w:spacing w:after="0" w:line="181" w:lineRule="exact"/>
              <w:rPr>
                <w:sz w:val="20"/>
                <w:szCs w:val="20"/>
                <w:color w:val="auto"/>
              </w:rPr>
            </w:pPr>
            <w:r>
              <w:rPr>
                <w:rFonts w:ascii="Arial" w:cs="Arial" w:eastAsia="Arial" w:hAnsi="Arial"/>
                <w:sz w:val="17"/>
                <w:szCs w:val="17"/>
                <w:b w:val="1"/>
                <w:bCs w:val="1"/>
                <w:color w:val="auto"/>
                <w:w w:val="90"/>
              </w:rPr>
              <w:t>John Evans</w:t>
            </w:r>
          </w:p>
        </w:tc>
      </w:tr>
      <w:tr>
        <w:trPr>
          <w:trHeight w:val="208"/>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7"/>
                <w:szCs w:val="17"/>
                <w:b w:val="1"/>
                <w:bCs w:val="1"/>
                <w:color w:val="auto"/>
                <w:w w:val="91"/>
              </w:rPr>
              <w:t>Chief Executive Officer</w:t>
            </w:r>
          </w:p>
        </w:tc>
      </w:t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7"/>
                <w:szCs w:val="17"/>
                <w:color w:val="auto"/>
                <w:w w:val="93"/>
              </w:rPr>
              <w:t>(Principal executive officer)</w:t>
            </w:r>
          </w:p>
        </w:tc>
      </w:tr>
      <w:tr>
        <w:trPr>
          <w:trHeight w:val="435"/>
        </w:trPr>
        <w:tc>
          <w:tcPr>
            <w:tcW w:w="3540" w:type="dxa"/>
            <w:vAlign w:val="bottom"/>
          </w:tcPr>
          <w:p>
            <w:pPr>
              <w:spacing w:after="0"/>
              <w:rPr>
                <w:sz w:val="20"/>
                <w:szCs w:val="20"/>
                <w:color w:val="auto"/>
              </w:rPr>
            </w:pPr>
            <w:r>
              <w:rPr>
                <w:rFonts w:ascii="Arial" w:cs="Arial" w:eastAsia="Arial" w:hAnsi="Arial"/>
                <w:sz w:val="17"/>
                <w:szCs w:val="17"/>
                <w:color w:val="auto"/>
              </w:rPr>
              <w:t>Date: August 12, 2020</w:t>
            </w:r>
          </w:p>
        </w:tc>
        <w:tc>
          <w:tcPr>
            <w:tcW w:w="2320" w:type="dxa"/>
            <w:vAlign w:val="bottom"/>
          </w:tcPr>
          <w:p>
            <w:pPr>
              <w:ind w:left="1980"/>
              <w:spacing w:after="0"/>
              <w:rPr>
                <w:sz w:val="20"/>
                <w:szCs w:val="20"/>
                <w:color w:val="auto"/>
              </w:rPr>
            </w:pPr>
            <w:r>
              <w:rPr>
                <w:rFonts w:ascii="Arial" w:cs="Arial" w:eastAsia="Arial" w:hAnsi="Arial"/>
                <w:sz w:val="17"/>
                <w:szCs w:val="17"/>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Terry-Ann Burrell</w:t>
            </w:r>
          </w:p>
        </w:tc>
      </w:tr>
      <w:tr>
        <w:trPr>
          <w:trHeight w:val="199"/>
        </w:trPr>
        <w:tc>
          <w:tcPr>
            <w:tcW w:w="3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7"/>
                <w:szCs w:val="17"/>
                <w:b w:val="1"/>
                <w:bCs w:val="1"/>
                <w:color w:val="auto"/>
                <w:w w:val="95"/>
              </w:rPr>
              <w:t>Terry-Ann Burrell</w:t>
            </w:r>
          </w:p>
        </w:tc>
      </w:tr>
    </w:tbl>
    <w:p>
      <w:pPr>
        <w:jc w:val="center"/>
        <w:ind w:left="5840"/>
        <w:spacing w:after="0"/>
        <w:rPr>
          <w:sz w:val="20"/>
          <w:szCs w:val="20"/>
          <w:color w:val="auto"/>
        </w:rPr>
      </w:pPr>
      <w:r>
        <w:rPr>
          <w:rFonts w:ascii="Arial" w:cs="Arial" w:eastAsia="Arial" w:hAnsi="Arial"/>
          <w:sz w:val="17"/>
          <w:szCs w:val="17"/>
          <w:b w:val="1"/>
          <w:bCs w:val="1"/>
          <w:color w:val="auto"/>
        </w:rPr>
        <w:t>Chief Financial Officer and Treasurer</w:t>
      </w:r>
    </w:p>
    <w:p>
      <w:pPr>
        <w:spacing w:after="0" w:line="6" w:lineRule="exact"/>
        <w:rPr>
          <w:sz w:val="20"/>
          <w:szCs w:val="20"/>
          <w:color w:val="auto"/>
        </w:rPr>
      </w:pPr>
    </w:p>
    <w:p>
      <w:pPr>
        <w:jc w:val="center"/>
        <w:ind w:left="5840"/>
        <w:spacing w:after="0"/>
        <w:rPr>
          <w:sz w:val="20"/>
          <w:szCs w:val="20"/>
          <w:color w:val="auto"/>
        </w:rPr>
      </w:pPr>
      <w:r>
        <w:rPr>
          <w:rFonts w:ascii="Arial" w:cs="Arial" w:eastAsia="Arial" w:hAnsi="Arial"/>
          <w:sz w:val="17"/>
          <w:szCs w:val="17"/>
          <w:color w:val="auto"/>
        </w:rPr>
        <w:t>(Principal financial and accounting officer)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328" w:right="339" w:bottom="1440" w:gutter="0" w:footer="0" w:header="0"/>
        </w:sectPr>
      </w:pPr>
    </w:p>
    <w:bookmarkStart w:id="86" w:name="page87"/>
    <w:bookmarkEnd w:id="86"/>
    <w:tbl>
      <w:tblPr>
        <w:tblLayout w:type="fixed"/>
        <w:tblInd w:w="140" w:type="dxa"/>
        <w:tblCellMar>
          <w:top w:w="0" w:type="dxa"/>
          <w:left w:w="0" w:type="dxa"/>
          <w:bottom w:w="0" w:type="dxa"/>
          <w:right w:w="0" w:type="dxa"/>
        </w:tblCellMar>
      </w:tblPr>
      <w:tr>
        <w:trPr>
          <w:trHeight w:val="248"/>
        </w:trPr>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9"/>
                <w:szCs w:val="19"/>
                <w:b w:val="1"/>
                <w:bCs w:val="1"/>
                <w:color w:val="auto"/>
              </w:rPr>
              <w:t>Exhibit 10.1</w:t>
            </w: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12"/>
          </w:tcPr>
          <w:p>
            <w:pPr>
              <w:ind w:left="60"/>
              <w:spacing w:after="0"/>
              <w:rPr>
                <w:sz w:val="20"/>
                <w:szCs w:val="20"/>
                <w:color w:val="auto"/>
              </w:rPr>
            </w:pPr>
            <w:r>
              <w:rPr>
                <w:rFonts w:ascii="Arial" w:cs="Arial" w:eastAsia="Arial" w:hAnsi="Arial"/>
                <w:sz w:val="17"/>
                <w:szCs w:val="17"/>
                <w:b w:val="1"/>
                <w:bCs w:val="1"/>
                <w:color w:val="auto"/>
              </w:rPr>
              <w:t>LEASE AGREEMENT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980" w:type="dxa"/>
            <w:vAlign w:val="bottom"/>
            <w:gridSpan w:val="6"/>
          </w:tcPr>
          <w:p>
            <w:pPr>
              <w:ind w:left="820"/>
              <w:spacing w:after="0"/>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is made this</w:t>
            </w:r>
          </w:p>
        </w:tc>
        <w:tc>
          <w:tcPr>
            <w:tcW w:w="80" w:type="dxa"/>
            <w:vAlign w:val="bottom"/>
            <w:tcBorders>
              <w:bottom w:val="single" w:sz="8" w:color="auto"/>
            </w:tcBorders>
          </w:tcPr>
          <w:p>
            <w:pPr>
              <w:spacing w:after="0"/>
              <w:rPr>
                <w:sz w:val="24"/>
                <w:szCs w:val="24"/>
                <w:color w:val="auto"/>
              </w:rPr>
            </w:pPr>
          </w:p>
        </w:tc>
        <w:tc>
          <w:tcPr>
            <w:tcW w:w="6040" w:type="dxa"/>
            <w:vAlign w:val="bottom"/>
            <w:gridSpan w:val="17"/>
          </w:tcPr>
          <w:p>
            <w:pPr>
              <w:jc w:val="right"/>
              <w:ind w:right="120"/>
              <w:spacing w:after="0"/>
              <w:rPr>
                <w:sz w:val="20"/>
                <w:szCs w:val="20"/>
                <w:color w:val="auto"/>
              </w:rPr>
            </w:pPr>
            <w:r>
              <w:rPr>
                <w:rFonts w:ascii="Arial" w:cs="Arial" w:eastAsia="Arial" w:hAnsi="Arial"/>
                <w:sz w:val="17"/>
                <w:szCs w:val="17"/>
                <w:color w:val="auto"/>
              </w:rPr>
              <w:t xml:space="preserve">day of August, 2020, between  </w:t>
            </w:r>
            <w:r>
              <w:rPr>
                <w:rFonts w:ascii="Arial" w:cs="Arial" w:eastAsia="Arial" w:hAnsi="Arial"/>
                <w:sz w:val="17"/>
                <w:szCs w:val="17"/>
                <w:b w:val="1"/>
                <w:bCs w:val="1"/>
                <w:color w:val="auto"/>
              </w:rPr>
              <w:t>ARE-NC REGION NO. 14, LLC</w:t>
            </w:r>
            <w:r>
              <w:rPr>
                <w:rFonts w:ascii="Arial" w:cs="Arial" w:eastAsia="Arial" w:hAnsi="Arial"/>
                <w:sz w:val="17"/>
                <w:szCs w:val="17"/>
                <w:color w:val="auto"/>
              </w:rPr>
              <w:t>, a Delaware</w:t>
            </w:r>
          </w:p>
        </w:tc>
        <w:tc>
          <w:tcPr>
            <w:tcW w:w="0" w:type="dxa"/>
            <w:vAlign w:val="bottom"/>
          </w:tcPr>
          <w:p>
            <w:pPr>
              <w:spacing w:after="0"/>
              <w:rPr>
                <w:sz w:val="1"/>
                <w:szCs w:val="1"/>
                <w:color w:val="auto"/>
              </w:rPr>
            </w:pPr>
          </w:p>
        </w:tc>
      </w:tr>
      <w:tr>
        <w:trPr>
          <w:trHeight w:val="209"/>
        </w:trPr>
        <w:tc>
          <w:tcPr>
            <w:tcW w:w="4980" w:type="dxa"/>
            <w:vAlign w:val="bottom"/>
            <w:gridSpan w:val="6"/>
          </w:tcPr>
          <w:p>
            <w:pPr>
              <w:spacing w:after="0"/>
              <w:rPr>
                <w:sz w:val="20"/>
                <w:szCs w:val="20"/>
                <w:color w:val="auto"/>
              </w:rPr>
            </w:pPr>
            <w:r>
              <w:rPr>
                <w:rFonts w:ascii="Arial" w:cs="Arial" w:eastAsia="Arial" w:hAnsi="Arial"/>
                <w:sz w:val="17"/>
                <w:szCs w:val="17"/>
                <w:color w:val="auto"/>
                <w:w w:val="97"/>
              </w:rPr>
              <w:t>limited liability company (“</w:t>
            </w:r>
            <w:r>
              <w:rPr>
                <w:rFonts w:ascii="Arial" w:cs="Arial" w:eastAsia="Arial" w:hAnsi="Arial"/>
                <w:sz w:val="17"/>
                <w:szCs w:val="17"/>
                <w:b w:val="1"/>
                <w:bCs w:val="1"/>
                <w:color w:val="auto"/>
                <w:w w:val="97"/>
              </w:rPr>
              <w:t>Landlord</w:t>
            </w:r>
            <w:r>
              <w:rPr>
                <w:rFonts w:ascii="Arial" w:cs="Arial" w:eastAsia="Arial" w:hAnsi="Arial"/>
                <w:sz w:val="17"/>
                <w:szCs w:val="17"/>
                <w:color w:val="auto"/>
                <w:w w:val="97"/>
              </w:rPr>
              <w:t xml:space="preserve">”), and </w:t>
            </w:r>
            <w:r>
              <w:rPr>
                <w:rFonts w:ascii="Arial" w:cs="Arial" w:eastAsia="Arial" w:hAnsi="Arial"/>
                <w:sz w:val="17"/>
                <w:szCs w:val="17"/>
                <w:b w:val="1"/>
                <w:bCs w:val="1"/>
                <w:color w:val="auto"/>
                <w:w w:val="97"/>
              </w:rPr>
              <w:t>BEAM THERAPEUTICS</w:t>
            </w:r>
          </w:p>
        </w:tc>
        <w:tc>
          <w:tcPr>
            <w:tcW w:w="80" w:type="dxa"/>
            <w:vAlign w:val="bottom"/>
          </w:tcPr>
          <w:p>
            <w:pPr>
              <w:spacing w:after="0"/>
              <w:rPr>
                <w:sz w:val="18"/>
                <w:szCs w:val="18"/>
                <w:color w:val="auto"/>
              </w:rPr>
            </w:pPr>
          </w:p>
        </w:tc>
        <w:tc>
          <w:tcPr>
            <w:tcW w:w="3380" w:type="dxa"/>
            <w:vAlign w:val="bottom"/>
            <w:gridSpan w:val="10"/>
          </w:tcPr>
          <w:p>
            <w:pPr>
              <w:ind w:left="80"/>
              <w:spacing w:after="0"/>
              <w:rPr>
                <w:sz w:val="20"/>
                <w:szCs w:val="20"/>
                <w:color w:val="auto"/>
              </w:rPr>
            </w:pPr>
            <w:r>
              <w:rPr>
                <w:rFonts w:ascii="Arial" w:cs="Arial" w:eastAsia="Arial" w:hAnsi="Arial"/>
                <w:sz w:val="17"/>
                <w:szCs w:val="17"/>
                <w:b w:val="1"/>
                <w:bCs w:val="1"/>
                <w:color w:val="auto"/>
              </w:rPr>
              <w:t>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2100" w:type="dxa"/>
            <w:vAlign w:val="bottom"/>
          </w:tcPr>
          <w:p>
            <w:pPr>
              <w:spacing w:after="0"/>
              <w:rPr>
                <w:sz w:val="20"/>
                <w:szCs w:val="20"/>
                <w:color w:val="auto"/>
              </w:rPr>
            </w:pPr>
            <w:r>
              <w:rPr>
                <w:rFonts w:ascii="Arial" w:cs="Arial" w:eastAsia="Arial" w:hAnsi="Arial"/>
                <w:sz w:val="17"/>
                <w:szCs w:val="17"/>
                <w:b w:val="1"/>
                <w:bCs w:val="1"/>
                <w:color w:val="auto"/>
              </w:rPr>
              <w:t>Building:</w:t>
            </w:r>
          </w:p>
        </w:tc>
        <w:tc>
          <w:tcPr>
            <w:tcW w:w="9000" w:type="dxa"/>
            <w:vAlign w:val="bottom"/>
            <w:gridSpan w:val="23"/>
          </w:tcPr>
          <w:p>
            <w:pPr>
              <w:spacing w:after="0"/>
              <w:rPr>
                <w:sz w:val="20"/>
                <w:szCs w:val="20"/>
                <w:color w:val="auto"/>
              </w:rPr>
            </w:pPr>
            <w:r>
              <w:rPr>
                <w:rFonts w:ascii="Arial" w:cs="Arial" w:eastAsia="Arial" w:hAnsi="Arial"/>
                <w:sz w:val="17"/>
                <w:szCs w:val="17"/>
                <w:color w:val="auto"/>
              </w:rPr>
              <w:t>That certain to-be-constructed 1-story building with Mezzanine Space (as defined in Section 43(u)) to be known as 10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tcPr>
          <w:p>
            <w:pPr>
              <w:spacing w:after="0"/>
              <w:rPr>
                <w:sz w:val="15"/>
                <w:szCs w:val="15"/>
                <w:color w:val="auto"/>
              </w:rPr>
            </w:pPr>
          </w:p>
        </w:tc>
        <w:tc>
          <w:tcPr>
            <w:tcW w:w="9000" w:type="dxa"/>
            <w:vAlign w:val="bottom"/>
            <w:gridSpan w:val="23"/>
          </w:tcPr>
          <w:p>
            <w:pPr>
              <w:spacing w:after="0" w:line="176" w:lineRule="exact"/>
              <w:rPr>
                <w:sz w:val="20"/>
                <w:szCs w:val="20"/>
                <w:color w:val="auto"/>
              </w:rPr>
            </w:pPr>
            <w:r>
              <w:rPr>
                <w:rFonts w:ascii="Arial" w:cs="Arial" w:eastAsia="Arial" w:hAnsi="Arial"/>
                <w:sz w:val="17"/>
                <w:szCs w:val="17"/>
                <w:color w:val="auto"/>
              </w:rPr>
              <w:t xml:space="preserve">Davis Drive, Research Triangle Park, North Carolina, located on the parcel of land described on </w:t>
            </w:r>
            <w:r>
              <w:rPr>
                <w:rFonts w:ascii="Arial" w:cs="Arial" w:eastAsia="Arial" w:hAnsi="Arial"/>
                <w:sz w:val="17"/>
                <w:szCs w:val="17"/>
                <w:b w:val="1"/>
                <w:bCs w:val="1"/>
                <w:color w:val="auto"/>
              </w:rPr>
              <w:t>Exhibit B-1</w:t>
            </w:r>
            <w:r>
              <w:rPr>
                <w:rFonts w:ascii="Arial" w:cs="Arial" w:eastAsia="Arial" w:hAnsi="Arial"/>
                <w:sz w:val="17"/>
                <w:szCs w:val="17"/>
                <w:color w:val="auto"/>
              </w:rPr>
              <w:t xml:space="preserve"> (the</w:t>
            </w:r>
          </w:p>
        </w:tc>
        <w:tc>
          <w:tcPr>
            <w:tcW w:w="0" w:type="dxa"/>
            <w:vAlign w:val="bottom"/>
          </w:tcPr>
          <w:p>
            <w:pPr>
              <w:spacing w:after="0"/>
              <w:rPr>
                <w:sz w:val="1"/>
                <w:szCs w:val="1"/>
                <w:color w:val="auto"/>
              </w:rPr>
            </w:pPr>
          </w:p>
        </w:tc>
      </w:tr>
      <w:tr>
        <w:trPr>
          <w:trHeight w:val="224"/>
        </w:trPr>
        <w:tc>
          <w:tcPr>
            <w:tcW w:w="2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Property</w:t>
            </w:r>
            <w:r>
              <w:rPr>
                <w:rFonts w:ascii="Arial" w:cs="Arial" w:eastAsia="Arial" w:hAnsi="Arial"/>
                <w:sz w:val="17"/>
                <w:szCs w:val="17"/>
                <w:color w:val="auto"/>
              </w:rPr>
              <w:t>”).</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100" w:type="dxa"/>
            <w:vAlign w:val="bottom"/>
          </w:tcPr>
          <w:p>
            <w:pPr>
              <w:spacing w:after="0"/>
              <w:rPr>
                <w:sz w:val="20"/>
                <w:szCs w:val="20"/>
                <w:color w:val="auto"/>
              </w:rPr>
            </w:pPr>
            <w:r>
              <w:rPr>
                <w:rFonts w:ascii="Arial" w:cs="Arial" w:eastAsia="Arial" w:hAnsi="Arial"/>
                <w:sz w:val="17"/>
                <w:szCs w:val="17"/>
                <w:b w:val="1"/>
                <w:bCs w:val="1"/>
                <w:color w:val="auto"/>
              </w:rPr>
              <w:t>Premises:</w:t>
            </w:r>
          </w:p>
        </w:tc>
        <w:tc>
          <w:tcPr>
            <w:tcW w:w="6340" w:type="dxa"/>
            <w:vAlign w:val="bottom"/>
            <w:gridSpan w:val="16"/>
          </w:tcPr>
          <w:p>
            <w:pPr>
              <w:spacing w:after="0"/>
              <w:rPr>
                <w:sz w:val="20"/>
                <w:szCs w:val="20"/>
                <w:color w:val="auto"/>
              </w:rPr>
            </w:pPr>
            <w:r>
              <w:rPr>
                <w:rFonts w:ascii="Arial" w:cs="Arial" w:eastAsia="Arial" w:hAnsi="Arial"/>
                <w:sz w:val="17"/>
                <w:szCs w:val="17"/>
                <w:color w:val="auto"/>
              </w:rPr>
              <w:t>The entire Building, containing approximately 100,000 rentable square feet, as</w:t>
            </w:r>
          </w:p>
        </w:tc>
        <w:tc>
          <w:tcPr>
            <w:tcW w:w="2660" w:type="dxa"/>
            <w:vAlign w:val="bottom"/>
            <w:gridSpan w:val="7"/>
          </w:tcPr>
          <w:p>
            <w:pPr>
              <w:jc w:val="right"/>
              <w:ind w:right="140"/>
              <w:spacing w:after="0"/>
              <w:rPr>
                <w:sz w:val="20"/>
                <w:szCs w:val="20"/>
                <w:color w:val="auto"/>
              </w:rPr>
            </w:pPr>
            <w:r>
              <w:rPr>
                <w:rFonts w:ascii="Arial" w:cs="Arial" w:eastAsia="Arial" w:hAnsi="Arial"/>
                <w:sz w:val="17"/>
                <w:szCs w:val="17"/>
                <w:color w:val="auto"/>
              </w:rPr>
              <w:t xml:space="preserve">shown on </w:t>
            </w:r>
            <w:r>
              <w:rPr>
                <w:rFonts w:ascii="Arial" w:cs="Arial" w:eastAsia="Arial" w:hAnsi="Arial"/>
                <w:sz w:val="17"/>
                <w:szCs w:val="17"/>
                <w:b w:val="1"/>
                <w:bCs w:val="1"/>
                <w:color w:val="auto"/>
              </w:rPr>
              <w:t>Exhibit A</w:t>
            </w:r>
            <w:r>
              <w:rPr>
                <w:rFonts w:ascii="Arial" w:cs="Arial" w:eastAsia="Arial" w:hAnsi="Arial"/>
                <w:sz w:val="17"/>
                <w:szCs w:val="17"/>
                <w:color w:val="auto"/>
              </w:rPr>
              <w:t>, subject to</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2880" w:type="dxa"/>
            <w:vAlign w:val="bottom"/>
            <w:gridSpan w:val="5"/>
          </w:tcPr>
          <w:p>
            <w:pPr>
              <w:spacing w:after="0" w:line="167" w:lineRule="exact"/>
              <w:rPr>
                <w:sz w:val="20"/>
                <w:szCs w:val="20"/>
                <w:color w:val="auto"/>
              </w:rPr>
            </w:pPr>
            <w:r>
              <w:rPr>
                <w:rFonts w:ascii="Arial" w:cs="Arial" w:eastAsia="Arial" w:hAnsi="Arial"/>
                <w:sz w:val="17"/>
                <w:szCs w:val="17"/>
                <w:color w:val="auto"/>
              </w:rPr>
              <w:t>adjustment pursuant to Section 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7"/>
                <w:szCs w:val="17"/>
                <w:b w:val="1"/>
                <w:bCs w:val="1"/>
                <w:color w:val="auto"/>
              </w:rPr>
              <w:t>Project:</w:t>
            </w:r>
          </w:p>
        </w:tc>
        <w:tc>
          <w:tcPr>
            <w:tcW w:w="4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100" w:type="dxa"/>
            <w:vAlign w:val="bottom"/>
            <w:vMerge w:val="continue"/>
          </w:tcPr>
          <w:p>
            <w:pPr>
              <w:spacing w:after="0"/>
              <w:rPr>
                <w:sz w:val="24"/>
                <w:szCs w:val="24"/>
                <w:color w:val="auto"/>
              </w:rPr>
            </w:pPr>
          </w:p>
        </w:tc>
        <w:tc>
          <w:tcPr>
            <w:tcW w:w="9000" w:type="dxa"/>
            <w:vAlign w:val="bottom"/>
            <w:gridSpan w:val="23"/>
          </w:tcPr>
          <w:p>
            <w:pPr>
              <w:spacing w:after="0"/>
              <w:rPr>
                <w:sz w:val="20"/>
                <w:szCs w:val="20"/>
                <w:color w:val="auto"/>
              </w:rPr>
            </w:pPr>
            <w:r>
              <w:rPr>
                <w:rFonts w:ascii="Arial" w:cs="Arial" w:eastAsia="Arial" w:hAnsi="Arial"/>
                <w:sz w:val="17"/>
                <w:szCs w:val="17"/>
                <w:color w:val="auto"/>
              </w:rPr>
              <w:t>The real property on which the Building in which the Premises are located, as well as those other existing or to-be-</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9000" w:type="dxa"/>
            <w:vAlign w:val="bottom"/>
            <w:gridSpan w:val="23"/>
          </w:tcPr>
          <w:p>
            <w:pPr>
              <w:spacing w:after="0" w:line="192" w:lineRule="exact"/>
              <w:rPr>
                <w:sz w:val="20"/>
                <w:szCs w:val="20"/>
                <w:color w:val="auto"/>
              </w:rPr>
            </w:pPr>
            <w:r>
              <w:rPr>
                <w:rFonts w:ascii="Arial" w:cs="Arial" w:eastAsia="Arial" w:hAnsi="Arial"/>
                <w:sz w:val="17"/>
                <w:szCs w:val="17"/>
                <w:color w:val="auto"/>
              </w:rPr>
              <w:t>constructed buildings known or to be known as 4 Davis Drive, 6 Davis Drive and 8 Davis Drive, and the land on which</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9000" w:type="dxa"/>
            <w:vAlign w:val="bottom"/>
            <w:gridSpan w:val="23"/>
          </w:tcPr>
          <w:p>
            <w:pPr>
              <w:spacing w:after="0" w:line="172" w:lineRule="exact"/>
              <w:rPr>
                <w:sz w:val="20"/>
                <w:szCs w:val="20"/>
                <w:color w:val="auto"/>
              </w:rPr>
            </w:pPr>
            <w:r>
              <w:rPr>
                <w:rFonts w:ascii="Arial" w:cs="Arial" w:eastAsia="Arial" w:hAnsi="Arial"/>
                <w:sz w:val="17"/>
                <w:szCs w:val="17"/>
                <w:color w:val="auto"/>
              </w:rPr>
              <w:t>they are or will be located, together with all existing and future improvements thereon and appurtenances thereto, the</w:t>
            </w:r>
          </w:p>
        </w:tc>
        <w:tc>
          <w:tcPr>
            <w:tcW w:w="0" w:type="dxa"/>
            <w:vAlign w:val="bottom"/>
          </w:tcPr>
          <w:p>
            <w:pPr>
              <w:spacing w:after="0"/>
              <w:rPr>
                <w:sz w:val="1"/>
                <w:szCs w:val="1"/>
                <w:color w:val="auto"/>
              </w:rPr>
            </w:pPr>
          </w:p>
        </w:tc>
      </w:tr>
      <w:tr>
        <w:trPr>
          <w:trHeight w:val="224"/>
        </w:trPr>
        <w:tc>
          <w:tcPr>
            <w:tcW w:w="2100" w:type="dxa"/>
            <w:vAlign w:val="bottom"/>
          </w:tcPr>
          <w:p>
            <w:pPr>
              <w:spacing w:after="0"/>
              <w:rPr>
                <w:sz w:val="19"/>
                <w:szCs w:val="19"/>
                <w:color w:val="auto"/>
              </w:rPr>
            </w:pPr>
          </w:p>
        </w:tc>
        <w:tc>
          <w:tcPr>
            <w:tcW w:w="6340" w:type="dxa"/>
            <w:vAlign w:val="bottom"/>
            <w:gridSpan w:val="16"/>
          </w:tcPr>
          <w:p>
            <w:pPr>
              <w:spacing w:after="0"/>
              <w:rPr>
                <w:sz w:val="20"/>
                <w:szCs w:val="20"/>
                <w:color w:val="auto"/>
              </w:rPr>
            </w:pPr>
            <w:r>
              <w:rPr>
                <w:rFonts w:ascii="Arial" w:cs="Arial" w:eastAsia="Arial" w:hAnsi="Arial"/>
                <w:sz w:val="17"/>
                <w:szCs w:val="17"/>
                <w:color w:val="auto"/>
              </w:rPr>
              <w:t xml:space="preserve">planned configuration of which is shown on </w:t>
            </w:r>
            <w:r>
              <w:rPr>
                <w:rFonts w:ascii="Arial" w:cs="Arial" w:eastAsia="Arial" w:hAnsi="Arial"/>
                <w:sz w:val="17"/>
                <w:szCs w:val="17"/>
                <w:b w:val="1"/>
                <w:bCs w:val="1"/>
                <w:color w:val="auto"/>
              </w:rPr>
              <w:t>Exhibit B-2</w:t>
            </w: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100" w:type="dxa"/>
            <w:vAlign w:val="bottom"/>
          </w:tcPr>
          <w:p>
            <w:pPr>
              <w:spacing w:after="0"/>
              <w:rPr>
                <w:sz w:val="20"/>
                <w:szCs w:val="20"/>
                <w:color w:val="auto"/>
              </w:rPr>
            </w:pPr>
            <w:r>
              <w:rPr>
                <w:rFonts w:ascii="Arial" w:cs="Arial" w:eastAsia="Arial" w:hAnsi="Arial"/>
                <w:sz w:val="17"/>
                <w:szCs w:val="17"/>
                <w:color w:val="auto"/>
              </w:rPr>
              <w:t>2582545000</w:t>
            </w:r>
            <w:r>
              <w:rPr>
                <w:rFonts w:ascii="Arial" w:cs="Arial" w:eastAsia="Arial" w:hAnsi="Arial"/>
                <w:sz w:val="17"/>
                <w:szCs w:val="17"/>
                <w:b w:val="1"/>
                <w:bCs w:val="1"/>
                <w:color w:val="auto"/>
              </w:rPr>
              <w:t>Base Rent:</w:t>
            </w:r>
          </w:p>
        </w:tc>
        <w:tc>
          <w:tcPr>
            <w:tcW w:w="1000" w:type="dxa"/>
            <w:vAlign w:val="bottom"/>
            <w:gridSpan w:val="2"/>
          </w:tcPr>
          <w:p>
            <w:pPr>
              <w:spacing w:after="0"/>
              <w:rPr>
                <w:sz w:val="20"/>
                <w:szCs w:val="20"/>
                <w:color w:val="auto"/>
              </w:rPr>
            </w:pPr>
            <w:r>
              <w:rPr>
                <w:rFonts w:ascii="Arial" w:cs="Arial" w:eastAsia="Arial" w:hAnsi="Arial"/>
                <w:sz w:val="17"/>
                <w:szCs w:val="17"/>
                <w:color w:val="auto"/>
              </w:rPr>
              <w:t>Initially, $</w:t>
            </w:r>
          </w:p>
        </w:tc>
        <w:tc>
          <w:tcPr>
            <w:tcW w:w="5340" w:type="dxa"/>
            <w:vAlign w:val="bottom"/>
            <w:gridSpan w:val="14"/>
          </w:tcPr>
          <w:p>
            <w:pPr>
              <w:ind w:left="80"/>
              <w:spacing w:after="0"/>
              <w:rPr>
                <w:sz w:val="20"/>
                <w:szCs w:val="20"/>
                <w:color w:val="auto"/>
              </w:rPr>
            </w:pPr>
            <w:r>
              <w:rPr>
                <w:rFonts w:ascii="Arial" w:cs="Arial" w:eastAsia="Arial" w:hAnsi="Arial"/>
                <w:sz w:val="17"/>
                <w:szCs w:val="17"/>
                <w:color w:val="auto"/>
              </w:rPr>
              <w:t>per rentable square foot of the Premises per year (excluding, during</w:t>
            </w:r>
          </w:p>
        </w:tc>
        <w:tc>
          <w:tcPr>
            <w:tcW w:w="20" w:type="dxa"/>
            <w:vAlign w:val="bottom"/>
          </w:tcPr>
          <w:p>
            <w:pPr>
              <w:spacing w:after="0"/>
              <w:rPr>
                <w:sz w:val="24"/>
                <w:szCs w:val="24"/>
                <w:color w:val="auto"/>
              </w:rPr>
            </w:pPr>
          </w:p>
        </w:tc>
        <w:tc>
          <w:tcPr>
            <w:tcW w:w="2640" w:type="dxa"/>
            <w:vAlign w:val="bottom"/>
            <w:gridSpan w:val="6"/>
          </w:tcPr>
          <w:p>
            <w:pPr>
              <w:jc w:val="right"/>
              <w:ind w:right="120"/>
              <w:spacing w:after="0"/>
              <w:rPr>
                <w:sz w:val="20"/>
                <w:szCs w:val="20"/>
                <w:color w:val="auto"/>
              </w:rPr>
            </w:pPr>
            <w:r>
              <w:rPr>
                <w:rFonts w:ascii="Arial" w:cs="Arial" w:eastAsia="Arial" w:hAnsi="Arial"/>
                <w:sz w:val="17"/>
                <w:szCs w:val="17"/>
                <w:color w:val="auto"/>
              </w:rPr>
              <w:t>the Base Term, the Mezzanine</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9000" w:type="dxa"/>
            <w:vAlign w:val="bottom"/>
            <w:gridSpan w:val="23"/>
          </w:tcPr>
          <w:p>
            <w:pPr>
              <w:spacing w:after="0" w:line="167" w:lineRule="exact"/>
              <w:rPr>
                <w:sz w:val="20"/>
                <w:szCs w:val="20"/>
                <w:color w:val="auto"/>
              </w:rPr>
            </w:pPr>
            <w:r>
              <w:rPr>
                <w:rFonts w:ascii="Arial" w:cs="Arial" w:eastAsia="Arial" w:hAnsi="Arial"/>
                <w:sz w:val="17"/>
                <w:szCs w:val="17"/>
                <w:color w:val="auto"/>
              </w:rPr>
              <w:t>Space regardless of whether or not it has been converted to Occupiable Mezzanine Space (as defined in Section</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6340" w:type="dxa"/>
            <w:vAlign w:val="bottom"/>
            <w:gridSpan w:val="16"/>
          </w:tcPr>
          <w:p>
            <w:pPr>
              <w:spacing w:after="0" w:line="172" w:lineRule="exact"/>
              <w:rPr>
                <w:sz w:val="20"/>
                <w:szCs w:val="20"/>
                <w:color w:val="auto"/>
              </w:rPr>
            </w:pPr>
            <w:r>
              <w:rPr>
                <w:rFonts w:ascii="Arial" w:cs="Arial" w:eastAsia="Arial" w:hAnsi="Arial"/>
                <w:sz w:val="17"/>
                <w:szCs w:val="17"/>
                <w:color w:val="auto"/>
              </w:rPr>
              <w:t>43(u))), subject to adjustment pursuant to Sections 4 and 5 hereof.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8440" w:type="dxa"/>
            <w:vAlign w:val="bottom"/>
            <w:gridSpan w:val="17"/>
          </w:tcPr>
          <w:p>
            <w:pPr>
              <w:spacing w:after="0"/>
              <w:rPr>
                <w:sz w:val="20"/>
                <w:szCs w:val="20"/>
                <w:color w:val="auto"/>
              </w:rPr>
            </w:pPr>
            <w:r>
              <w:rPr>
                <w:rFonts w:ascii="Arial" w:cs="Arial" w:eastAsia="Arial" w:hAnsi="Arial"/>
                <w:sz w:val="17"/>
                <w:szCs w:val="17"/>
                <w:b w:val="1"/>
                <w:bCs w:val="1"/>
                <w:color w:val="auto"/>
              </w:rPr>
              <w:t xml:space="preserve">Rentable Area of Premises and Building: </w:t>
            </w:r>
            <w:r>
              <w:rPr>
                <w:rFonts w:ascii="Arial" w:cs="Arial" w:eastAsia="Arial" w:hAnsi="Arial"/>
                <w:sz w:val="17"/>
                <w:szCs w:val="17"/>
                <w:color w:val="auto"/>
              </w:rPr>
              <w:t>100,000 sq. ft., subject to adjustment pursuant to Section 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080" w:type="dxa"/>
            <w:vAlign w:val="bottom"/>
            <w:gridSpan w:val="13"/>
          </w:tcPr>
          <w:p>
            <w:pPr>
              <w:spacing w:after="0"/>
              <w:rPr>
                <w:sz w:val="20"/>
                <w:szCs w:val="20"/>
                <w:color w:val="auto"/>
              </w:rPr>
            </w:pPr>
            <w:r>
              <w:rPr>
                <w:rFonts w:ascii="Arial" w:cs="Arial" w:eastAsia="Arial" w:hAnsi="Arial"/>
                <w:sz w:val="17"/>
                <w:szCs w:val="17"/>
                <w:b w:val="1"/>
                <w:bCs w:val="1"/>
                <w:color w:val="auto"/>
              </w:rPr>
              <w:t xml:space="preserve">Rentable Area of Project: </w:t>
            </w:r>
            <w:r>
              <w:rPr>
                <w:rFonts w:ascii="Arial" w:cs="Arial" w:eastAsia="Arial" w:hAnsi="Arial"/>
                <w:sz w:val="17"/>
                <w:szCs w:val="17"/>
                <w:color w:val="auto"/>
              </w:rPr>
              <w:t>349,275 sq. ft., subject to adjustment pursuant to Section 5.</w:t>
            </w:r>
          </w:p>
        </w:tc>
        <w:tc>
          <w:tcPr>
            <w:tcW w:w="700" w:type="dxa"/>
            <w:vAlign w:val="bottom"/>
            <w:tcBorders>
              <w:top w:val="single" w:sz="8" w:color="auto"/>
            </w:tcBorders>
            <w:gridSpan w:val="2"/>
          </w:tcPr>
          <w:p>
            <w:pPr>
              <w:spacing w:after="0"/>
              <w:rPr>
                <w:sz w:val="24"/>
                <w:szCs w:val="24"/>
                <w:color w:val="auto"/>
              </w:rPr>
            </w:pP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980" w:type="dxa"/>
            <w:vAlign w:val="bottom"/>
            <w:gridSpan w:val="6"/>
          </w:tcPr>
          <w:p>
            <w:pPr>
              <w:spacing w:after="0"/>
              <w:rPr>
                <w:sz w:val="20"/>
                <w:szCs w:val="20"/>
                <w:color w:val="auto"/>
              </w:rPr>
            </w:pPr>
            <w:r>
              <w:rPr>
                <w:rFonts w:ascii="Arial" w:cs="Arial" w:eastAsia="Arial" w:hAnsi="Arial"/>
                <w:sz w:val="17"/>
                <w:szCs w:val="17"/>
                <w:b w:val="1"/>
                <w:bCs w:val="1"/>
                <w:color w:val="auto"/>
              </w:rPr>
              <w:t xml:space="preserve">Tenant’s Share of Operating Expenses of Building: </w:t>
            </w:r>
            <w:r>
              <w:rPr>
                <w:rFonts w:ascii="Arial" w:cs="Arial" w:eastAsia="Arial" w:hAnsi="Arial"/>
                <w:sz w:val="17"/>
                <w:szCs w:val="17"/>
                <w:color w:val="auto"/>
              </w:rPr>
              <w:t>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100" w:type="dxa"/>
            <w:vAlign w:val="bottom"/>
            <w:gridSpan w:val="24"/>
          </w:tcPr>
          <w:p>
            <w:pPr>
              <w:spacing w:after="0"/>
              <w:rPr>
                <w:sz w:val="20"/>
                <w:szCs w:val="20"/>
                <w:color w:val="auto"/>
              </w:rPr>
            </w:pPr>
            <w:r>
              <w:rPr>
                <w:rFonts w:ascii="Arial" w:cs="Arial" w:eastAsia="Arial" w:hAnsi="Arial"/>
                <w:sz w:val="17"/>
                <w:szCs w:val="17"/>
                <w:b w:val="1"/>
                <w:bCs w:val="1"/>
                <w:color w:val="auto"/>
              </w:rPr>
              <w:t>Building’s Share of Operating Expenses of Project:</w:t>
            </w:r>
            <w:r>
              <w:rPr>
                <w:rFonts w:ascii="Arial" w:cs="Arial" w:eastAsia="Arial" w:hAnsi="Arial"/>
                <w:sz w:val="17"/>
                <w:szCs w:val="17"/>
                <w:color w:val="auto"/>
              </w:rPr>
              <w:t>28.63%, subject to adjustment pursuant to Section 5 and Section 43(u).</w:t>
            </w:r>
          </w:p>
        </w:tc>
        <w:tc>
          <w:tcPr>
            <w:tcW w:w="0" w:type="dxa"/>
            <w:vAlign w:val="bottom"/>
          </w:tcPr>
          <w:p>
            <w:pPr>
              <w:spacing w:after="0"/>
              <w:rPr>
                <w:sz w:val="1"/>
                <w:szCs w:val="1"/>
                <w:color w:val="auto"/>
              </w:rPr>
            </w:pPr>
          </w:p>
        </w:tc>
      </w:tr>
      <w:tr>
        <w:trPr>
          <w:trHeight w:val="388"/>
        </w:trPr>
        <w:tc>
          <w:tcPr>
            <w:tcW w:w="2100" w:type="dxa"/>
            <w:vAlign w:val="bottom"/>
          </w:tcPr>
          <w:p>
            <w:pPr>
              <w:spacing w:after="0"/>
              <w:rPr>
                <w:sz w:val="20"/>
                <w:szCs w:val="20"/>
                <w:color w:val="auto"/>
              </w:rPr>
            </w:pPr>
            <w:r>
              <w:rPr>
                <w:rFonts w:ascii="Arial" w:cs="Arial" w:eastAsia="Arial" w:hAnsi="Arial"/>
                <w:sz w:val="17"/>
                <w:szCs w:val="17"/>
                <w:b w:val="1"/>
                <w:bCs w:val="1"/>
                <w:color w:val="auto"/>
              </w:rPr>
              <w:t xml:space="preserve">Security Deposit: </w:t>
            </w:r>
            <w:r>
              <w:rPr>
                <w:rFonts w:ascii="Arial" w:cs="Arial" w:eastAsia="Arial" w:hAnsi="Arial"/>
                <w:sz w:val="17"/>
                <w:szCs w:val="17"/>
                <w:color w:val="auto"/>
              </w:rPr>
              <w:t>$</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980" w:type="dxa"/>
            <w:vAlign w:val="bottom"/>
            <w:gridSpan w:val="6"/>
          </w:tcPr>
          <w:p>
            <w:pPr>
              <w:spacing w:after="0"/>
              <w:rPr>
                <w:sz w:val="20"/>
                <w:szCs w:val="20"/>
                <w:color w:val="auto"/>
              </w:rPr>
            </w:pPr>
            <w:r>
              <w:rPr>
                <w:rFonts w:ascii="Arial" w:cs="Arial" w:eastAsia="Arial" w:hAnsi="Arial"/>
                <w:sz w:val="17"/>
                <w:szCs w:val="17"/>
                <w:b w:val="1"/>
                <w:bCs w:val="1"/>
                <w:color w:val="auto"/>
              </w:rPr>
              <w:t xml:space="preserve">Target Commencement Date: </w:t>
            </w:r>
            <w:r>
              <w:rPr>
                <w:rFonts w:ascii="Arial" w:cs="Arial" w:eastAsia="Arial" w:hAnsi="Arial"/>
                <w:sz w:val="17"/>
                <w:szCs w:val="17"/>
                <w:color w:val="auto"/>
              </w:rPr>
              <w:t>August 1, 2021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100" w:type="dxa"/>
            <w:vAlign w:val="bottom"/>
            <w:gridSpan w:val="3"/>
          </w:tcPr>
          <w:p>
            <w:pPr>
              <w:spacing w:after="0"/>
              <w:rPr>
                <w:sz w:val="20"/>
                <w:szCs w:val="20"/>
                <w:color w:val="auto"/>
              </w:rPr>
            </w:pPr>
            <w:r>
              <w:rPr>
                <w:rFonts w:ascii="Arial" w:cs="Arial" w:eastAsia="Arial" w:hAnsi="Arial"/>
                <w:sz w:val="17"/>
                <w:szCs w:val="17"/>
                <w:b w:val="1"/>
                <w:bCs w:val="1"/>
                <w:color w:val="auto"/>
              </w:rPr>
              <w:t>Rent Adjustment Percentage:</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00" w:type="dxa"/>
            <w:vAlign w:val="bottom"/>
          </w:tcPr>
          <w:p>
            <w:pPr>
              <w:spacing w:after="0"/>
              <w:rPr>
                <w:sz w:val="20"/>
                <w:szCs w:val="20"/>
                <w:color w:val="auto"/>
              </w:rPr>
            </w:pPr>
            <w:r>
              <w:rPr>
                <w:rFonts w:ascii="Arial" w:cs="Arial" w:eastAsia="Arial" w:hAnsi="Arial"/>
                <w:sz w:val="17"/>
                <w:szCs w:val="17"/>
                <w:b w:val="1"/>
                <w:bCs w:val="1"/>
                <w:color w:val="auto"/>
              </w:rPr>
              <w:t>Base Term:</w:t>
            </w:r>
          </w:p>
        </w:tc>
        <w:tc>
          <w:tcPr>
            <w:tcW w:w="9000" w:type="dxa"/>
            <w:vAlign w:val="bottom"/>
            <w:gridSpan w:val="23"/>
          </w:tcPr>
          <w:p>
            <w:pPr>
              <w:spacing w:after="0"/>
              <w:rPr>
                <w:sz w:val="20"/>
                <w:szCs w:val="20"/>
                <w:color w:val="auto"/>
              </w:rPr>
            </w:pPr>
            <w:r>
              <w:rPr>
                <w:rFonts w:ascii="Arial" w:cs="Arial" w:eastAsia="Arial" w:hAnsi="Arial"/>
                <w:sz w:val="17"/>
                <w:szCs w:val="17"/>
                <w:color w:val="auto"/>
              </w:rPr>
              <w:t>Beginning on the Commencement Date and ending 180 months from the first day of the first full month following the</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9000" w:type="dxa"/>
            <w:vAlign w:val="bottom"/>
            <w:gridSpan w:val="23"/>
          </w:tcPr>
          <w:p>
            <w:pPr>
              <w:spacing w:after="0"/>
              <w:rPr>
                <w:sz w:val="20"/>
                <w:szCs w:val="20"/>
                <w:color w:val="auto"/>
              </w:rPr>
            </w:pPr>
            <w:r>
              <w:rPr>
                <w:rFonts w:ascii="Arial" w:cs="Arial" w:eastAsia="Arial" w:hAnsi="Arial"/>
                <w:sz w:val="17"/>
                <w:szCs w:val="17"/>
                <w:color w:val="auto"/>
              </w:rPr>
              <w:t>Rent Commencement Date</w:t>
            </w:r>
            <w:r>
              <w:rPr>
                <w:rFonts w:ascii="Arial" w:cs="Arial" w:eastAsia="Arial" w:hAnsi="Arial"/>
                <w:sz w:val="17"/>
                <w:szCs w:val="17"/>
                <w:b w:val="1"/>
                <w:bCs w:val="1"/>
                <w:color w:val="auto"/>
              </w:rPr>
              <w:t>.</w:t>
            </w:r>
            <w:r>
              <w:rPr>
                <w:rFonts w:ascii="Arial" w:cs="Arial" w:eastAsia="Arial" w:hAnsi="Arial"/>
                <w:sz w:val="17"/>
                <w:szCs w:val="17"/>
                <w:color w:val="auto"/>
              </w:rPr>
              <w:t xml:space="preserve"> For clarity, if the Rent Commencement Date occurs on the first day of a month, the</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9000" w:type="dxa"/>
            <w:vAlign w:val="bottom"/>
            <w:gridSpan w:val="23"/>
          </w:tcPr>
          <w:p>
            <w:pPr>
              <w:spacing w:after="0" w:line="192" w:lineRule="exact"/>
              <w:rPr>
                <w:sz w:val="20"/>
                <w:szCs w:val="20"/>
                <w:color w:val="auto"/>
              </w:rPr>
            </w:pPr>
            <w:r>
              <w:rPr>
                <w:rFonts w:ascii="Arial" w:cs="Arial" w:eastAsia="Arial" w:hAnsi="Arial"/>
                <w:sz w:val="17"/>
                <w:szCs w:val="17"/>
                <w:color w:val="auto"/>
              </w:rPr>
              <w:t>expiration of the Base Term shall be measured from that date. If the Rent Commencement Date occurs on a day other</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9000" w:type="dxa"/>
            <w:vAlign w:val="bottom"/>
            <w:gridSpan w:val="23"/>
          </w:tcPr>
          <w:p>
            <w:pPr>
              <w:spacing w:after="0" w:line="192" w:lineRule="exact"/>
              <w:rPr>
                <w:sz w:val="20"/>
                <w:szCs w:val="20"/>
                <w:color w:val="auto"/>
              </w:rPr>
            </w:pPr>
            <w:r>
              <w:rPr>
                <w:rFonts w:ascii="Arial" w:cs="Arial" w:eastAsia="Arial" w:hAnsi="Arial"/>
                <w:sz w:val="17"/>
                <w:szCs w:val="17"/>
                <w:color w:val="auto"/>
              </w:rPr>
              <w:t>than the first day of a month, the expiration of the Base Term shall be measured from the first day of the following</w:t>
            </w:r>
          </w:p>
        </w:tc>
        <w:tc>
          <w:tcPr>
            <w:tcW w:w="0" w:type="dxa"/>
            <w:vAlign w:val="bottom"/>
          </w:tcPr>
          <w:p>
            <w:pPr>
              <w:spacing w:after="0"/>
              <w:rPr>
                <w:sz w:val="1"/>
                <w:szCs w:val="1"/>
                <w:color w:val="auto"/>
              </w:rPr>
            </w:pPr>
          </w:p>
        </w:tc>
      </w:tr>
      <w:tr>
        <w:trPr>
          <w:trHeight w:val="204"/>
        </w:trPr>
        <w:tc>
          <w:tcPr>
            <w:tcW w:w="2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7"/>
                <w:szCs w:val="17"/>
                <w:color w:val="auto"/>
              </w:rPr>
              <w:t>month.</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240" w:right="160" w:hanging="1664"/>
        <w:spacing w:after="0" w:line="270" w:lineRule="auto"/>
        <w:rPr>
          <w:sz w:val="20"/>
          <w:szCs w:val="20"/>
          <w:color w:val="auto"/>
        </w:rPr>
      </w:pPr>
      <w:r>
        <w:rPr>
          <w:rFonts w:ascii="Arial" w:cs="Arial" w:eastAsia="Arial" w:hAnsi="Arial"/>
          <w:sz w:val="17"/>
          <w:szCs w:val="17"/>
          <w:b w:val="1"/>
          <w:bCs w:val="1"/>
          <w:color w:val="auto"/>
        </w:rPr>
        <w:t xml:space="preserve">Permitted Use: </w:t>
      </w:r>
      <w:r>
        <w:rPr>
          <w:rFonts w:ascii="Arial" w:cs="Arial" w:eastAsia="Arial" w:hAnsi="Arial"/>
          <w:sz w:val="17"/>
          <w:szCs w:val="17"/>
          <w:color w:val="auto"/>
        </w:rPr>
        <w:t>Laboratory, bio-manufacturing, related research and development functions, warehouse, office and other related uses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consistent with the character of the Project and otherwise in compliance with the provisions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140"/>
              <w:spacing w:after="0"/>
              <w:rPr>
                <w:sz w:val="20"/>
                <w:szCs w:val="20"/>
                <w:color w:val="auto"/>
              </w:rPr>
            </w:pPr>
            <w:r>
              <w:rPr>
                <w:rFonts w:ascii="Arial" w:cs="Arial" w:eastAsia="Arial" w:hAnsi="Arial"/>
                <w:sz w:val="17"/>
                <w:szCs w:val="17"/>
                <w:b w:val="1"/>
                <w:bCs w:val="1"/>
                <w:color w:val="auto"/>
              </w:rPr>
              <w:t>Address for Rent Payment:</w:t>
            </w:r>
          </w:p>
        </w:tc>
        <w:tc>
          <w:tcPr>
            <w:tcW w:w="6900" w:type="dxa"/>
            <w:vAlign w:val="bottom"/>
          </w:tcPr>
          <w:p>
            <w:pPr>
              <w:ind w:left="1720"/>
              <w:spacing w:after="0"/>
              <w:rPr>
                <w:sz w:val="20"/>
                <w:szCs w:val="20"/>
                <w:color w:val="auto"/>
              </w:rPr>
            </w:pPr>
            <w:r>
              <w:rPr>
                <w:rFonts w:ascii="Arial" w:cs="Arial" w:eastAsia="Arial" w:hAnsi="Arial"/>
                <w:sz w:val="17"/>
                <w:szCs w:val="17"/>
                <w:b w:val="1"/>
                <w:bCs w:val="1"/>
                <w:color w:val="auto"/>
              </w:rPr>
              <w:t>Landlord’s Notice Address:</w:t>
            </w:r>
          </w:p>
        </w:tc>
      </w:tr>
      <w:tr>
        <w:trPr>
          <w:trHeight w:val="192"/>
        </w:trPr>
        <w:tc>
          <w:tcPr>
            <w:tcW w:w="4380" w:type="dxa"/>
            <w:vAlign w:val="bottom"/>
          </w:tcPr>
          <w:p>
            <w:pPr>
              <w:ind w:left="140"/>
              <w:spacing w:after="0" w:line="192" w:lineRule="exact"/>
              <w:rPr>
                <w:sz w:val="20"/>
                <w:szCs w:val="20"/>
                <w:color w:val="auto"/>
              </w:rPr>
            </w:pPr>
            <w:r>
              <w:rPr>
                <w:rFonts w:ascii="Arial" w:cs="Arial" w:eastAsia="Arial" w:hAnsi="Arial"/>
                <w:sz w:val="17"/>
                <w:szCs w:val="17"/>
                <w:color w:val="auto"/>
              </w:rPr>
              <w:t>Alexandria Real Estate Equities, Inc.</w:t>
            </w:r>
          </w:p>
        </w:tc>
        <w:tc>
          <w:tcPr>
            <w:tcW w:w="6900" w:type="dxa"/>
            <w:vAlign w:val="bottom"/>
          </w:tcPr>
          <w:p>
            <w:pPr>
              <w:ind w:left="2280"/>
              <w:spacing w:after="0" w:line="192" w:lineRule="exact"/>
              <w:rPr>
                <w:sz w:val="20"/>
                <w:szCs w:val="20"/>
                <w:color w:val="auto"/>
              </w:rPr>
            </w:pPr>
            <w:r>
              <w:rPr>
                <w:rFonts w:ascii="Arial" w:cs="Arial" w:eastAsia="Arial" w:hAnsi="Arial"/>
                <w:sz w:val="17"/>
                <w:szCs w:val="17"/>
                <w:color w:val="auto"/>
              </w:rPr>
              <w:t>26 North</w:t>
            </w:r>
          </w:p>
        </w:tc>
      </w:tr>
      <w:tr>
        <w:trPr>
          <w:trHeight w:val="192"/>
        </w:trPr>
        <w:tc>
          <w:tcPr>
            <w:tcW w:w="4380" w:type="dxa"/>
            <w:vAlign w:val="bottom"/>
          </w:tcPr>
          <w:p>
            <w:pPr>
              <w:ind w:left="140"/>
              <w:spacing w:after="0" w:line="192" w:lineRule="exact"/>
              <w:rPr>
                <w:sz w:val="20"/>
                <w:szCs w:val="20"/>
                <w:color w:val="auto"/>
              </w:rPr>
            </w:pPr>
            <w:r>
              <w:rPr>
                <w:rFonts w:ascii="Arial" w:cs="Arial" w:eastAsia="Arial" w:hAnsi="Arial"/>
                <w:sz w:val="17"/>
                <w:szCs w:val="17"/>
                <w:color w:val="auto"/>
              </w:rPr>
              <w:t>Euclid Avenue PO Box 896541</w:t>
            </w:r>
          </w:p>
        </w:tc>
        <w:tc>
          <w:tcPr>
            <w:tcW w:w="6900" w:type="dxa"/>
            <w:vAlign w:val="bottom"/>
          </w:tcPr>
          <w:p>
            <w:pPr>
              <w:ind w:left="1860"/>
              <w:spacing w:after="0" w:line="192" w:lineRule="exact"/>
              <w:rPr>
                <w:sz w:val="20"/>
                <w:szCs w:val="20"/>
                <w:color w:val="auto"/>
              </w:rPr>
            </w:pPr>
            <w:r>
              <w:rPr>
                <w:rFonts w:ascii="Arial" w:cs="Arial" w:eastAsia="Arial" w:hAnsi="Arial"/>
                <w:sz w:val="17"/>
                <w:szCs w:val="17"/>
                <w:color w:val="auto"/>
              </w:rPr>
              <w:t>Pasadena, CA</w:t>
            </w:r>
          </w:p>
        </w:tc>
      </w:tr>
      <w:tr>
        <w:trPr>
          <w:trHeight w:val="179"/>
        </w:trPr>
        <w:tc>
          <w:tcPr>
            <w:tcW w:w="4380" w:type="dxa"/>
            <w:vAlign w:val="bottom"/>
          </w:tcPr>
          <w:p>
            <w:pPr>
              <w:ind w:left="140"/>
              <w:spacing w:after="0" w:line="179" w:lineRule="exact"/>
              <w:rPr>
                <w:sz w:val="20"/>
                <w:szCs w:val="20"/>
                <w:color w:val="auto"/>
              </w:rPr>
            </w:pPr>
            <w:r>
              <w:rPr>
                <w:rFonts w:ascii="Arial" w:cs="Arial" w:eastAsia="Arial" w:hAnsi="Arial"/>
                <w:sz w:val="17"/>
                <w:szCs w:val="17"/>
                <w:color w:val="auto"/>
              </w:rPr>
              <w:t>91101</w:t>
            </w:r>
          </w:p>
        </w:tc>
        <w:tc>
          <w:tcPr>
            <w:tcW w:w="6900" w:type="dxa"/>
            <w:vAlign w:val="bottom"/>
          </w:tcPr>
          <w:p>
            <w:pPr>
              <w:spacing w:after="0"/>
              <w:rPr>
                <w:sz w:val="15"/>
                <w:szCs w:val="15"/>
                <w:color w:val="auto"/>
              </w:rPr>
            </w:pPr>
          </w:p>
        </w:tc>
      </w:tr>
      <w:tr>
        <w:trPr>
          <w:trHeight w:val="204"/>
        </w:trPr>
        <w:tc>
          <w:tcPr>
            <w:tcW w:w="4380" w:type="dxa"/>
            <w:vAlign w:val="bottom"/>
          </w:tcPr>
          <w:p>
            <w:pPr>
              <w:ind w:left="140"/>
              <w:spacing w:after="0"/>
              <w:rPr>
                <w:sz w:val="20"/>
                <w:szCs w:val="20"/>
                <w:color w:val="auto"/>
              </w:rPr>
            </w:pPr>
            <w:r>
              <w:rPr>
                <w:rFonts w:ascii="Arial" w:cs="Arial" w:eastAsia="Arial" w:hAnsi="Arial"/>
                <w:sz w:val="17"/>
                <w:szCs w:val="17"/>
                <w:color w:val="auto"/>
              </w:rPr>
              <w:t>Charlotte, NC 28289-6541</w:t>
            </w:r>
          </w:p>
        </w:tc>
        <w:tc>
          <w:tcPr>
            <w:tcW w:w="6900" w:type="dxa"/>
            <w:vAlign w:val="bottom"/>
          </w:tcPr>
          <w:p>
            <w:pPr>
              <w:ind w:left="1500"/>
              <w:spacing w:after="0"/>
              <w:rPr>
                <w:sz w:val="20"/>
                <w:szCs w:val="20"/>
                <w:color w:val="auto"/>
              </w:rPr>
            </w:pPr>
            <w:r>
              <w:rPr>
                <w:rFonts w:ascii="Arial" w:cs="Arial" w:eastAsia="Arial" w:hAnsi="Arial"/>
                <w:sz w:val="17"/>
                <w:szCs w:val="17"/>
                <w:color w:val="auto"/>
              </w:rPr>
              <w:t>Attention: Corporate Secretary</w:t>
            </w:r>
          </w:p>
        </w:tc>
      </w:tr>
      <w:tr>
        <w:trPr>
          <w:trHeight w:val="684"/>
        </w:trPr>
        <w:tc>
          <w:tcPr>
            <w:tcW w:w="43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825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 xml:space="preserve">Page </w:t>
      </w:r>
      <w:r>
        <w:rPr>
          <w:rFonts w:ascii="Arial" w:cs="Arial" w:eastAsia="Arial" w:hAnsi="Arial"/>
          <w:sz w:val="16"/>
          <w:szCs w:val="16"/>
          <w:color w:val="auto"/>
        </w:rPr>
        <w:t>2</w:t>
      </w:r>
    </w:p>
    <w:p>
      <w:pPr>
        <w:sectPr>
          <w:pgSz w:w="11900" w:h="16838" w:orient="portrait"/>
          <w:cols w:equalWidth="0" w:num="1">
            <w:col w:w="11110"/>
          </w:cols>
          <w:pgMar w:left="45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Tenant’s Notice Address Prior</w:t>
      </w:r>
    </w:p>
    <w:p>
      <w:pPr>
        <w:spacing w:after="0" w:line="10"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to Rent Commencement Date:</w:t>
      </w:r>
    </w:p>
    <w:p>
      <w:pPr>
        <w:ind w:left="10"/>
        <w:spacing w:after="0" w:line="235" w:lineRule="auto"/>
        <w:rPr>
          <w:sz w:val="20"/>
          <w:szCs w:val="20"/>
          <w:color w:val="auto"/>
        </w:rPr>
      </w:pPr>
      <w:r>
        <w:rPr>
          <w:rFonts w:ascii="Arial" w:cs="Arial" w:eastAsia="Arial" w:hAnsi="Arial"/>
          <w:sz w:val="17"/>
          <w:szCs w:val="17"/>
          <w:color w:val="auto"/>
        </w:rPr>
        <w:t>26 Landsdowne Street, Floor 2</w:t>
      </w:r>
    </w:p>
    <w:p>
      <w:pPr>
        <w:ind w:left="10"/>
        <w:spacing w:after="0" w:line="235" w:lineRule="auto"/>
        <w:rPr>
          <w:sz w:val="20"/>
          <w:szCs w:val="20"/>
          <w:color w:val="auto"/>
        </w:rPr>
      </w:pPr>
      <w:r>
        <w:rPr>
          <w:rFonts w:ascii="Arial" w:cs="Arial" w:eastAsia="Arial" w:hAnsi="Arial"/>
          <w:sz w:val="17"/>
          <w:szCs w:val="17"/>
          <w:color w:val="auto"/>
        </w:rPr>
        <w:t>Cambridge, MA 02139</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7"/>
          <w:szCs w:val="17"/>
          <w:color w:val="auto"/>
        </w:rPr>
        <w:t>Attention: Chief Legal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Tenant’s Notice Address After</w:t>
      </w:r>
    </w:p>
    <w:p>
      <w:pPr>
        <w:ind w:left="740"/>
        <w:spacing w:after="0" w:line="237" w:lineRule="auto"/>
        <w:rPr>
          <w:sz w:val="20"/>
          <w:szCs w:val="20"/>
          <w:color w:val="auto"/>
        </w:rPr>
      </w:pPr>
      <w:r>
        <w:rPr>
          <w:rFonts w:ascii="Arial" w:cs="Arial" w:eastAsia="Arial" w:hAnsi="Arial"/>
          <w:sz w:val="16"/>
          <w:szCs w:val="16"/>
          <w:b w:val="1"/>
          <w:bCs w:val="1"/>
          <w:color w:val="auto"/>
        </w:rPr>
        <w:t>the Rent Commencement Date:</w:t>
      </w:r>
    </w:p>
    <w:p>
      <w:pPr>
        <w:ind w:left="620"/>
        <w:spacing w:after="0" w:line="236" w:lineRule="auto"/>
        <w:rPr>
          <w:sz w:val="20"/>
          <w:szCs w:val="20"/>
          <w:color w:val="auto"/>
        </w:rPr>
      </w:pPr>
      <w:r>
        <w:rPr>
          <w:rFonts w:ascii="Arial" w:cs="Arial" w:eastAsia="Arial" w:hAnsi="Arial"/>
          <w:sz w:val="17"/>
          <w:szCs w:val="17"/>
          <w:color w:val="auto"/>
        </w:rPr>
        <w:t>26 Landsdowne Street, Floor 2</w:t>
      </w:r>
    </w:p>
    <w:p>
      <w:pPr>
        <w:spacing w:after="0" w:line="235" w:lineRule="auto"/>
        <w:rPr>
          <w:sz w:val="20"/>
          <w:szCs w:val="20"/>
          <w:color w:val="auto"/>
        </w:rPr>
      </w:pPr>
      <w:r>
        <w:rPr>
          <w:rFonts w:ascii="Arial" w:cs="Arial" w:eastAsia="Arial" w:hAnsi="Arial"/>
          <w:sz w:val="17"/>
          <w:szCs w:val="17"/>
          <w:color w:val="auto"/>
        </w:rPr>
        <w:t>Cambridge, MA 02139</w:t>
      </w:r>
    </w:p>
    <w:p>
      <w:pPr>
        <w:ind w:left="520"/>
        <w:spacing w:after="0"/>
        <w:rPr>
          <w:sz w:val="20"/>
          <w:szCs w:val="20"/>
          <w:color w:val="auto"/>
        </w:rPr>
      </w:pPr>
      <w:r>
        <w:rPr>
          <w:rFonts w:ascii="Arial" w:cs="Arial" w:eastAsia="Arial" w:hAnsi="Arial"/>
          <w:sz w:val="17"/>
          <w:szCs w:val="17"/>
          <w:color w:val="auto"/>
        </w:rPr>
        <w:t>Attention: Chief Legal Officer</w:t>
      </w:r>
    </w:p>
    <w:p>
      <w:pPr>
        <w:spacing w:after="0" w:line="181" w:lineRule="exact"/>
        <w:rPr>
          <w:sz w:val="20"/>
          <w:szCs w:val="20"/>
          <w:color w:val="auto"/>
        </w:rPr>
      </w:pPr>
    </w:p>
    <w:p>
      <w:pPr>
        <w:sectPr>
          <w:pgSz w:w="11900" w:h="16838" w:orient="portrait"/>
          <w:cols w:equalWidth="0" w:num="2">
            <w:col w:w="4750" w:space="720"/>
            <w:col w:w="5640"/>
          </w:cols>
          <w:pgMar w:left="450" w:top="118" w:right="339" w:bottom="1440" w:gutter="0" w:footer="0" w:header="0"/>
          <w:type w:val="continuous"/>
        </w:sectPr>
      </w:pPr>
    </w:p>
    <w:p>
      <w:pPr>
        <w:ind w:left="5070"/>
        <w:spacing w:after="0"/>
        <w:rPr>
          <w:sz w:val="20"/>
          <w:szCs w:val="20"/>
          <w:color w:val="auto"/>
        </w:rPr>
      </w:pPr>
      <w:r>
        <w:rPr>
          <w:rFonts w:ascii="Arial" w:cs="Arial" w:eastAsia="Arial" w:hAnsi="Arial"/>
          <w:sz w:val="17"/>
          <w:szCs w:val="17"/>
          <w:b w:val="1"/>
          <w:bCs w:val="1"/>
          <w:color w:val="auto"/>
        </w:rPr>
        <w:t>With a copy to:</w:t>
      </w:r>
    </w:p>
    <w:p>
      <w:pPr>
        <w:spacing w:after="0" w:line="12" w:lineRule="exact"/>
        <w:rPr>
          <w:sz w:val="20"/>
          <w:szCs w:val="20"/>
          <w:color w:val="auto"/>
        </w:rPr>
      </w:pPr>
    </w:p>
    <w:p>
      <w:pPr>
        <w:ind w:left="5070"/>
        <w:spacing w:after="0"/>
        <w:rPr>
          <w:sz w:val="20"/>
          <w:szCs w:val="20"/>
          <w:color w:val="auto"/>
        </w:rPr>
      </w:pPr>
      <w:r>
        <w:rPr>
          <w:rFonts w:ascii="Arial" w:cs="Arial" w:eastAsia="Arial" w:hAnsi="Arial"/>
          <w:sz w:val="17"/>
          <w:szCs w:val="17"/>
          <w:color w:val="auto"/>
        </w:rPr>
        <w:t>10 Davis Drive</w:t>
      </w:r>
    </w:p>
    <w:p>
      <w:pPr>
        <w:ind w:left="5070"/>
        <w:spacing w:after="0" w:line="235" w:lineRule="auto"/>
        <w:rPr>
          <w:sz w:val="20"/>
          <w:szCs w:val="20"/>
          <w:color w:val="auto"/>
        </w:rPr>
      </w:pPr>
      <w:r>
        <w:rPr>
          <w:rFonts w:ascii="Arial" w:cs="Arial" w:eastAsia="Arial" w:hAnsi="Arial"/>
          <w:sz w:val="17"/>
          <w:szCs w:val="17"/>
          <w:color w:val="auto"/>
        </w:rPr>
        <w:t>Durham, NC 27709 Attention: Brian</w:t>
      </w:r>
    </w:p>
    <w:p>
      <w:pPr>
        <w:ind w:left="5070"/>
        <w:spacing w:after="0"/>
        <w:rPr>
          <w:sz w:val="20"/>
          <w:szCs w:val="20"/>
          <w:color w:val="auto"/>
        </w:rPr>
      </w:pPr>
      <w:r>
        <w:rPr>
          <w:rFonts w:ascii="Arial" w:cs="Arial" w:eastAsia="Arial" w:hAnsi="Arial"/>
          <w:sz w:val="17"/>
          <w:szCs w:val="17"/>
          <w:color w:val="auto"/>
        </w:rPr>
        <w:t>Riley</w:t>
      </w:r>
    </w:p>
    <w:p>
      <w:pPr>
        <w:spacing w:after="0" w:line="201"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 following Exhibits and Addenda are attached hereto and incorporated herein by this reference:</w:t>
      </w:r>
    </w:p>
    <w:p>
      <w:pPr>
        <w:spacing w:after="0" w:line="181" w:lineRule="exact"/>
        <w:rPr>
          <w:sz w:val="20"/>
          <w:szCs w:val="20"/>
          <w:color w:val="auto"/>
        </w:rPr>
      </w:pPr>
    </w:p>
    <w:p>
      <w:pPr>
        <w:ind w:left="10"/>
        <w:spacing w:after="0"/>
        <w:tabs>
          <w:tab w:leader="none" w:pos="7130" w:val="left"/>
        </w:tabs>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 PREMISES DESCRIPTION</w:t>
      </w:r>
      <w:r>
        <w:rPr>
          <w:sz w:val="20"/>
          <w:szCs w:val="20"/>
          <w:color w:val="auto"/>
        </w:rPr>
        <w:tab/>
      </w:r>
      <w:r>
        <w:rPr>
          <w:rFonts w:ascii="Arial" w:cs="Arial" w:eastAsia="Arial" w:hAnsi="Arial"/>
          <w:sz w:val="17"/>
          <w:szCs w:val="17"/>
          <w:color w:val="auto"/>
        </w:rPr>
        <w:t xml:space="preserve">[X]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 DESCRIPTION OF PROJECT</w:t>
      </w:r>
    </w:p>
    <w:p>
      <w:pPr>
        <w:spacing w:after="0" w:line="12" w:lineRule="exact"/>
        <w:rPr>
          <w:sz w:val="20"/>
          <w:szCs w:val="20"/>
          <w:color w:val="auto"/>
        </w:rPr>
      </w:pPr>
    </w:p>
    <w:p>
      <w:pPr>
        <w:ind w:left="10"/>
        <w:spacing w:after="0"/>
        <w:tabs>
          <w:tab w:leader="none" w:pos="6270" w:val="left"/>
        </w:tabs>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 WORK LETTER</w:t>
      </w:r>
      <w:r>
        <w:rPr>
          <w:sz w:val="20"/>
          <w:szCs w:val="20"/>
          <w:color w:val="auto"/>
        </w:rPr>
        <w:tab/>
      </w:r>
      <w:r>
        <w:rPr>
          <w:rFonts w:ascii="Arial" w:cs="Arial" w:eastAsia="Arial" w:hAnsi="Arial"/>
          <w:sz w:val="16"/>
          <w:szCs w:val="16"/>
          <w:color w:val="auto"/>
        </w:rPr>
        <w:t xml:space="preserve">[X]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 COMMENCEMENT DATE</w:t>
      </w:r>
    </w:p>
    <w:p>
      <w:pPr>
        <w:ind w:left="10"/>
        <w:spacing w:after="0" w:line="235" w:lineRule="auto"/>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E</w:t>
      </w:r>
      <w:r>
        <w:rPr>
          <w:rFonts w:ascii="Arial" w:cs="Arial" w:eastAsia="Arial" w:hAnsi="Arial"/>
          <w:sz w:val="17"/>
          <w:szCs w:val="17"/>
          <w:color w:val="auto"/>
        </w:rPr>
        <w:t xml:space="preserve"> - RULES AND REGULATIONS [X]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 TENANT’S PERSONAL PROPERTY</w:t>
      </w:r>
    </w:p>
    <w:p>
      <w:pPr>
        <w:ind w:left="10"/>
        <w:spacing w:after="0"/>
        <w:tabs>
          <w:tab w:leader="none" w:pos="5810" w:val="left"/>
        </w:tabs>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 PARKING</w:t>
      </w:r>
      <w:r>
        <w:rPr>
          <w:sz w:val="20"/>
          <w:szCs w:val="20"/>
          <w:color w:val="auto"/>
        </w:rPr>
        <w:tab/>
      </w:r>
      <w:r>
        <w:rPr>
          <w:rFonts w:ascii="Arial" w:cs="Arial" w:eastAsia="Arial" w:hAnsi="Arial"/>
          <w:sz w:val="16"/>
          <w:szCs w:val="16"/>
          <w:color w:val="auto"/>
        </w:rPr>
        <w:t xml:space="preserve">[X]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 SHARED SPACE CONSENT</w:t>
      </w:r>
    </w:p>
    <w:p>
      <w:pPr>
        <w:spacing w:after="0" w:line="1" w:lineRule="exact"/>
        <w:rPr>
          <w:sz w:val="20"/>
          <w:szCs w:val="20"/>
          <w:color w:val="auto"/>
        </w:rPr>
      </w:pPr>
    </w:p>
    <w:p>
      <w:pPr>
        <w:ind w:left="410" w:hanging="410"/>
        <w:spacing w:after="0"/>
        <w:tabs>
          <w:tab w:leader="none" w:pos="41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EXHIBIT I </w:t>
      </w:r>
      <w:r>
        <w:rPr>
          <w:rFonts w:ascii="Arial" w:cs="Arial" w:eastAsia="Arial" w:hAnsi="Arial"/>
          <w:sz w:val="17"/>
          <w:szCs w:val="17"/>
          <w:color w:val="auto"/>
        </w:rPr>
        <w:t>- BASE RENT CALC. EXAMPLE [X]</w:t>
      </w:r>
      <w:r>
        <w:rPr>
          <w:rFonts w:ascii="Arial" w:cs="Arial" w:eastAsia="Arial" w:hAnsi="Arial"/>
          <w:sz w:val="17"/>
          <w:szCs w:val="17"/>
          <w:b w:val="1"/>
          <w:bCs w:val="1"/>
          <w:color w:val="auto"/>
        </w:rPr>
        <w:t xml:space="preserve"> EXHIBIT J </w:t>
      </w:r>
      <w:r>
        <w:rPr>
          <w:rFonts w:ascii="Arial" w:cs="Arial" w:eastAsia="Arial" w:hAnsi="Arial"/>
          <w:sz w:val="17"/>
          <w:szCs w:val="17"/>
          <w:color w:val="auto"/>
        </w:rPr>
        <w:t>- SIGNAGE</w:t>
      </w:r>
    </w:p>
    <w:p>
      <w:pPr>
        <w:spacing w:after="0" w:line="180" w:lineRule="exact"/>
        <w:rPr>
          <w:rFonts w:ascii="Arial" w:cs="Arial" w:eastAsia="Arial" w:hAnsi="Arial"/>
          <w:sz w:val="17"/>
          <w:szCs w:val="17"/>
          <w:color w:val="auto"/>
        </w:rPr>
      </w:pPr>
    </w:p>
    <w:p>
      <w:pPr>
        <w:ind w:left="10" w:right="180" w:firstLine="822"/>
        <w:spacing w:after="0"/>
        <w:tabs>
          <w:tab w:leader="none" w:pos="2284" w:val="left"/>
        </w:tabs>
        <w:numPr>
          <w:ilvl w:val="2"/>
          <w:numId w:val="49"/>
        </w:numPr>
        <w:rPr>
          <w:rFonts w:ascii="Arial" w:cs="Arial" w:eastAsia="Arial" w:hAnsi="Arial"/>
          <w:sz w:val="17"/>
          <w:szCs w:val="17"/>
          <w:color w:val="auto"/>
        </w:rPr>
      </w:pPr>
      <w:r>
        <w:rPr>
          <w:rFonts w:ascii="Arial" w:cs="Arial" w:eastAsia="Arial" w:hAnsi="Arial"/>
          <w:sz w:val="17"/>
          <w:szCs w:val="17"/>
          <w:b w:val="1"/>
          <w:bCs w:val="1"/>
          <w:color w:val="auto"/>
        </w:rPr>
        <w:t>Lease of Premises</w:t>
      </w:r>
      <w:r>
        <w:rPr>
          <w:rFonts w:ascii="Arial" w:cs="Arial" w:eastAsia="Arial" w:hAnsi="Arial"/>
          <w:sz w:val="17"/>
          <w:szCs w:val="17"/>
          <w:color w:val="auto"/>
        </w:rPr>
        <w:t>. Upon and subject to all of the terms and conditions hereof, Landlord hereby leases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to Tenant and Tenant hereby leases the Premises from Landlord. The portions of the Project located outside the Building which are for the non-exclusive use of occupants of the Project including, without limitation, (a) the Project Amenities (as defined below) and related pathways of ingress and egress (including such pathways located within other buildings at the Project, if applicable) required for access to the Project Amenities, (b) pedestrian sidewalks, (c) landscaped areas,</w:t>
      </w:r>
    </w:p>
    <w:p>
      <w:pPr>
        <w:jc w:val="both"/>
        <w:ind w:left="10" w:right="140" w:hanging="1"/>
        <w:spacing w:after="0" w:line="237" w:lineRule="auto"/>
        <w:tabs>
          <w:tab w:leader="none" w:pos="296" w:val="left"/>
        </w:tabs>
        <w:numPr>
          <w:ilvl w:val="1"/>
          <w:numId w:val="49"/>
        </w:numPr>
        <w:rPr>
          <w:rFonts w:ascii="Arial" w:cs="Arial" w:eastAsia="Arial" w:hAnsi="Arial"/>
          <w:sz w:val="17"/>
          <w:szCs w:val="17"/>
          <w:color w:val="auto"/>
        </w:rPr>
      </w:pPr>
      <w:r>
        <w:rPr>
          <w:rFonts w:ascii="Arial" w:cs="Arial" w:eastAsia="Arial" w:hAnsi="Arial"/>
          <w:sz w:val="17"/>
          <w:szCs w:val="17"/>
          <w:color w:val="auto"/>
        </w:rPr>
        <w:t>common driveways, parking areas and access roads, and (e) common bicycle storage, if any,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Appurtenant to Tenant’s lease of the Premises, Tenant shall have the non-exclusive right, in common with others having the right thereto, to use the Common Areas. Landlord reserves the right to modify Common Areas, provided that such modifications do not materially adversely affect Tenant’s use of the Premises for the Permitted Use. From and after the Commencement Date through the expiration of the Term, Tenant shall have access to the Building and the Premises 24 hours a day, 7 days a week, except in the case of emergencies, as the result of Legal Requirements, or the performance by Landlord of any installation, maintenance or repairs for which Landlord is responsible under this Lease, and otherwise subject to the terms of this Lease.</w:t>
      </w:r>
    </w:p>
    <w:p>
      <w:pPr>
        <w:spacing w:after="0" w:line="195" w:lineRule="exact"/>
        <w:rPr>
          <w:sz w:val="20"/>
          <w:szCs w:val="20"/>
          <w:color w:val="auto"/>
        </w:rPr>
      </w:pPr>
    </w:p>
    <w:p>
      <w:pPr>
        <w:jc w:val="both"/>
        <w:ind w:left="10" w:right="120" w:firstLine="824"/>
        <w:spacing w:after="0" w:line="237" w:lineRule="auto"/>
        <w:rPr>
          <w:sz w:val="20"/>
          <w:szCs w:val="20"/>
          <w:color w:val="auto"/>
        </w:rPr>
      </w:pPr>
      <w:r>
        <w:rPr>
          <w:rFonts w:ascii="Arial" w:cs="Arial" w:eastAsia="Arial" w:hAnsi="Arial"/>
          <w:sz w:val="17"/>
          <w:szCs w:val="17"/>
          <w:color w:val="auto"/>
        </w:rPr>
        <w:t>Landlord and Tenant acknowledge and agree that Landlord’s planned re-development of the Project contemplates certain common amenities serving the Project (the “</w:t>
      </w:r>
      <w:r>
        <w:rPr>
          <w:rFonts w:ascii="Arial" w:cs="Arial" w:eastAsia="Arial" w:hAnsi="Arial"/>
          <w:sz w:val="17"/>
          <w:szCs w:val="17"/>
          <w:b w:val="1"/>
          <w:bCs w:val="1"/>
          <w:color w:val="auto"/>
        </w:rPr>
        <w:t>Project Amenities</w:t>
      </w:r>
      <w:r>
        <w:rPr>
          <w:rFonts w:ascii="Arial" w:cs="Arial" w:eastAsia="Arial" w:hAnsi="Arial"/>
          <w:sz w:val="17"/>
          <w:szCs w:val="17"/>
          <w:color w:val="auto"/>
        </w:rPr>
        <w:t xml:space="preserve">”). The location within the Project, size, scope and, except as otherwise expressly provided in the following sentence, the type of amenities included as part of the Project Amenities shall be in Landlord’s sole and absolute discretion. The Project Amenities may include conferencing facilities and shall, subject to Force Majeure, casualty or a Taking (as defined in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below) at a minimum include a café/food amenity (the “</w:t>
      </w:r>
      <w:r>
        <w:rPr>
          <w:rFonts w:ascii="Arial" w:cs="Arial" w:eastAsia="Arial" w:hAnsi="Arial"/>
          <w:sz w:val="17"/>
          <w:szCs w:val="17"/>
          <w:b w:val="1"/>
          <w:bCs w:val="1"/>
          <w:color w:val="auto"/>
        </w:rPr>
        <w:t>Food Amenity</w:t>
      </w:r>
      <w:r>
        <w:rPr>
          <w:rFonts w:ascii="Arial" w:cs="Arial" w:eastAsia="Arial" w:hAnsi="Arial"/>
          <w:sz w:val="17"/>
          <w:szCs w:val="17"/>
          <w:color w:val="auto"/>
        </w:rPr>
        <w:t>”) and a fitness center (the “</w:t>
      </w:r>
      <w:r>
        <w:rPr>
          <w:rFonts w:ascii="Arial" w:cs="Arial" w:eastAsia="Arial" w:hAnsi="Arial"/>
          <w:sz w:val="17"/>
          <w:szCs w:val="17"/>
          <w:b w:val="1"/>
          <w:bCs w:val="1"/>
          <w:color w:val="auto"/>
        </w:rPr>
        <w:t>Fitness Center</w:t>
      </w:r>
      <w:r>
        <w:rPr>
          <w:rFonts w:ascii="Arial" w:cs="Arial" w:eastAsia="Arial" w:hAnsi="Arial"/>
          <w:sz w:val="17"/>
          <w:szCs w:val="17"/>
          <w:color w:val="auto"/>
        </w:rPr>
        <w:t>”); provided; however, that Landlord shall have the right at any time and from time to time after the Project Amenities Availability Date to reconfigure, relocate, modify and/or make repairs or improvements to any of the Project Amenities and/or to revise, expand or discontinue any of the services (if any) provided in connection with the Project Amenities; provided, however, that in no event shall Landlord have the right to permanently close the Food Amenity or the Fitness Center.</w:t>
      </w:r>
    </w:p>
    <w:p>
      <w:pPr>
        <w:spacing w:after="0" w:line="172" w:lineRule="exact"/>
        <w:rPr>
          <w:sz w:val="20"/>
          <w:szCs w:val="20"/>
          <w:color w:val="auto"/>
        </w:rPr>
      </w:pPr>
    </w:p>
    <w:p>
      <w:pPr>
        <w:ind w:left="10" w:right="180" w:firstLine="825"/>
        <w:spacing w:after="0" w:line="263" w:lineRule="auto"/>
        <w:tabs>
          <w:tab w:leader="none" w:pos="2303"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Delivery; Acceptance of Premises; Commencement Date</w:t>
      </w:r>
      <w:r>
        <w:rPr>
          <w:rFonts w:ascii="Arial" w:cs="Arial" w:eastAsia="Arial" w:hAnsi="Arial"/>
          <w:sz w:val="16"/>
          <w:szCs w:val="16"/>
          <w:color w:val="auto"/>
        </w:rPr>
        <w:t>. Landlord shall use reasonable efforts to deliver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for Tenant’s construction of the Tenant Improvements pursuant to the Work Letter in Tenant Improvement Work Readiness Condition on or before the Target Commencement Date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If Landlord fails to timely Deliver the Premises, Landlord shall not be liable to Tenant for any loss or damage resulting therefrom, and this Lease shall not be void or voidable except as provided herein. If Landlord fails to timely Deliver the Premises, Landlord shall not be liable to Tenant for any loss or damage resulting therefrom, and this Lease shall not be void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435610</wp:posOffset>
            </wp:positionV>
            <wp:extent cx="715581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10"/>
          </w:cols>
          <w:pgMar w:left="450" w:top="118"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voidable except as provided herein. Notwithstanding anything to the contrary contained herein, if Landlord fails to Deliver the Premises to Tenant</w:t>
      </w:r>
    </w:p>
    <w:p>
      <w:pPr>
        <w:jc w:val="both"/>
        <w:ind w:right="120"/>
        <w:spacing w:after="0" w:line="235" w:lineRule="auto"/>
        <w:rPr>
          <w:sz w:val="20"/>
          <w:szCs w:val="20"/>
          <w:color w:val="auto"/>
        </w:rPr>
      </w:pPr>
      <w:r>
        <w:rPr>
          <w:rFonts w:ascii="Arial" w:cs="Arial" w:eastAsia="Arial" w:hAnsi="Arial"/>
          <w:sz w:val="17"/>
          <w:szCs w:val="17"/>
          <w:color w:val="auto"/>
        </w:rPr>
        <w:t xml:space="preserve">(i) by (as such date may be extended for Force Majeure delays (as defined in </w:t>
      </w:r>
      <w:r>
        <w:rPr>
          <w:rFonts w:ascii="Arial" w:cs="Arial" w:eastAsia="Arial" w:hAnsi="Arial"/>
          <w:sz w:val="17"/>
          <w:szCs w:val="17"/>
          <w:u w:val="single" w:color="auto"/>
          <w:color w:val="auto"/>
        </w:rPr>
        <w:t>Section 34</w:t>
      </w:r>
      <w:r>
        <w:rPr>
          <w:rFonts w:ascii="Arial" w:cs="Arial" w:eastAsia="Arial" w:hAnsi="Arial"/>
          <w:sz w:val="17"/>
          <w:szCs w:val="17"/>
          <w:color w:val="auto"/>
        </w:rPr>
        <w:t>) and Tenant Delays, “</w:t>
      </w:r>
      <w:r>
        <w:rPr>
          <w:rFonts w:ascii="Arial" w:cs="Arial" w:eastAsia="Arial" w:hAnsi="Arial"/>
          <w:sz w:val="17"/>
          <w:szCs w:val="17"/>
          <w:b w:val="1"/>
          <w:bCs w:val="1"/>
          <w:color w:val="auto"/>
        </w:rPr>
        <w:t>Initial Abatement Date</w:t>
      </w:r>
      <w:r>
        <w:rPr>
          <w:rFonts w:ascii="Arial" w:cs="Arial" w:eastAsia="Arial" w:hAnsi="Arial"/>
          <w:sz w:val="17"/>
          <w:szCs w:val="17"/>
          <w:color w:val="auto"/>
        </w:rPr>
        <w:t>”), Base Rent shall be abated 1 day for each day after the Initial Abatement Date (as such date may be extended for Force Majeure delays and Tenant Delays) through the Second Abatement Date that Landlord fails to Deliver the</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Premises to Tenant, (ii) by (as such date may be extended for Force Majeure delays and Tenant Delays, “</w:t>
      </w:r>
      <w:r>
        <w:rPr>
          <w:rFonts w:ascii="Arial" w:cs="Arial" w:eastAsia="Arial" w:hAnsi="Arial"/>
          <w:sz w:val="17"/>
          <w:szCs w:val="17"/>
          <w:b w:val="1"/>
          <w:bCs w:val="1"/>
          <w:color w:val="auto"/>
        </w:rPr>
        <w:t>Second Abatement Date</w:t>
      </w:r>
      <w:r>
        <w:rPr>
          <w:rFonts w:ascii="Arial" w:cs="Arial" w:eastAsia="Arial" w:hAnsi="Arial"/>
          <w:sz w:val="17"/>
          <w:szCs w:val="17"/>
          <w:color w:val="auto"/>
        </w:rPr>
        <w:t>”), Base Rent shall be abated 2 days for each day after the Second Abatement Date (as such date may be extended for Force Majeure delays and Tenant Delays) through the Third Abatement Date that Landlord fails to Deliver the</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Premises to Tenant, and (iii) by (as such date may be extended for Force Majeure delays and Tenant Delays,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Abatement Date</w:t>
      </w:r>
      <w:r>
        <w:rPr>
          <w:rFonts w:ascii="Arial" w:cs="Arial" w:eastAsia="Arial" w:hAnsi="Arial"/>
          <w:sz w:val="17"/>
          <w:szCs w:val="17"/>
          <w:color w:val="auto"/>
        </w:rPr>
        <w:t>”), and Tenant does not terminate this Lease pursuant to this paragraph, Base Rent shall be abated 3 days for each day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Third Abatement Date (as such date may be extended for Force Majeure delays and Tenant Delays) that Landlord fails to Deliver the Premises to Tenant. If Landlord has not Delivered the Premises on the Third Abatement Date for any reason other than Force Majeure delays and Tenant Delays, this Lease may be terminated by Tenant by written notice to Landlord (“</w:t>
      </w:r>
      <w:r>
        <w:rPr>
          <w:rFonts w:ascii="Arial" w:cs="Arial" w:eastAsia="Arial" w:hAnsi="Arial"/>
          <w:sz w:val="17"/>
          <w:szCs w:val="17"/>
          <w:b w:val="1"/>
          <w:bCs w:val="1"/>
          <w:color w:val="auto"/>
        </w:rPr>
        <w:t>Termination Notice</w:t>
      </w:r>
      <w:r>
        <w:rPr>
          <w:rFonts w:ascii="Arial" w:cs="Arial" w:eastAsia="Arial" w:hAnsi="Arial"/>
          <w:sz w:val="17"/>
          <w:szCs w:val="17"/>
          <w:color w:val="auto"/>
        </w:rPr>
        <w:t>”), and if so terminated by Tenant: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7"/>
          <w:szCs w:val="17"/>
          <w:b w:val="1"/>
          <w:bCs w:val="1"/>
          <w:color w:val="auto"/>
        </w:rPr>
        <w:t>Tenant Improvements</w:t>
      </w:r>
      <w:r>
        <w:rPr>
          <w:rFonts w:ascii="Arial" w:cs="Arial" w:eastAsia="Arial" w:hAnsi="Arial"/>
          <w:sz w:val="17"/>
          <w:szCs w:val="17"/>
          <w:color w:val="auto"/>
        </w:rPr>
        <w:t>” and</w:t>
      </w: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line="174"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w:t>
            </w:r>
          </w:p>
        </w:tc>
        <w:tc>
          <w:tcPr>
            <w:tcW w:w="10340" w:type="dxa"/>
            <w:vAlign w:val="bottom"/>
            <w:gridSpan w:val="14"/>
          </w:tcPr>
          <w:p>
            <w:pPr>
              <w:jc w:val="right"/>
              <w:spacing w:after="0" w:line="174" w:lineRule="exact"/>
              <w:rPr>
                <w:sz w:val="20"/>
                <w:szCs w:val="20"/>
                <w:color w:val="auto"/>
              </w:rPr>
            </w:pPr>
            <w:r>
              <w:rPr>
                <w:rFonts w:ascii="Arial" w:cs="Arial" w:eastAsia="Arial" w:hAnsi="Arial"/>
                <w:sz w:val="17"/>
                <w:szCs w:val="17"/>
                <w:b w:val="1"/>
                <w:bCs w:val="1"/>
                <w:color w:val="auto"/>
              </w:rPr>
              <w:t>Improvement Readiness Condition</w:t>
            </w:r>
            <w:r>
              <w:rPr>
                <w:rFonts w:ascii="Arial" w:cs="Arial" w:eastAsia="Arial" w:hAnsi="Arial"/>
                <w:sz w:val="17"/>
                <w:szCs w:val="17"/>
                <w:color w:val="auto"/>
              </w:rPr>
              <w:t>” shall have the meanings set forth for such terms in the work letter attached hereto as</w:t>
            </w:r>
            <w:r>
              <w:rPr>
                <w:rFonts w:ascii="Arial" w:cs="Arial" w:eastAsia="Arial" w:hAnsi="Arial"/>
                <w:sz w:val="17"/>
                <w:szCs w:val="17"/>
                <w:b w:val="1"/>
                <w:bCs w:val="1"/>
                <w:color w:val="auto"/>
              </w:rPr>
              <w:t xml:space="preserve"> Exhibit C</w:t>
            </w:r>
          </w:p>
        </w:tc>
      </w:tr>
      <w:tr>
        <w:trPr>
          <w:trHeight w:val="212"/>
        </w:trPr>
        <w:tc>
          <w:tcPr>
            <w:tcW w:w="640" w:type="dxa"/>
            <w:vAlign w:val="bottom"/>
          </w:tcPr>
          <w:p>
            <w:pPr>
              <w:spacing w:after="0"/>
              <w:rPr>
                <w:sz w:val="20"/>
                <w:szCs w:val="20"/>
                <w:color w:val="auto"/>
              </w:rPr>
            </w:pPr>
            <w:r>
              <w:rPr>
                <w:rFonts w:ascii="Arial" w:cs="Arial" w:eastAsia="Arial" w:hAnsi="Arial"/>
                <w:sz w:val="17"/>
                <w:szCs w:val="17"/>
                <w:color w:val="auto"/>
              </w:rPr>
              <w:t>(the</w:t>
            </w:r>
          </w:p>
        </w:tc>
        <w:tc>
          <w:tcPr>
            <w:tcW w:w="680" w:type="dxa"/>
            <w:vAlign w:val="bottom"/>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w:t>
            </w:r>
          </w:p>
        </w:tc>
        <w:tc>
          <w:tcPr>
            <w:tcW w:w="1000" w:type="dxa"/>
            <w:vAlign w:val="bottom"/>
          </w:tcPr>
          <w:p>
            <w:pPr>
              <w:ind w:left="180"/>
              <w:spacing w:after="0"/>
              <w:rPr>
                <w:sz w:val="20"/>
                <w:szCs w:val="20"/>
                <w:color w:val="auto"/>
              </w:rPr>
            </w:pPr>
            <w:r>
              <w:rPr>
                <w:rFonts w:ascii="Arial" w:cs="Arial" w:eastAsia="Arial" w:hAnsi="Arial"/>
                <w:sz w:val="17"/>
                <w:szCs w:val="17"/>
                <w:b w:val="1"/>
                <w:bCs w:val="1"/>
                <w:color w:val="auto"/>
              </w:rPr>
              <w:t>Letter</w:t>
            </w:r>
            <w:r>
              <w:rPr>
                <w:rFonts w:ascii="Arial" w:cs="Arial" w:eastAsia="Arial" w:hAnsi="Arial"/>
                <w:sz w:val="17"/>
                <w:szCs w:val="17"/>
                <w:color w:val="auto"/>
              </w:rPr>
              <w:t>”).</w:t>
            </w:r>
          </w:p>
        </w:tc>
        <w:tc>
          <w:tcPr>
            <w:tcW w:w="480" w:type="dxa"/>
            <w:vAlign w:val="bottom"/>
          </w:tcPr>
          <w:p>
            <w:pPr>
              <w:ind w:left="200"/>
              <w:spacing w:after="0"/>
              <w:rPr>
                <w:sz w:val="20"/>
                <w:szCs w:val="20"/>
                <w:color w:val="auto"/>
              </w:rPr>
            </w:pPr>
            <w:r>
              <w:rPr>
                <w:rFonts w:ascii="Arial" w:cs="Arial" w:eastAsia="Arial" w:hAnsi="Arial"/>
                <w:sz w:val="17"/>
                <w:szCs w:val="17"/>
                <w:color w:val="auto"/>
              </w:rPr>
              <w:t>If</w:t>
            </w:r>
          </w:p>
        </w:tc>
        <w:tc>
          <w:tcPr>
            <w:tcW w:w="880" w:type="dxa"/>
            <w:vAlign w:val="bottom"/>
          </w:tcPr>
          <w:p>
            <w:pPr>
              <w:ind w:left="180"/>
              <w:spacing w:after="0"/>
              <w:rPr>
                <w:sz w:val="20"/>
                <w:szCs w:val="20"/>
                <w:color w:val="auto"/>
              </w:rPr>
            </w:pPr>
            <w:r>
              <w:rPr>
                <w:rFonts w:ascii="Arial" w:cs="Arial" w:eastAsia="Arial" w:hAnsi="Arial"/>
                <w:sz w:val="17"/>
                <w:szCs w:val="17"/>
                <w:color w:val="auto"/>
              </w:rPr>
              <w:t>Tenant</w:t>
            </w:r>
          </w:p>
        </w:tc>
        <w:tc>
          <w:tcPr>
            <w:tcW w:w="760" w:type="dxa"/>
            <w:vAlign w:val="bottom"/>
          </w:tcPr>
          <w:p>
            <w:pPr>
              <w:ind w:left="200"/>
              <w:spacing w:after="0"/>
              <w:rPr>
                <w:sz w:val="20"/>
                <w:szCs w:val="20"/>
                <w:color w:val="auto"/>
              </w:rPr>
            </w:pPr>
            <w:r>
              <w:rPr>
                <w:rFonts w:ascii="Arial" w:cs="Arial" w:eastAsia="Arial" w:hAnsi="Arial"/>
                <w:sz w:val="17"/>
                <w:szCs w:val="17"/>
                <w:color w:val="auto"/>
              </w:rPr>
              <w:t>does</w:t>
            </w:r>
          </w:p>
        </w:tc>
        <w:tc>
          <w:tcPr>
            <w:tcW w:w="600" w:type="dxa"/>
            <w:vAlign w:val="bottom"/>
          </w:tcPr>
          <w:p>
            <w:pPr>
              <w:ind w:left="180"/>
              <w:spacing w:after="0"/>
              <w:rPr>
                <w:sz w:val="20"/>
                <w:szCs w:val="20"/>
                <w:color w:val="auto"/>
              </w:rPr>
            </w:pPr>
            <w:r>
              <w:rPr>
                <w:rFonts w:ascii="Arial" w:cs="Arial" w:eastAsia="Arial" w:hAnsi="Arial"/>
                <w:sz w:val="17"/>
                <w:szCs w:val="17"/>
                <w:color w:val="auto"/>
              </w:rPr>
              <w:t>not</w:t>
            </w:r>
          </w:p>
        </w:tc>
        <w:tc>
          <w:tcPr>
            <w:tcW w:w="880" w:type="dxa"/>
            <w:vAlign w:val="bottom"/>
          </w:tcPr>
          <w:p>
            <w:pPr>
              <w:ind w:left="200"/>
              <w:spacing w:after="0"/>
              <w:rPr>
                <w:sz w:val="20"/>
                <w:szCs w:val="20"/>
                <w:color w:val="auto"/>
              </w:rPr>
            </w:pPr>
            <w:r>
              <w:rPr>
                <w:rFonts w:ascii="Arial" w:cs="Arial" w:eastAsia="Arial" w:hAnsi="Arial"/>
                <w:sz w:val="17"/>
                <w:szCs w:val="17"/>
                <w:color w:val="auto"/>
              </w:rPr>
              <w:t>deliver</w:t>
            </w:r>
          </w:p>
        </w:tc>
        <w:tc>
          <w:tcPr>
            <w:tcW w:w="480" w:type="dxa"/>
            <w:vAlign w:val="bottom"/>
          </w:tcPr>
          <w:p>
            <w:pPr>
              <w:ind w:left="180"/>
              <w:spacing w:after="0"/>
              <w:rPr>
                <w:sz w:val="20"/>
                <w:szCs w:val="20"/>
                <w:color w:val="auto"/>
              </w:rPr>
            </w:pPr>
            <w:r>
              <w:rPr>
                <w:rFonts w:ascii="Arial" w:cs="Arial" w:eastAsia="Arial" w:hAnsi="Arial"/>
                <w:sz w:val="17"/>
                <w:szCs w:val="17"/>
                <w:color w:val="auto"/>
              </w:rPr>
              <w:t>a</w:t>
            </w:r>
          </w:p>
        </w:tc>
        <w:tc>
          <w:tcPr>
            <w:tcW w:w="1240" w:type="dxa"/>
            <w:vAlign w:val="bottom"/>
          </w:tcPr>
          <w:p>
            <w:pPr>
              <w:ind w:left="180"/>
              <w:spacing w:after="0"/>
              <w:rPr>
                <w:sz w:val="20"/>
                <w:szCs w:val="20"/>
                <w:color w:val="auto"/>
              </w:rPr>
            </w:pPr>
            <w:r>
              <w:rPr>
                <w:rFonts w:ascii="Arial" w:cs="Arial" w:eastAsia="Arial" w:hAnsi="Arial"/>
                <w:sz w:val="17"/>
                <w:szCs w:val="17"/>
                <w:color w:val="auto"/>
              </w:rPr>
              <w:t>Termination</w:t>
            </w:r>
          </w:p>
        </w:tc>
        <w:tc>
          <w:tcPr>
            <w:tcW w:w="860" w:type="dxa"/>
            <w:vAlign w:val="bottom"/>
          </w:tcPr>
          <w:p>
            <w:pPr>
              <w:ind w:left="200"/>
              <w:spacing w:after="0"/>
              <w:rPr>
                <w:sz w:val="20"/>
                <w:szCs w:val="20"/>
                <w:color w:val="auto"/>
              </w:rPr>
            </w:pPr>
            <w:r>
              <w:rPr>
                <w:rFonts w:ascii="Arial" w:cs="Arial" w:eastAsia="Arial" w:hAnsi="Arial"/>
                <w:sz w:val="17"/>
                <w:szCs w:val="17"/>
                <w:color w:val="auto"/>
              </w:rPr>
              <w:t>Notice</w:t>
            </w:r>
          </w:p>
        </w:tc>
        <w:tc>
          <w:tcPr>
            <w:tcW w:w="520" w:type="dxa"/>
            <w:vAlign w:val="bottom"/>
          </w:tcPr>
          <w:p>
            <w:pPr>
              <w:ind w:left="200"/>
              <w:spacing w:after="0"/>
              <w:rPr>
                <w:sz w:val="20"/>
                <w:szCs w:val="20"/>
                <w:color w:val="auto"/>
              </w:rPr>
            </w:pPr>
            <w:r>
              <w:rPr>
                <w:rFonts w:ascii="Arial" w:cs="Arial" w:eastAsia="Arial" w:hAnsi="Arial"/>
                <w:sz w:val="17"/>
                <w:szCs w:val="17"/>
                <w:color w:val="auto"/>
              </w:rPr>
              <w:t>to</w:t>
            </w:r>
          </w:p>
        </w:tc>
        <w:tc>
          <w:tcPr>
            <w:tcW w:w="1040" w:type="dxa"/>
            <w:vAlign w:val="bottom"/>
          </w:tcPr>
          <w:p>
            <w:pPr>
              <w:ind w:left="200"/>
              <w:spacing w:after="0"/>
              <w:rPr>
                <w:sz w:val="20"/>
                <w:szCs w:val="20"/>
                <w:color w:val="auto"/>
              </w:rPr>
            </w:pPr>
            <w:r>
              <w:rPr>
                <w:rFonts w:ascii="Arial" w:cs="Arial" w:eastAsia="Arial" w:hAnsi="Arial"/>
                <w:sz w:val="17"/>
                <w:szCs w:val="17"/>
                <w:color w:val="auto"/>
              </w:rPr>
              <w:t>Landlord</w:t>
            </w:r>
          </w:p>
        </w:tc>
        <w:tc>
          <w:tcPr>
            <w:tcW w:w="580" w:type="dxa"/>
            <w:vAlign w:val="bottom"/>
          </w:tcPr>
          <w:p>
            <w:pPr>
              <w:ind w:left="200"/>
              <w:spacing w:after="0"/>
              <w:rPr>
                <w:sz w:val="20"/>
                <w:szCs w:val="20"/>
                <w:color w:val="auto"/>
              </w:rPr>
            </w:pPr>
            <w:r>
              <w:rPr>
                <w:rFonts w:ascii="Arial" w:cs="Arial" w:eastAsia="Arial" w:hAnsi="Arial"/>
                <w:sz w:val="17"/>
                <w:szCs w:val="17"/>
                <w:color w:val="auto"/>
              </w:rPr>
              <w:t>on</w:t>
            </w:r>
          </w:p>
        </w:tc>
        <w:tc>
          <w:tcPr>
            <w:tcW w:w="340" w:type="dxa"/>
            <w:vAlign w:val="bottom"/>
          </w:tcPr>
          <w:p>
            <w:pPr>
              <w:jc w:val="right"/>
              <w:spacing w:after="0"/>
              <w:rPr>
                <w:sz w:val="20"/>
                <w:szCs w:val="20"/>
                <w:color w:val="auto"/>
              </w:rPr>
            </w:pPr>
            <w:r>
              <w:rPr>
                <w:rFonts w:ascii="Arial" w:cs="Arial" w:eastAsia="Arial" w:hAnsi="Arial"/>
                <w:sz w:val="17"/>
                <w:szCs w:val="17"/>
                <w:color w:val="auto"/>
              </w:rPr>
              <w:t>or</w:t>
            </w:r>
          </w:p>
        </w:tc>
      </w:tr>
      <w:tr>
        <w:trPr>
          <w:trHeight w:val="192"/>
        </w:trPr>
        <w:tc>
          <w:tcPr>
            <w:tcW w:w="640" w:type="dxa"/>
            <w:vAlign w:val="bottom"/>
          </w:tcPr>
          <w:p>
            <w:pPr>
              <w:spacing w:after="0" w:line="192" w:lineRule="exact"/>
              <w:rPr>
                <w:sz w:val="20"/>
                <w:szCs w:val="20"/>
                <w:color w:val="auto"/>
              </w:rPr>
            </w:pPr>
            <w:r>
              <w:rPr>
                <w:rFonts w:ascii="Arial" w:cs="Arial" w:eastAsia="Arial" w:hAnsi="Arial"/>
                <w:sz w:val="17"/>
                <w:szCs w:val="17"/>
                <w:color w:val="auto"/>
              </w:rPr>
              <w:t>before</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940" w:type="dxa"/>
            <w:vAlign w:val="bottom"/>
            <w:gridSpan w:val="8"/>
          </w:tcPr>
          <w:p>
            <w:pPr>
              <w:jc w:val="right"/>
              <w:spacing w:after="0" w:line="192" w:lineRule="exact"/>
              <w:rPr>
                <w:sz w:val="20"/>
                <w:szCs w:val="20"/>
                <w:color w:val="auto"/>
              </w:rPr>
            </w:pPr>
            <w:r>
              <w:rPr>
                <w:rFonts w:ascii="Arial" w:cs="Arial" w:eastAsia="Arial" w:hAnsi="Arial"/>
                <w:sz w:val="17"/>
                <w:szCs w:val="17"/>
                <w:color w:val="auto"/>
              </w:rPr>
              <w:t>(as such date may be extended by Force Majeure delays and Tenant</w:t>
            </w:r>
          </w:p>
        </w:tc>
      </w:tr>
    </w:tbl>
    <w:p>
      <w:pPr>
        <w:spacing w:after="0"/>
        <w:rPr>
          <w:sz w:val="20"/>
          <w:szCs w:val="20"/>
          <w:color w:val="auto"/>
        </w:rPr>
      </w:pPr>
      <w:r>
        <w:rPr>
          <w:rFonts w:ascii="Arial" w:cs="Arial" w:eastAsia="Arial" w:hAnsi="Arial"/>
          <w:sz w:val="17"/>
          <w:szCs w:val="17"/>
          <w:color w:val="auto"/>
        </w:rPr>
        <w:t>Delays), such right to void this Lease shall be waived and this Lease shall remain in full force and effect.</w:t>
      </w:r>
    </w:p>
    <w:p>
      <w:pPr>
        <w:spacing w:after="0" w:line="201" w:lineRule="exact"/>
        <w:rPr>
          <w:sz w:val="20"/>
          <w:szCs w:val="20"/>
          <w:color w:val="auto"/>
        </w:rPr>
      </w:pPr>
    </w:p>
    <w:p>
      <w:pPr>
        <w:jc w:val="both"/>
        <w:ind w:right="140" w:firstLine="822"/>
        <w:spacing w:after="0"/>
        <w:rPr>
          <w:sz w:val="20"/>
          <w:szCs w:val="20"/>
          <w:color w:val="auto"/>
        </w:rPr>
      </w:pPr>
      <w:r>
        <w:rPr>
          <w:rFonts w:ascii="Arial" w:cs="Arial" w:eastAsia="Arial" w:hAnsi="Arial"/>
          <w:sz w:val="17"/>
          <w:szCs w:val="17"/>
          <w:color w:val="auto"/>
        </w:rPr>
        <w:t xml:space="preserve">Landlord shall use diligent good faith efforts to obtain approval from the applicable Governmental Authority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below) of the site plan for the Property (subject to conditions of approval reasonably acceptable to Landlord) pursuant to the schedule of milestone dates attached to the Work Letter, which has been mutually agreed to by the parties.</w:t>
      </w:r>
    </w:p>
    <w:p>
      <w:pPr>
        <w:spacing w:after="0" w:line="193" w:lineRule="exact"/>
        <w:rPr>
          <w:sz w:val="20"/>
          <w:szCs w:val="20"/>
          <w:color w:val="auto"/>
        </w:rPr>
      </w:pPr>
    </w:p>
    <w:p>
      <w:pPr>
        <w:jc w:val="both"/>
        <w:ind w:right="120" w:firstLine="824"/>
        <w:spacing w:after="0" w:line="237" w:lineRule="auto"/>
        <w:rPr>
          <w:sz w:val="20"/>
          <w:szCs w:val="20"/>
          <w:color w:val="auto"/>
        </w:rPr>
      </w:pPr>
      <w:r>
        <w:rPr>
          <w:rFonts w:ascii="Arial" w:cs="Arial" w:eastAsia="Arial" w:hAnsi="Arial"/>
          <w:sz w:val="17"/>
          <w:szCs w:val="17"/>
          <w:color w:val="auto"/>
        </w:rPr>
        <w:t>If Tenant delivers a Termination Notice to Landlord and Landlord, within 10 days after Landlord’s receipt of such Termination Notice, Landlord delivers written notice to Tenant (“</w:t>
      </w:r>
      <w:r>
        <w:rPr>
          <w:rFonts w:ascii="Arial" w:cs="Arial" w:eastAsia="Arial" w:hAnsi="Arial"/>
          <w:sz w:val="17"/>
          <w:szCs w:val="17"/>
          <w:b w:val="1"/>
          <w:bCs w:val="1"/>
          <w:color w:val="auto"/>
        </w:rPr>
        <w:t>Landlord’s Response</w:t>
      </w:r>
      <w:r>
        <w:rPr>
          <w:rFonts w:ascii="Arial" w:cs="Arial" w:eastAsia="Arial" w:hAnsi="Arial"/>
          <w:sz w:val="17"/>
          <w:szCs w:val="17"/>
          <w:color w:val="auto"/>
        </w:rPr>
        <w:t>”), along with reasonable evidence, that the Premises will be in Tenant Improvement Readiness Condition within 30 days after Tenant’s receipt of Landlord’s Response, then, notwithstanding Tenant’s Termination Notice, this Lease shall remain in full force and effect. If Landlord fails to deliver the Premises to Tenant in Tenant Improvement Work Readiness Conditions at the end of such 30-day period (as such period may be extended by Force Majeure delays and Tenant Delays) then this Lease shall automatically terminate.</w:t>
      </w:r>
    </w:p>
    <w:p>
      <w:pPr>
        <w:spacing w:after="0" w:line="176" w:lineRule="exact"/>
        <w:rPr>
          <w:sz w:val="20"/>
          <w:szCs w:val="20"/>
          <w:color w:val="auto"/>
        </w:rPr>
      </w:pPr>
    </w:p>
    <w:p>
      <w:pPr>
        <w:jc w:val="both"/>
        <w:ind w:right="120" w:firstLine="824"/>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Commencement Date</w:t>
      </w:r>
      <w:r>
        <w:rPr>
          <w:rFonts w:ascii="Arial" w:cs="Arial" w:eastAsia="Arial" w:hAnsi="Arial"/>
          <w:sz w:val="17"/>
          <w:szCs w:val="17"/>
          <w:color w:val="auto"/>
        </w:rPr>
        <w:t>” shall be the earlier of: (i) the date Landlord Delivers the Premises to Tenant in Tenant Improvement Work Readiness Conditions; and (ii) the date Landlord could have Delivered the Premises to Tenant in Tenant Improvement Work Readiness Condition but for Tenant Delays. The “</w:t>
      </w:r>
      <w:r>
        <w:rPr>
          <w:rFonts w:ascii="Arial" w:cs="Arial" w:eastAsia="Arial" w:hAnsi="Arial"/>
          <w:sz w:val="17"/>
          <w:szCs w:val="17"/>
          <w:b w:val="1"/>
          <w:bCs w:val="1"/>
          <w:color w:val="auto"/>
        </w:rPr>
        <w:t>Rent Commencement Date</w:t>
      </w:r>
      <w:r>
        <w:rPr>
          <w:rFonts w:ascii="Arial" w:cs="Arial" w:eastAsia="Arial" w:hAnsi="Arial"/>
          <w:sz w:val="17"/>
          <w:szCs w:val="17"/>
          <w:color w:val="auto"/>
        </w:rPr>
        <w:t>” shall be the earliest of: (x) the date that is 12 months after the Commencement Date, or (y) the date that Tenant Substantially Completes the Tenant Improvements, or (z) the date that Tenant commences operating its business in all or a portion of the Premises (for the avoidance of doubt, preparing the Premises for operations shall not constitute Tenant operating its business</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for the purposes of this subsection (z)); provided, however, that (A) in no event shall the Rent Commencement Date occur prior to and (B) the Rent Commencement Date shall be extended 1 day for each day of</w:t>
      </w:r>
    </w:p>
    <w:p>
      <w:pPr>
        <w:spacing w:after="0" w:line="1"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 xml:space="preserve">Landlord Delay (as defined in the Work Letter) that occurs following the Commencement Date.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 The “</w:t>
      </w:r>
      <w:r>
        <w:rPr>
          <w:rFonts w:ascii="Arial" w:cs="Arial" w:eastAsia="Arial" w:hAnsi="Arial"/>
          <w:sz w:val="17"/>
          <w:szCs w:val="17"/>
          <w:b w:val="1"/>
          <w:bCs w:val="1"/>
          <w:color w:val="auto"/>
        </w:rPr>
        <w:t>Term</w:t>
      </w:r>
      <w:r>
        <w:rPr>
          <w:rFonts w:ascii="Arial" w:cs="Arial" w:eastAsia="Arial" w:hAnsi="Arial"/>
          <w:sz w:val="17"/>
          <w:szCs w:val="17"/>
          <w:color w:val="auto"/>
        </w:rPr>
        <w:t>” of this Lease shall be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455930</wp:posOffset>
            </wp:positionV>
            <wp:extent cx="715581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Term, as defined above on the first page of this Lease and any Extension Terms which Tenant may elect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hereof.</w:t>
      </w:r>
    </w:p>
    <w:p>
      <w:pPr>
        <w:spacing w:after="0" w:line="175" w:lineRule="exact"/>
        <w:rPr>
          <w:sz w:val="20"/>
          <w:szCs w:val="20"/>
          <w:color w:val="auto"/>
        </w:rPr>
      </w:pPr>
    </w:p>
    <w:p>
      <w:pPr>
        <w:jc w:val="both"/>
        <w:ind w:left="80" w:right="120" w:firstLine="824"/>
        <w:spacing w:after="0" w:line="236" w:lineRule="auto"/>
        <w:rPr>
          <w:sz w:val="20"/>
          <w:szCs w:val="20"/>
          <w:color w:val="auto"/>
        </w:rPr>
      </w:pPr>
      <w:r>
        <w:rPr>
          <w:rFonts w:ascii="Arial" w:cs="Arial" w:eastAsia="Arial" w:hAnsi="Arial"/>
          <w:sz w:val="17"/>
          <w:szCs w:val="17"/>
          <w:color w:val="auto"/>
        </w:rPr>
        <w:t>Notwithstanding the foregoing, Landlord and Tenant agree that if, following the Commencement Date, any Governmental Authority having jurisdiction of the Project, as a result of the COVID-19 outbreak in the United States (the “</w:t>
      </w:r>
      <w:r>
        <w:rPr>
          <w:rFonts w:ascii="Arial" w:cs="Arial" w:eastAsia="Arial" w:hAnsi="Arial"/>
          <w:sz w:val="17"/>
          <w:szCs w:val="17"/>
          <w:b w:val="1"/>
          <w:bCs w:val="1"/>
          <w:color w:val="auto"/>
        </w:rPr>
        <w:t>COVID-19 Situation</w:t>
      </w:r>
      <w:r>
        <w:rPr>
          <w:rFonts w:ascii="Arial" w:cs="Arial" w:eastAsia="Arial" w:hAnsi="Arial"/>
          <w:sz w:val="17"/>
          <w:szCs w:val="17"/>
          <w:color w:val="auto"/>
        </w:rPr>
        <w:t>”) declares or implements any public health emergencies and/or imposes governmental guidelines or mandates concerning sheltering in place, the suspension of various services and other business activities, the imposition of limitations on public assembly and construction activities, or other restrictions concerning persons and property (each of the foregoing resulting from the COVID-19 Situation, a “</w:t>
      </w:r>
      <w:r>
        <w:rPr>
          <w:rFonts w:ascii="Arial" w:cs="Arial" w:eastAsia="Arial" w:hAnsi="Arial"/>
          <w:sz w:val="17"/>
          <w:szCs w:val="17"/>
          <w:b w:val="1"/>
          <w:bCs w:val="1"/>
          <w:color w:val="auto"/>
        </w:rPr>
        <w:t>Government Mandate</w:t>
      </w:r>
      <w:r>
        <w:rPr>
          <w:rFonts w:ascii="Arial" w:cs="Arial" w:eastAsia="Arial" w:hAnsi="Arial"/>
          <w:sz w:val="17"/>
          <w:szCs w:val="17"/>
          <w:color w:val="auto"/>
        </w:rPr>
        <w:t>” and collectively, “</w:t>
      </w:r>
      <w:r>
        <w:rPr>
          <w:rFonts w:ascii="Arial" w:cs="Arial" w:eastAsia="Arial" w:hAnsi="Arial"/>
          <w:sz w:val="17"/>
          <w:szCs w:val="17"/>
          <w:b w:val="1"/>
          <w:bCs w:val="1"/>
          <w:color w:val="auto"/>
        </w:rPr>
        <w:t>Government</w:t>
      </w:r>
      <w:r>
        <w:rPr>
          <w:rFonts w:ascii="Arial" w:cs="Arial" w:eastAsia="Arial" w:hAnsi="Arial"/>
          <w:sz w:val="17"/>
          <w:szCs w:val="17"/>
          <w:color w:val="auto"/>
        </w:rPr>
        <w:t xml:space="preserve"> </w:t>
      </w:r>
      <w:r>
        <w:rPr>
          <w:rFonts w:ascii="Arial" w:cs="Arial" w:eastAsia="Arial" w:hAnsi="Arial"/>
          <w:sz w:val="17"/>
          <w:szCs w:val="17"/>
          <w:b w:val="1"/>
          <w:bCs w:val="1"/>
          <w:color w:val="auto"/>
        </w:rPr>
        <w:t>Mandates</w:t>
      </w:r>
      <w:r>
        <w:rPr>
          <w:rFonts w:ascii="Arial" w:cs="Arial" w:eastAsia="Arial" w:hAnsi="Arial"/>
          <w:sz w:val="17"/>
          <w:szCs w:val="17"/>
          <w:color w:val="auto"/>
        </w:rPr>
        <w:t>”), then, to the extent such Government Mandates preclude construction or permitting activities required to prepare space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 of laboratory/bio-manufacturing companies in the county and, as such, precludes Tenant from preparing the Premises for use by Tenant of the Premises for the Permitted Use within 12 months after the Commencement Date, then the 12 month period set forth in the immediately preceding paragraph with respect to the Rent Commencement Date shall be delayed 1 day for each day that such Government Mandates remain in effect.</w:t>
      </w:r>
    </w:p>
    <w:p>
      <w:pPr>
        <w:spacing w:after="0" w:line="199" w:lineRule="exact"/>
        <w:rPr>
          <w:sz w:val="20"/>
          <w:szCs w:val="20"/>
          <w:color w:val="auto"/>
        </w:rPr>
      </w:pPr>
    </w:p>
    <w:p>
      <w:pPr>
        <w:jc w:val="both"/>
        <w:ind w:left="80" w:right="120" w:firstLine="824"/>
        <w:spacing w:after="0" w:line="238" w:lineRule="auto"/>
        <w:rPr>
          <w:sz w:val="20"/>
          <w:szCs w:val="20"/>
          <w:color w:val="auto"/>
        </w:rPr>
      </w:pPr>
      <w:r>
        <w:rPr>
          <w:rFonts w:ascii="Arial" w:cs="Arial" w:eastAsia="Arial" w:hAnsi="Arial"/>
          <w:sz w:val="17"/>
          <w:szCs w:val="17"/>
          <w:color w:val="auto"/>
        </w:rPr>
        <w:t>Except as set forth in the Work Letter or as otherwise expressly set forth in this Lease: (i) Tenant shall accept the Premises in their condition as of the Commencement Date;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excluding the obligation to pay Base Rent and Operating Expenses.</w:t>
      </w:r>
    </w:p>
    <w:p>
      <w:pPr>
        <w:spacing w:after="0" w:line="193" w:lineRule="exact"/>
        <w:rPr>
          <w:sz w:val="20"/>
          <w:szCs w:val="20"/>
          <w:color w:val="auto"/>
        </w:rPr>
      </w:pPr>
    </w:p>
    <w:p>
      <w:pPr>
        <w:jc w:val="both"/>
        <w:ind w:left="80" w:right="140" w:firstLine="821"/>
        <w:spacing w:after="0" w:line="237" w:lineRule="auto"/>
        <w:rPr>
          <w:sz w:val="20"/>
          <w:szCs w:val="20"/>
          <w:color w:val="auto"/>
        </w:rPr>
      </w:pPr>
      <w:r>
        <w:rPr>
          <w:rFonts w:ascii="Arial" w:cs="Arial" w:eastAsia="Arial" w:hAnsi="Arial"/>
          <w:sz w:val="17"/>
          <w:szCs w:val="17"/>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76" w:lineRule="exact"/>
        <w:rPr>
          <w:sz w:val="20"/>
          <w:szCs w:val="20"/>
          <w:color w:val="auto"/>
        </w:rPr>
      </w:pPr>
    </w:p>
    <w:p>
      <w:pPr>
        <w:ind w:left="1760" w:hanging="847"/>
        <w:spacing w:after="0"/>
        <w:tabs>
          <w:tab w:leader="none" w:pos="176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201" w:lineRule="exact"/>
        <w:rPr>
          <w:sz w:val="20"/>
          <w:szCs w:val="20"/>
          <w:color w:val="auto"/>
        </w:rPr>
      </w:pPr>
    </w:p>
    <w:p>
      <w:pPr>
        <w:ind w:left="80" w:right="180" w:firstLine="827"/>
        <w:spacing w:after="0" w:line="258" w:lineRule="auto"/>
        <w:tabs>
          <w:tab w:leader="none" w:pos="2438"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Base Rent</w:t>
      </w:r>
      <w:r>
        <w:rPr>
          <w:rFonts w:ascii="Arial" w:cs="Arial" w:eastAsia="Arial" w:hAnsi="Arial"/>
          <w:sz w:val="16"/>
          <w:szCs w:val="16"/>
          <w:color w:val="auto"/>
        </w:rPr>
        <w:t>. The Security Deposit shall be due and payable concurrently with Tenant’s delivery of an executed copy</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Lease to Landlord. Base Rent for the month in which Rent Commencement Date occurs (or, if the Rent Commencement Date does not occur on the first day of a calendar month, Base Rent for the first full calendar month following the Rent Commencement Date) shall be due and</w:t>
      </w:r>
    </w:p>
    <w:p>
      <w:pPr>
        <w:spacing w:after="0" w:line="2" w:lineRule="exact"/>
        <w:rPr>
          <w:sz w:val="20"/>
          <w:szCs w:val="20"/>
          <w:color w:val="auto"/>
        </w:rPr>
      </w:pPr>
    </w:p>
    <w:p>
      <w:pPr>
        <w:ind w:left="80" w:right="220"/>
        <w:spacing w:after="0" w:line="237" w:lineRule="auto"/>
        <w:rPr>
          <w:sz w:val="20"/>
          <w:szCs w:val="20"/>
          <w:color w:val="auto"/>
        </w:rPr>
      </w:pPr>
      <w:r>
        <w:rPr>
          <w:rFonts w:ascii="Arial" w:cs="Arial" w:eastAsia="Arial" w:hAnsi="Arial"/>
          <w:sz w:val="17"/>
          <w:szCs w:val="17"/>
          <w:color w:val="auto"/>
        </w:rPr>
        <w:t xml:space="preserve">payable on the date that is days prior to the Rent Commencement Date. Tenant shall pay to Landlord in advance, without demand, abatement, deduction or set-off, monthly installments of Base Rent on or before the first day of each calendar month during the Term hereof from and after the Rent Commencement Date, in lawful money of the United States of America, at the office of Landlord for payment of Rent set forth above, or to such other person or at such other place as Landlord may from time to time designate in writing, or via federally insured wire transfer (including ACH) pursuant to the wire instructions provided by Landlord.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due hereunder except for any abatement as may be expressly provided in this Lease.</w:t>
      </w:r>
    </w:p>
    <w:p>
      <w:pPr>
        <w:spacing w:after="0" w:line="173" w:lineRule="exact"/>
        <w:rPr>
          <w:sz w:val="20"/>
          <w:szCs w:val="20"/>
          <w:color w:val="auto"/>
        </w:rPr>
      </w:pPr>
    </w:p>
    <w:p>
      <w:pPr>
        <w:ind w:left="780" w:right="820" w:hanging="776"/>
        <w:spacing w:after="0" w:line="270" w:lineRule="auto"/>
        <w:tabs>
          <w:tab w:leader="none" w:pos="154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(i)</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on the “</w:t>
      </w:r>
      <w:r>
        <w:rPr>
          <w:rFonts w:ascii="Arial" w:cs="Arial" w:eastAsia="Arial" w:hAnsi="Arial"/>
          <w:sz w:val="17"/>
          <w:szCs w:val="17"/>
          <w:b w:val="1"/>
          <w:bCs w:val="1"/>
          <w:color w:val="auto"/>
        </w:rPr>
        <w:t>OPEX Commencement Date</w:t>
      </w:r>
      <w:r>
        <w:rPr>
          <w:rFonts w:ascii="Arial" w:cs="Arial" w:eastAsia="Arial" w:hAnsi="Arial"/>
          <w:sz w:val="17"/>
          <w:szCs w:val="17"/>
          <w:color w:val="auto"/>
        </w:rPr>
        <w:t>”, which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431800</wp:posOffset>
            </wp:positionV>
            <wp:extent cx="715581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7" w:lineRule="auto"/>
        <w:rPr>
          <w:sz w:val="20"/>
          <w:szCs w:val="20"/>
          <w:color w:val="auto"/>
        </w:rPr>
      </w:pPr>
      <w:r>
        <w:rPr>
          <w:rFonts w:ascii="Arial" w:cs="Arial" w:eastAsia="Arial" w:hAnsi="Arial"/>
          <w:sz w:val="17"/>
          <w:szCs w:val="17"/>
          <w:color w:val="auto"/>
        </w:rPr>
        <w:t xml:space="preserve">be the earlier of the (x) Rent Commencement Date, and (y) the date that Tenant commences operating its business in all or a portion of the Premises (for the avoidance of doubt, preparing the Premises for operations shall not constitute Tenant operating its business for the purposes of this subsection (y)), Tenant’s Share of “Operating 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6" w:lineRule="exact"/>
        <w:rPr>
          <w:sz w:val="20"/>
          <w:szCs w:val="20"/>
          <w:color w:val="auto"/>
        </w:rPr>
      </w:pPr>
    </w:p>
    <w:p>
      <w:pPr>
        <w:ind w:left="1680" w:hanging="847"/>
        <w:spacing w:after="0"/>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Base Rent Adjustments</w:t>
      </w:r>
      <w:r>
        <w:rPr>
          <w:rFonts w:ascii="Arial" w:cs="Arial" w:eastAsia="Arial" w:hAnsi="Arial"/>
          <w:sz w:val="17"/>
          <w:szCs w:val="17"/>
          <w:color w:val="auto"/>
        </w:rPr>
        <w:t>.</w:t>
      </w:r>
    </w:p>
    <w:p>
      <w:pPr>
        <w:spacing w:after="0" w:line="201" w:lineRule="exact"/>
        <w:rPr>
          <w:sz w:val="20"/>
          <w:szCs w:val="20"/>
          <w:color w:val="auto"/>
        </w:rPr>
      </w:pPr>
    </w:p>
    <w:p>
      <w:pPr>
        <w:ind w:right="160" w:firstLine="825"/>
        <w:spacing w:after="0" w:line="251" w:lineRule="auto"/>
        <w:tabs>
          <w:tab w:leader="none" w:pos="2358"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Initial Base Rent</w:t>
      </w:r>
      <w:r>
        <w:rPr>
          <w:rFonts w:ascii="Arial" w:cs="Arial" w:eastAsia="Arial" w:hAnsi="Arial"/>
          <w:sz w:val="16"/>
          <w:szCs w:val="16"/>
          <w:color w:val="auto"/>
        </w:rPr>
        <w:t>. Notwithstanding anything to the contrary set forth on Page 1 of this Lease, the initial rate of Base</w:t>
      </w:r>
      <w:r>
        <w:rPr>
          <w:rFonts w:ascii="Arial" w:cs="Arial" w:eastAsia="Arial" w:hAnsi="Arial"/>
          <w:sz w:val="16"/>
          <w:szCs w:val="16"/>
          <w:b w:val="1"/>
          <w:bCs w:val="1"/>
          <w:color w:val="auto"/>
        </w:rPr>
        <w:t xml:space="preserve"> </w:t>
      </w:r>
      <w:r>
        <w:rPr>
          <w:rFonts w:ascii="Arial" w:cs="Arial" w:eastAsia="Arial" w:hAnsi="Arial"/>
          <w:sz w:val="16"/>
          <w:szCs w:val="16"/>
          <w:color w:val="auto"/>
        </w:rPr>
        <w:t>Rent payable by Tenant under this Lease during the first 12 months immediately following the Rent Commencement Date (the “</w:t>
      </w:r>
      <w:r>
        <w:rPr>
          <w:rFonts w:ascii="Arial" w:cs="Arial" w:eastAsia="Arial" w:hAnsi="Arial"/>
          <w:sz w:val="16"/>
          <w:szCs w:val="16"/>
          <w:b w:val="1"/>
          <w:bCs w:val="1"/>
          <w:color w:val="auto"/>
        </w:rPr>
        <w:t>Initial Base Rent</w:t>
      </w:r>
      <w:r>
        <w:rPr>
          <w:rFonts w:ascii="Arial" w:cs="Arial" w:eastAsia="Arial" w:hAnsi="Arial"/>
          <w:sz w:val="16"/>
          <w:szCs w:val="16"/>
          <w:color w:val="auto"/>
        </w:rPr>
        <w:t>”) shall be equal to the rate per rentable square foot of the Premises per year that will provide Landlord with a % annual return on Total Project Costs (as defined below) on a triple net basis (the “</w:t>
      </w:r>
      <w:r>
        <w:rPr>
          <w:rFonts w:ascii="Arial" w:cs="Arial" w:eastAsia="Arial" w:hAnsi="Arial"/>
          <w:sz w:val="16"/>
          <w:szCs w:val="16"/>
          <w:b w:val="1"/>
          <w:bCs w:val="1"/>
          <w:color w:val="auto"/>
        </w:rPr>
        <w:t>Annual Return Amount</w:t>
      </w:r>
      <w:r>
        <w:rPr>
          <w:rFonts w:ascii="Arial" w:cs="Arial" w:eastAsia="Arial" w:hAnsi="Arial"/>
          <w:sz w:val="16"/>
          <w:szCs w:val="16"/>
          <w:color w:val="auto"/>
        </w:rPr>
        <w:t xml:space="preserve">”). Notwithstanding the foregoing, Landlord and Tenant acknowledge and agree that (i) commencing on the Rent Commencement Date through the Base Rent Determination Date, Tenant shall pay Initial Base Rent at the rate set forth on page 1 of this Lease, which was determined based on an estimated Annual Return Amount, and (ii) the Initial Base Rent shall be subject to adjustment pursuant to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following the determination of the Total Project Costs. Landlord shall, within a reasonable period following the (x) final completion of Landlord’s Work (as defined in the Work Letter), (y) the earlier of disbursement of the full amount of the TI Allowance elected to be used by Tenant under the Work Letter or the occurrence of Outside TI Allowance Date (as defined in the Work Letter), (z) the payment by Landlord of the Total Project Costs (as defined below), determine the Initial Base Rent payable on the actual Annual Return Amount (the “</w:t>
      </w:r>
      <w:r>
        <w:rPr>
          <w:rFonts w:ascii="Arial" w:cs="Arial" w:eastAsia="Arial" w:hAnsi="Arial"/>
          <w:sz w:val="16"/>
          <w:szCs w:val="16"/>
          <w:b w:val="1"/>
          <w:bCs w:val="1"/>
          <w:color w:val="auto"/>
        </w:rPr>
        <w:t>Actual Initial Base Rent</w:t>
      </w:r>
      <w:r>
        <w:rPr>
          <w:rFonts w:ascii="Arial" w:cs="Arial" w:eastAsia="Arial" w:hAnsi="Arial"/>
          <w:sz w:val="16"/>
          <w:szCs w:val="16"/>
          <w:color w:val="auto"/>
        </w:rPr>
        <w:t>”), which determination shall be made no later than 18 months after the Rent Commencement Date (the “</w:t>
      </w:r>
      <w:r>
        <w:rPr>
          <w:rFonts w:ascii="Arial" w:cs="Arial" w:eastAsia="Arial" w:hAnsi="Arial"/>
          <w:sz w:val="16"/>
          <w:szCs w:val="16"/>
          <w:b w:val="1"/>
          <w:bCs w:val="1"/>
          <w:color w:val="auto"/>
        </w:rPr>
        <w:t>Base Rent Determination Date</w:t>
      </w:r>
      <w:r>
        <w:rPr>
          <w:rFonts w:ascii="Arial" w:cs="Arial" w:eastAsia="Arial" w:hAnsi="Arial"/>
          <w:sz w:val="16"/>
          <w:szCs w:val="16"/>
          <w:color w:val="auto"/>
        </w:rPr>
        <w:t xml:space="preserve">”); provided, however, that notwithstanding anything to the contrary contained herein, Landlord shall have the right to adjust the Actual Annual Return Amount to factor in any additional Total Project Costs incurred by Landlord following the Base Rent Determination Date including as a result of the final close-out of any construction matter that occurs after the Base Rent Determination Date, provided that Landlord shall provide Tenant with specific and detailed written notice detailing such additional costs and Tenant shall have the opportunity to verify the same. Landlord shall deliver written notice to Tenant of the actual Annual Return Amount and the Actual Initial Base Rent promptly following the Base Rent Determination Date. Tenant shall commence paying Base Rent under this Lease based on the Actual Initial Base Rent (subject to adjustment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on the first day of the calendar month following the Base Rent Determination Date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Rent Adjustment Date</w:t>
      </w:r>
      <w:r>
        <w:rPr>
          <w:rFonts w:ascii="Arial" w:cs="Arial" w:eastAsia="Arial" w:hAnsi="Arial"/>
          <w:sz w:val="16"/>
          <w:szCs w:val="16"/>
          <w:color w:val="auto"/>
        </w:rPr>
        <w:t>”). In the event that (i) the actual Annual Return Amount is less than the estimated Annual Return Amount on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Initial Base Rent was calculated, then the amount of Initial Base Rent shall be reduced based on the actual Annual Return Amount, and (ii) the actual Annual Return Amount is more than the estimated Annual Return Amount on which the Initial Base Rent was calculated, then the amount of Initial Base Rent shall be increased based on the actual Annual Return Amount. If Tenant’s actual payments of Base Rent during the period commencing on the Rent Commencement Date through the Base Rent Adjustment Date exceed the amount of Base Rent per rentable square foot of the Premises that would have been due and payable during such period, then the excess shall be applied by Landlord to Base Rent next coming due until such overage is exhausted. If the final Annual Return Amount exceeds the Tenant’s actual payments of Base Rent during the period commencing on the Rent Commencement Date through the Base Rent Adjustment Date, the excess shall be due and payable to Landlord by Tenant within 30 days after the Base Rent Adjustment Date. For illustration purposes only, attached to this Lease as </w:t>
      </w:r>
      <w:r>
        <w:rPr>
          <w:rFonts w:ascii="Arial" w:cs="Arial" w:eastAsia="Arial" w:hAnsi="Arial"/>
          <w:sz w:val="16"/>
          <w:szCs w:val="16"/>
          <w:b w:val="1"/>
          <w:bCs w:val="1"/>
          <w:color w:val="auto"/>
        </w:rPr>
        <w:t>Exhibit I</w:t>
      </w:r>
      <w:r>
        <w:rPr>
          <w:rFonts w:ascii="Arial" w:cs="Arial" w:eastAsia="Arial" w:hAnsi="Arial"/>
          <w:sz w:val="16"/>
          <w:szCs w:val="16"/>
          <w:color w:val="auto"/>
        </w:rPr>
        <w:t xml:space="preserve"> is an example reflecting the methodology that will be applied by Landlord to determine Base Rent based on the Total Project Costs and Annual Return Amount.</w:t>
      </w:r>
    </w:p>
    <w:p>
      <w:pPr>
        <w:spacing w:after="0" w:line="375" w:lineRule="exact"/>
        <w:rPr>
          <w:sz w:val="20"/>
          <w:szCs w:val="20"/>
          <w:color w:val="auto"/>
        </w:rPr>
      </w:pPr>
    </w:p>
    <w:p>
      <w:pPr>
        <w:jc w:val="both"/>
        <w:ind w:right="120" w:firstLine="824"/>
        <w:spacing w:after="0" w:line="252" w:lineRule="auto"/>
        <w:rPr>
          <w:sz w:val="20"/>
          <w:szCs w:val="20"/>
          <w:color w:val="auto"/>
        </w:rPr>
      </w:pPr>
      <w:r>
        <w:rPr>
          <w:rFonts w:ascii="Arial" w:cs="Arial" w:eastAsia="Arial" w:hAnsi="Arial"/>
          <w:sz w:val="17"/>
          <w:szCs w:val="17"/>
          <w:color w:val="auto"/>
        </w:rPr>
        <w:t>As used in this Lease, “</w:t>
      </w:r>
      <w:r>
        <w:rPr>
          <w:rFonts w:ascii="Arial" w:cs="Arial" w:eastAsia="Arial" w:hAnsi="Arial"/>
          <w:sz w:val="17"/>
          <w:szCs w:val="17"/>
          <w:b w:val="1"/>
          <w:bCs w:val="1"/>
          <w:color w:val="auto"/>
        </w:rPr>
        <w:t>Total Project Costs</w:t>
      </w:r>
      <w:r>
        <w:rPr>
          <w:rFonts w:ascii="Arial" w:cs="Arial" w:eastAsia="Arial" w:hAnsi="Arial"/>
          <w:sz w:val="17"/>
          <w:szCs w:val="17"/>
          <w:color w:val="auto"/>
        </w:rPr>
        <w:t>” shall mean the sum of all of the costs incurred by Landlord, whether before or after the date of this Lease through Project Close-Out in connection with the Property including, without limitation, a deemed land and infrastructure cost, the design and construction of the Core &amp; Shell of the Building and all related improvements and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449580</wp:posOffset>
            </wp:positionV>
            <wp:extent cx="715581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 Landlord shall make its records</w:t>
      </w:r>
    </w:p>
    <w:p>
      <w:pPr>
        <w:spacing w:after="0" w:line="235" w:lineRule="auto"/>
        <w:rPr>
          <w:sz w:val="20"/>
          <w:szCs w:val="20"/>
          <w:color w:val="auto"/>
        </w:rPr>
      </w:pPr>
      <w:r>
        <w:rPr>
          <w:rFonts w:ascii="Arial" w:cs="Arial" w:eastAsia="Arial" w:hAnsi="Arial"/>
          <w:sz w:val="17"/>
          <w:szCs w:val="17"/>
          <w:color w:val="auto"/>
        </w:rPr>
        <w:t>with respect to the Total Project Costs being incurred by Landlord available to Tenant on an “open book” basis through the design and</w:t>
      </w:r>
    </w:p>
    <w:p>
      <w:pPr>
        <w:spacing w:after="0" w:line="235" w:lineRule="auto"/>
        <w:rPr>
          <w:sz w:val="20"/>
          <w:szCs w:val="20"/>
          <w:color w:val="auto"/>
        </w:rPr>
      </w:pPr>
      <w:r>
        <w:rPr>
          <w:rFonts w:ascii="Arial" w:cs="Arial" w:eastAsia="Arial" w:hAnsi="Arial"/>
          <w:sz w:val="17"/>
          <w:szCs w:val="17"/>
          <w:color w:val="auto"/>
        </w:rPr>
        <w:t>construction of Landlord’s Work. For the avoidance of doubt, no portion of any contingency amount reflected in Landlord’s Work Budget unused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of the Project Close-Out shall be included in the calculation of Total Project Costs.</w:t>
      </w:r>
    </w:p>
    <w:p>
      <w:pPr>
        <w:spacing w:after="0" w:line="181" w:lineRule="exact"/>
        <w:rPr>
          <w:sz w:val="20"/>
          <w:szCs w:val="20"/>
          <w:color w:val="auto"/>
        </w:rPr>
      </w:pPr>
    </w:p>
    <w:p>
      <w:pPr>
        <w:jc w:val="both"/>
        <w:ind w:right="120" w:firstLine="824"/>
        <w:spacing w:after="0" w:line="24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Project Close-Out</w:t>
      </w:r>
      <w:r>
        <w:rPr>
          <w:rFonts w:ascii="Arial" w:cs="Arial" w:eastAsia="Arial" w:hAnsi="Arial"/>
          <w:sz w:val="17"/>
          <w:szCs w:val="17"/>
          <w:color w:val="auto"/>
        </w:rPr>
        <w:t xml:space="preserve">” is the first date following the Delivery of the Premises to Tenant in Tenant Improvement Work Readiness Condition that (1) all remaining Landlord’s Work has been substantially completed as evidenced by certification from the Architect (as defined in the Work Letter), (2) subject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the Work Letter, the full amount of the TI Allowance elected to be used by Tenant has been disbursed or the Outside TI Allowance Date has occurred such that Tenant is no longer entitled to any unrequested portion of the TI Allowance, (3) all contractors, subcontractors, suppliers, architects and others who supplied labor or materials with respect to Landlord’s Work have been paid in full; and (4) all punch list items in connection with Landlord’s Work have been completed. Notwithstanding the foregoing, in no event shall the Project Close-Out occur prior to the Rent Commencement Date.</w:t>
      </w:r>
    </w:p>
    <w:p>
      <w:pPr>
        <w:spacing w:after="0" w:line="172" w:lineRule="exact"/>
        <w:rPr>
          <w:sz w:val="20"/>
          <w:szCs w:val="20"/>
          <w:color w:val="auto"/>
        </w:rPr>
      </w:pPr>
    </w:p>
    <w:p>
      <w:pPr>
        <w:ind w:right="120" w:firstLine="825"/>
        <w:spacing w:after="0" w:line="244" w:lineRule="auto"/>
        <w:tabs>
          <w:tab w:leader="none" w:pos="2358"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Annual Adjustments</w:t>
      </w:r>
      <w:r>
        <w:rPr>
          <w:rFonts w:ascii="Arial" w:cs="Arial" w:eastAsia="Arial" w:hAnsi="Arial"/>
          <w:sz w:val="17"/>
          <w:szCs w:val="17"/>
          <w:color w:val="auto"/>
        </w:rPr>
        <w:t>. Base Rent shall be increased on each annual anniversary of the Rent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however, that if the Rent Commencement Date occurs on a day other than the first day of a calendar month, then Base Rent shall be increased on each annual anniversary of the first day of the first full calendar month immediately following the Rent Commencement Date) (each an “</w:t>
      </w:r>
      <w:r>
        <w:rPr>
          <w:rFonts w:ascii="Arial" w:cs="Arial" w:eastAsia="Arial" w:hAnsi="Arial"/>
          <w:sz w:val="17"/>
          <w:szCs w:val="17"/>
          <w:b w:val="1"/>
          <w:bCs w:val="1"/>
          <w:color w:val="auto"/>
        </w:rPr>
        <w:t>Adjustment Date</w:t>
      </w:r>
      <w:r>
        <w:rPr>
          <w:rFonts w:ascii="Arial" w:cs="Arial" w:eastAsia="Arial" w:hAnsi="Arial"/>
          <w:sz w:val="17"/>
          <w:szCs w:val="17"/>
          <w:color w:val="auto"/>
        </w:rPr>
        <w:t>”) by multiplying the Base Rent payable immediately before such Adjustment Date by the Rent Adjustment Percentage and adding the resulting amount to the 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445135</wp:posOffset>
            </wp:positionV>
            <wp:extent cx="715581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120"/>
        <w:spacing w:after="0" w:line="245" w:lineRule="auto"/>
        <w:rPr>
          <w:sz w:val="20"/>
          <w:szCs w:val="20"/>
          <w:color w:val="auto"/>
        </w:rPr>
      </w:pPr>
      <w:r>
        <w:rPr>
          <w:rFonts w:ascii="Arial" w:cs="Arial" w:eastAsia="Arial" w:hAnsi="Arial"/>
          <w:sz w:val="17"/>
          <w:szCs w:val="17"/>
          <w:color w:val="auto"/>
        </w:rPr>
        <w:t>payable immediately before such Adjustment Date. Base Rent, as so adjusted, shall thereafter be due as provided herein. Base Rent adjustments for any fractional calendar month shall be prorated.</w:t>
      </w:r>
    </w:p>
    <w:p>
      <w:pPr>
        <w:spacing w:after="0" w:line="169" w:lineRule="exact"/>
        <w:rPr>
          <w:sz w:val="20"/>
          <w:szCs w:val="20"/>
          <w:color w:val="auto"/>
        </w:rPr>
      </w:pPr>
    </w:p>
    <w:p>
      <w:pPr>
        <w:ind w:left="80" w:right="120" w:firstLine="825"/>
        <w:spacing w:after="0" w:line="238" w:lineRule="auto"/>
        <w:tabs>
          <w:tab w:leader="none" w:pos="2428"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Additional TI Allowance</w:t>
      </w:r>
      <w:r>
        <w:rPr>
          <w:rFonts w:ascii="Arial" w:cs="Arial" w:eastAsia="Arial" w:hAnsi="Arial"/>
          <w:sz w:val="17"/>
          <w:szCs w:val="17"/>
          <w:color w:val="auto"/>
        </w:rPr>
        <w:t>. In addition to the Tenant Improvement Allowance (as defined in the Work Letter),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subject to the terms of the Work Letter, make available to Tenant the Additional Tenant Improvement Allowance. Commencing on the Rent Commencement Date and continuing thereafter on the first day of each month during the Base Term, Tenant shall pay the amount necessary to fully amortize the portion of the Additional Tenant Improvement Allowance actually funded by Landlord, if any, in equal monthly payments with interest at a rate of % per annum over the Base Term, which interest shall begin to accrue on the date that Landlord first disburses such Additional Tenant Improvement Allowance or any portion(s) thereof (“</w:t>
      </w:r>
      <w:r>
        <w:rPr>
          <w:rFonts w:ascii="Arial" w:cs="Arial" w:eastAsia="Arial" w:hAnsi="Arial"/>
          <w:sz w:val="17"/>
          <w:szCs w:val="17"/>
          <w:b w:val="1"/>
          <w:bCs w:val="1"/>
          <w:color w:val="auto"/>
        </w:rPr>
        <w:t>TI Rent</w:t>
      </w:r>
      <w:r>
        <w:rPr>
          <w:rFonts w:ascii="Arial" w:cs="Arial" w:eastAsia="Arial" w:hAnsi="Arial"/>
          <w:sz w:val="17"/>
          <w:szCs w:val="17"/>
          <w:color w:val="auto"/>
        </w:rPr>
        <w:t xml:space="preserve">”). In the event that the Additional TI Allowance is disbursed in tranches, interest shall begin to accrue on the amount of each tranche on the date that such tranche is disbursed. The TI Rent shall not be subject to the annual adjustments pursuant to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above. If any portion of the Additional Tenant Improvement Allowance is, subject to the terms of the Work Letter, funded by Landlord after the Rent Commencement Date, the monthly amount of TI Rent payable by Tenant shall be adjustment in order to fully amortize the amounts funded after the Rent Commencement Date in equal monthly payments with interest at a rate of % per annum over the remaining Base Term. Tenant shall have the right, any time after the month after the Rent Commencement Date, to prepay in full the then outstanding and unamortized TI Rent, without penalty. Any TI Rent remaining unpaid as of the expiration or earlier termination of this Lease shall be paid to Landlord in a lump sum at the expiration or earlier termination of this Lease.</w:t>
      </w:r>
    </w:p>
    <w:p>
      <w:pPr>
        <w:spacing w:after="0" w:line="176" w:lineRule="exact"/>
        <w:rPr>
          <w:sz w:val="20"/>
          <w:szCs w:val="20"/>
          <w:color w:val="auto"/>
        </w:rPr>
      </w:pPr>
    </w:p>
    <w:p>
      <w:pPr>
        <w:ind w:left="80" w:right="220" w:firstLine="825"/>
        <w:spacing w:after="0" w:line="247" w:lineRule="auto"/>
        <w:tabs>
          <w:tab w:leader="none" w:pos="2373"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Operating Expense Payments</w:t>
      </w:r>
      <w:r>
        <w:rPr>
          <w:rFonts w:ascii="Arial" w:cs="Arial" w:eastAsia="Arial" w:hAnsi="Arial"/>
          <w:sz w:val="17"/>
          <w:szCs w:val="17"/>
          <w:color w:val="auto"/>
        </w:rPr>
        <w:t>. Landlord shall deliver to Tenant a written estimate of Operating Expenses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year during the Term (the “</w:t>
      </w:r>
      <w:r>
        <w:rPr>
          <w:rFonts w:ascii="Arial" w:cs="Arial" w:eastAsia="Arial" w:hAnsi="Arial"/>
          <w:sz w:val="17"/>
          <w:szCs w:val="17"/>
          <w:b w:val="1"/>
          <w:bCs w:val="1"/>
          <w:color w:val="auto"/>
        </w:rPr>
        <w:t>Annual Estimate</w:t>
      </w:r>
      <w:r>
        <w:rPr>
          <w:rFonts w:ascii="Arial" w:cs="Arial" w:eastAsia="Arial" w:hAnsi="Arial"/>
          <w:sz w:val="17"/>
          <w:szCs w:val="17"/>
          <w:color w:val="auto"/>
        </w:rPr>
        <w:t>”), which may be revised by Landlord from time to time during such calendar year. Commencing on the OPEX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66" w:lineRule="exact"/>
        <w:rPr>
          <w:sz w:val="20"/>
          <w:szCs w:val="20"/>
          <w:color w:val="auto"/>
        </w:rPr>
      </w:pPr>
    </w:p>
    <w:p>
      <w:pPr>
        <w:jc w:val="both"/>
        <w:ind w:left="80" w:right="120" w:firstLine="824"/>
        <w:spacing w:after="0" w:line="23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leased premises at the Project) (including, without duplication, (v)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(w) the cost of upgrades to the Common Areas of the Project or enhanced services provided with respect to the Common Areas of the Project which are intended to encourage social distancing, promote and protect health and physical well- being and/or intended to limit the spread of communicable diseases and/or viruses of any kind or nature (collectively, “</w:t>
      </w:r>
      <w:r>
        <w:rPr>
          <w:rFonts w:ascii="Arial" w:cs="Arial" w:eastAsia="Arial" w:hAnsi="Arial"/>
          <w:sz w:val="17"/>
          <w:szCs w:val="17"/>
          <w:b w:val="1"/>
          <w:bCs w:val="1"/>
          <w:color w:val="auto"/>
        </w:rPr>
        <w:t>Infectious</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(x) the cost (including, without limitation, any commercially reasonable subsidies which Landlord may provide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Amenities) of the Project Amenities now or hereafter located at the Project, (y) capital repairs, replacements and improvements amortized over the useful life of such capital items, as reasonably determined by Landlord taking into account 24 hours per day, 7 days per week operation of the Building (provided that those Operating Expenses incurred or accrued by Landlord with respect to any capital repairs, replacements or improvements which are for the intended purpose of promoting sustainability (for example, without limitation, by reducing energy usage at the Project) (a “</w:t>
      </w:r>
      <w:r>
        <w:rPr>
          <w:rFonts w:ascii="Arial" w:cs="Arial" w:eastAsia="Arial" w:hAnsi="Arial"/>
          <w:sz w:val="17"/>
          <w:szCs w:val="17"/>
          <w:b w:val="1"/>
          <w:bCs w:val="1"/>
          <w:color w:val="auto"/>
        </w:rPr>
        <w:t>Capital Sustainability Expenditure</w:t>
      </w:r>
      <w:r>
        <w:rPr>
          <w:rFonts w:ascii="Arial" w:cs="Arial" w:eastAsia="Arial" w:hAnsi="Arial"/>
          <w:sz w:val="17"/>
          <w:szCs w:val="17"/>
          <w:color w:val="auto"/>
        </w:rPr>
        <w:t>”) may be amortized over a shorter period, at Landlord’s discretion, to the extent the cost of a Capital Sustainability Expenditure is offset by a reduction in Operating Expenses), and (z) the costs of Landlord’s third party property manager (not to exceed % of base Rent) or, if there is no third party property manager, administration rent in the amount of % of Base Rent), excluding only:</w:t>
      </w:r>
    </w:p>
    <w:p>
      <w:pPr>
        <w:spacing w:after="0" w:line="204" w:lineRule="exact"/>
        <w:rPr>
          <w:sz w:val="20"/>
          <w:szCs w:val="20"/>
          <w:color w:val="auto"/>
        </w:rPr>
      </w:pPr>
    </w:p>
    <w:p>
      <w:pPr>
        <w:ind w:left="780" w:right="500" w:hanging="776"/>
        <w:spacing w:after="0" w:line="245" w:lineRule="auto"/>
        <w:tabs>
          <w:tab w:leader="none" w:pos="1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original construction costs of the Project and renovation prior to the date of this Lease and costs of correcting defects in such original construction or renovation;</w:t>
      </w:r>
    </w:p>
    <w:p>
      <w:pPr>
        <w:spacing w:after="0" w:line="188" w:lineRule="exact"/>
        <w:rPr>
          <w:rFonts w:ascii="Arial" w:cs="Arial" w:eastAsia="Arial" w:hAnsi="Arial"/>
          <w:sz w:val="17"/>
          <w:szCs w:val="17"/>
          <w:color w:val="auto"/>
        </w:rPr>
      </w:pPr>
    </w:p>
    <w:p>
      <w:pPr>
        <w:ind w:left="780" w:right="620" w:hanging="776"/>
        <w:spacing w:after="0" w:line="245" w:lineRule="auto"/>
        <w:tabs>
          <w:tab w:leader="none" w:pos="1542"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capital expenditures for expansion of the Project including capital expenditures for the design or construction of additional buildings at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445135</wp:posOffset>
            </wp:positionV>
            <wp:extent cx="715581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480" w:firstLine="827"/>
        <w:spacing w:after="0"/>
        <w:tabs>
          <w:tab w:leader="none" w:pos="2428"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interest, principal payments of Mortgage (as defined in </w:t>
      </w:r>
      <w:r>
        <w:rPr>
          <w:rFonts w:ascii="Arial" w:cs="Arial" w:eastAsia="Arial" w:hAnsi="Arial"/>
          <w:sz w:val="17"/>
          <w:szCs w:val="17"/>
          <w:u w:val="single" w:color="auto"/>
          <w:color w:val="auto"/>
        </w:rPr>
        <w:t>Section 27</w:t>
      </w:r>
      <w:r>
        <w:rPr>
          <w:rFonts w:ascii="Arial" w:cs="Arial" w:eastAsia="Arial" w:hAnsi="Arial"/>
          <w:sz w:val="17"/>
          <w:szCs w:val="17"/>
          <w:color w:val="auto"/>
        </w:rPr>
        <w:t>) debts of Landlord, financing costs and amortization of funds borrowed by Landlord, whether secured or unsecured and all payment of base rent (but not taxes or operating expenses) under any ground lease or other underlying lease of all or any portion of the Project;</w:t>
      </w:r>
    </w:p>
    <w:p>
      <w:pPr>
        <w:spacing w:after="0" w:line="192" w:lineRule="exact"/>
        <w:rPr>
          <w:rFonts w:ascii="Arial" w:cs="Arial" w:eastAsia="Arial" w:hAnsi="Arial"/>
          <w:sz w:val="17"/>
          <w:szCs w:val="17"/>
          <w:color w:val="auto"/>
        </w:rPr>
      </w:pPr>
    </w:p>
    <w:p>
      <w:pPr>
        <w:ind w:left="1540" w:hanging="1536"/>
        <w:spacing w:after="0"/>
        <w:tabs>
          <w:tab w:leader="none" w:pos="1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depreciation of the Project (except for capital improvements, the cost of which are includable in Operating Expenses);</w:t>
      </w:r>
    </w:p>
    <w:p>
      <w:pPr>
        <w:spacing w:after="0" w:line="200" w:lineRule="exact"/>
        <w:rPr>
          <w:rFonts w:ascii="Arial" w:cs="Arial" w:eastAsia="Arial" w:hAnsi="Arial"/>
          <w:sz w:val="17"/>
          <w:szCs w:val="17"/>
          <w:color w:val="auto"/>
        </w:rPr>
      </w:pPr>
    </w:p>
    <w:p>
      <w:pPr>
        <w:jc w:val="both"/>
        <w:ind w:left="780" w:right="280" w:hanging="776"/>
        <w:spacing w:after="0"/>
        <w:tabs>
          <w:tab w:leader="none" w:pos="1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92" w:lineRule="exact"/>
        <w:rPr>
          <w:rFonts w:ascii="Arial" w:cs="Arial" w:eastAsia="Arial" w:hAnsi="Arial"/>
          <w:sz w:val="17"/>
          <w:szCs w:val="17"/>
          <w:color w:val="auto"/>
        </w:rPr>
      </w:pPr>
    </w:p>
    <w:p>
      <w:pPr>
        <w:ind w:left="1760" w:hanging="847"/>
        <w:spacing w:after="0"/>
        <w:tabs>
          <w:tab w:leader="none" w:pos="17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legal and other expenses incurred in the negotiation or enforcement of leases;</w:t>
      </w:r>
    </w:p>
    <w:p>
      <w:pPr>
        <w:spacing w:after="0" w:line="201" w:lineRule="exact"/>
        <w:rPr>
          <w:sz w:val="20"/>
          <w:szCs w:val="20"/>
          <w:color w:val="auto"/>
        </w:rPr>
      </w:pPr>
    </w:p>
    <w:p>
      <w:pPr>
        <w:ind w:left="780" w:right="260" w:hanging="776"/>
        <w:spacing w:after="0" w:line="245" w:lineRule="auto"/>
        <w:tabs>
          <w:tab w:leader="none" w:pos="1542"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completing, fixturing, improving, renovating, painting, redecorating or other work, which Landlord pays for or performs for other tenants within their premises, and costs of correcting defects in such work;</w:t>
      </w:r>
    </w:p>
    <w:p>
      <w:pPr>
        <w:spacing w:after="0" w:line="188" w:lineRule="exact"/>
        <w:rPr>
          <w:rFonts w:ascii="Arial" w:cs="Arial" w:eastAsia="Arial" w:hAnsi="Arial"/>
          <w:sz w:val="17"/>
          <w:szCs w:val="17"/>
          <w:color w:val="auto"/>
        </w:rPr>
      </w:pPr>
    </w:p>
    <w:p>
      <w:pPr>
        <w:ind w:left="780" w:right="520" w:hanging="776"/>
        <w:spacing w:after="0" w:line="245" w:lineRule="auto"/>
        <w:tabs>
          <w:tab w:leader="none" w:pos="1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costs to be reimbursed by other tenants of the Project or Taxes to be paid directly by Tenant or other tenants of the Project, whether or not actually paid;</w:t>
      </w:r>
    </w:p>
    <w:p>
      <w:pPr>
        <w:spacing w:after="0" w:line="188" w:lineRule="exact"/>
        <w:rPr>
          <w:rFonts w:ascii="Arial" w:cs="Arial" w:eastAsia="Arial" w:hAnsi="Arial"/>
          <w:sz w:val="17"/>
          <w:szCs w:val="17"/>
          <w:color w:val="auto"/>
        </w:rPr>
      </w:pPr>
    </w:p>
    <w:p>
      <w:pPr>
        <w:ind w:left="80" w:right="120" w:firstLine="827"/>
        <w:spacing w:after="0" w:line="255" w:lineRule="auto"/>
        <w:tabs>
          <w:tab w:leader="none" w:pos="23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salaries, wages, benefits and other compensation paid to (i) personnel of Landlord or its agents or contractors above the position of the person, regardless of title, who has day-to-day management responsibility for the Project or (ii) officers and employees of Landlord or its affiliates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w:t>
      </w:r>
    </w:p>
    <w:p>
      <w:pPr>
        <w:sectPr>
          <w:pgSz w:w="11900" w:h="16838" w:orient="portrait"/>
          <w:cols w:equalWidth="0" w:num="1">
            <w:col w:w="11180"/>
          </w:cols>
          <w:pgMar w:left="380" w:top="118" w:right="3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(j)</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60" w:firstLine="762"/>
        <w:spacing w:after="0" w:line="238" w:lineRule="auto"/>
        <w:rPr>
          <w:sz w:val="20"/>
          <w:szCs w:val="20"/>
          <w:color w:val="auto"/>
        </w:rPr>
      </w:pPr>
      <w:r>
        <w:rPr>
          <w:rFonts w:ascii="Arial" w:cs="Arial" w:eastAsia="Arial" w:hAnsi="Arial"/>
          <w:sz w:val="17"/>
          <w:szCs w:val="17"/>
          <w:color w:val="auto"/>
        </w:rPr>
        <w:t>general organizational, administrative and overhead costs relating to maintaining Landlord’s existence, either as a corporation, partnership, or other entity, including general corporate, legal and accounting expenses, employee training programs, tenant relationship expenses, recruiting and/or placement fees, health or sports club dues and employee parking and transportation charges for regular commutes (but not for parking and transportation charges for meetings at locations other than the management office) and Landlord’s membership and business organization fees;</w:t>
      </w:r>
    </w:p>
    <w:p>
      <w:pPr>
        <w:spacing w:after="0" w:line="193" w:lineRule="exact"/>
        <w:rPr>
          <w:sz w:val="20"/>
          <w:szCs w:val="20"/>
          <w:color w:val="auto"/>
        </w:rPr>
      </w:pPr>
    </w:p>
    <w:p>
      <w:pPr>
        <w:sectPr>
          <w:pgSz w:w="11900" w:h="16838" w:orient="portrait"/>
          <w:cols w:equalWidth="0" w:num="2">
            <w:col w:w="160" w:space="620"/>
            <w:col w:w="10400"/>
          </w:cols>
          <w:pgMar w:left="380" w:top="118" w:right="339" w:bottom="1440" w:gutter="0" w:footer="0" w:header="0"/>
          <w:type w:val="continuous"/>
        </w:sectPr>
      </w:pPr>
    </w:p>
    <w:p>
      <w:pPr>
        <w:ind w:left="780" w:right="280" w:hanging="776"/>
        <w:spacing w:after="0" w:line="239" w:lineRule="auto"/>
        <w:tabs>
          <w:tab w:leader="none" w:pos="1542"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or Project;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20"/>
                <w:szCs w:val="20"/>
                <w:color w:val="auto"/>
              </w:rPr>
            </w:pPr>
            <w:r>
              <w:rPr>
                <w:rFonts w:ascii="Arial" w:cs="Arial" w:eastAsia="Arial" w:hAnsi="Arial"/>
                <w:sz w:val="17"/>
                <w:szCs w:val="17"/>
                <w:color w:val="auto"/>
              </w:rPr>
              <w:t>(l)</w:t>
            </w:r>
          </w:p>
        </w:tc>
        <w:tc>
          <w:tcPr>
            <w:tcW w:w="10200" w:type="dxa"/>
            <w:vAlign w:val="bottom"/>
            <w:gridSpan w:val="3"/>
          </w:tcPr>
          <w:p>
            <w:pPr>
              <w:ind w:left="1080"/>
              <w:spacing w:after="0"/>
              <w:rPr>
                <w:sz w:val="20"/>
                <w:szCs w:val="20"/>
                <w:color w:val="auto"/>
              </w:rPr>
            </w:pPr>
            <w:r>
              <w:rPr>
                <w:rFonts w:ascii="Arial" w:cs="Arial" w:eastAsia="Arial" w:hAnsi="Arial"/>
                <w:sz w:val="17"/>
                <w:szCs w:val="17"/>
                <w:color w:val="auto"/>
                <w:w w:val="98"/>
              </w:rPr>
              <w:t>costs incurred by Landlord due to the violation by Landlord, its employees, agents or contractors or any tenant of the terms</w:t>
            </w:r>
          </w:p>
        </w:tc>
      </w:tr>
      <w:tr>
        <w:trPr>
          <w:trHeight w:val="167"/>
        </w:trPr>
        <w:tc>
          <w:tcPr>
            <w:tcW w:w="460" w:type="dxa"/>
            <w:vAlign w:val="bottom"/>
          </w:tcPr>
          <w:p>
            <w:pPr>
              <w:spacing w:after="0"/>
              <w:rPr>
                <w:sz w:val="14"/>
                <w:szCs w:val="14"/>
                <w:color w:val="auto"/>
              </w:rPr>
            </w:pPr>
          </w:p>
        </w:tc>
        <w:tc>
          <w:tcPr>
            <w:tcW w:w="10200" w:type="dxa"/>
            <w:vAlign w:val="bottom"/>
            <w:gridSpan w:val="3"/>
          </w:tcPr>
          <w:p>
            <w:pPr>
              <w:ind w:left="320"/>
              <w:spacing w:after="0" w:line="167" w:lineRule="exact"/>
              <w:rPr>
                <w:sz w:val="20"/>
                <w:szCs w:val="20"/>
                <w:color w:val="auto"/>
              </w:rPr>
            </w:pPr>
            <w:r>
              <w:rPr>
                <w:rFonts w:ascii="Arial" w:cs="Arial" w:eastAsia="Arial" w:hAnsi="Arial"/>
                <w:sz w:val="17"/>
                <w:szCs w:val="17"/>
                <w:color w:val="auto"/>
              </w:rPr>
              <w:t>and conditions of any lease of space in the Project or any Legal Requirement (as defined in Section 7);</w:t>
            </w:r>
          </w:p>
        </w:tc>
      </w:tr>
      <w:tr>
        <w:trPr>
          <w:trHeight w:val="20"/>
        </w:trPr>
        <w:tc>
          <w:tcPr>
            <w:tcW w:w="4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91" w:lineRule="exact"/>
        <w:rPr>
          <w:sz w:val="20"/>
          <w:szCs w:val="20"/>
          <w:color w:val="auto"/>
        </w:rPr>
      </w:pPr>
    </w:p>
    <w:p>
      <w:pPr>
        <w:ind w:left="80" w:right="160" w:firstLine="825"/>
        <w:spacing w:after="0"/>
        <w:tabs>
          <w:tab w:leader="none" w:pos="2485" w:val="left"/>
        </w:tabs>
        <w:numPr>
          <w:ilvl w:val="1"/>
          <w:numId w:val="64"/>
        </w:numPr>
        <w:rPr>
          <w:rFonts w:ascii="Arial" w:cs="Arial" w:eastAsia="Arial" w:hAnsi="Arial"/>
          <w:sz w:val="17"/>
          <w:szCs w:val="17"/>
          <w:color w:val="auto"/>
        </w:rPr>
      </w:pPr>
      <w:r>
        <w:rPr>
          <w:rFonts w:ascii="Arial" w:cs="Arial" w:eastAsia="Arial" w:hAnsi="Arial"/>
          <w:sz w:val="17"/>
          <w:szCs w:val="17"/>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92" w:lineRule="exact"/>
        <w:rPr>
          <w:rFonts w:ascii="Arial" w:cs="Arial" w:eastAsia="Arial" w:hAnsi="Arial"/>
          <w:sz w:val="17"/>
          <w:szCs w:val="17"/>
          <w:color w:val="auto"/>
        </w:rPr>
      </w:pPr>
    </w:p>
    <w:p>
      <w:pPr>
        <w:ind w:left="780" w:right="320" w:hanging="776"/>
        <w:spacing w:after="0"/>
        <w:tabs>
          <w:tab w:leader="none" w:pos="1542" w:val="left"/>
        </w:tabs>
        <w:numPr>
          <w:ilvl w:val="0"/>
          <w:numId w:val="65"/>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447675</wp:posOffset>
            </wp:positionV>
            <wp:extent cx="715581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20"/>
        <w:spacing w:after="0"/>
        <w:tabs>
          <w:tab w:leader="none" w:pos="174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costs of Landlord’s charitable or political contributions, or of fine art maintained at the</w:t>
      </w:r>
    </w:p>
    <w:p>
      <w:pPr>
        <w:ind w:left="80"/>
        <w:spacing w:after="0"/>
        <w:rPr>
          <w:sz w:val="20"/>
          <w:szCs w:val="20"/>
          <w:color w:val="auto"/>
        </w:rPr>
      </w:pPr>
      <w:r>
        <w:rPr>
          <w:rFonts w:ascii="Arial" w:cs="Arial" w:eastAsia="Arial" w:hAnsi="Arial"/>
          <w:sz w:val="17"/>
          <w:szCs w:val="17"/>
          <w:color w:val="auto"/>
        </w:rPr>
        <w:t>Project;</w:t>
      </w:r>
    </w:p>
    <w:p>
      <w:pPr>
        <w:spacing w:after="0" w:line="175" w:lineRule="exact"/>
        <w:rPr>
          <w:sz w:val="20"/>
          <w:szCs w:val="20"/>
          <w:color w:val="auto"/>
        </w:rPr>
      </w:pPr>
    </w:p>
    <w:p>
      <w:pPr>
        <w:ind w:left="780" w:right="340" w:hanging="776"/>
        <w:spacing w:after="0"/>
        <w:tabs>
          <w:tab w:leader="none" w:pos="1542"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92" w:lineRule="exact"/>
        <w:rPr>
          <w:rFonts w:ascii="Arial" w:cs="Arial" w:eastAsia="Arial" w:hAnsi="Arial"/>
          <w:sz w:val="17"/>
          <w:szCs w:val="17"/>
          <w:color w:val="auto"/>
        </w:rPr>
      </w:pPr>
    </w:p>
    <w:p>
      <w:pPr>
        <w:ind w:left="1540" w:hanging="1536"/>
        <w:spacing w:after="0"/>
        <w:tabs>
          <w:tab w:leader="none" w:pos="1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costs incurred in the sale or refinancing of the Property or the Project (or any portion thereof);</w:t>
      </w:r>
    </w:p>
    <w:p>
      <w:pPr>
        <w:spacing w:after="0" w:line="200" w:lineRule="exact"/>
        <w:rPr>
          <w:rFonts w:ascii="Arial" w:cs="Arial" w:eastAsia="Arial" w:hAnsi="Arial"/>
          <w:sz w:val="17"/>
          <w:szCs w:val="17"/>
          <w:color w:val="auto"/>
        </w:rPr>
      </w:pPr>
    </w:p>
    <w:p>
      <w:pPr>
        <w:ind w:left="80" w:right="640" w:firstLine="827"/>
        <w:spacing w:after="0" w:line="245" w:lineRule="auto"/>
        <w:tabs>
          <w:tab w:leader="none" w:pos="24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88" w:lineRule="exact"/>
        <w:rPr>
          <w:rFonts w:ascii="Arial" w:cs="Arial" w:eastAsia="Arial" w:hAnsi="Arial"/>
          <w:sz w:val="17"/>
          <w:szCs w:val="17"/>
          <w:color w:val="auto"/>
        </w:rPr>
      </w:pPr>
    </w:p>
    <w:p>
      <w:pPr>
        <w:ind w:left="80" w:right="340" w:firstLine="827"/>
        <w:spacing w:after="0" w:line="245" w:lineRule="auto"/>
        <w:tabs>
          <w:tab w:leader="none" w:pos="2428"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costs or expenses otherwise includable in Operating Expenses to the extent actually reimbursed under insurance policies required to be maintained by Landlord in accordance with </w:t>
      </w:r>
      <w:r>
        <w:rPr>
          <w:rFonts w:ascii="Arial" w:cs="Arial" w:eastAsia="Arial" w:hAnsi="Arial"/>
          <w:sz w:val="17"/>
          <w:szCs w:val="17"/>
          <w:u w:val="single" w:color="auto"/>
          <w:color w:val="auto"/>
        </w:rPr>
        <w:t>Section 17</w:t>
      </w:r>
      <w:r>
        <w:rPr>
          <w:rFonts w:ascii="Arial" w:cs="Arial" w:eastAsia="Arial" w:hAnsi="Arial"/>
          <w:sz w:val="17"/>
          <w:szCs w:val="17"/>
          <w:color w:val="auto"/>
        </w:rPr>
        <w:t>;</w:t>
      </w:r>
    </w:p>
    <w:p>
      <w:pPr>
        <w:spacing w:after="0" w:line="163" w:lineRule="exact"/>
        <w:rPr>
          <w:rFonts w:ascii="Arial" w:cs="Arial" w:eastAsia="Arial" w:hAnsi="Arial"/>
          <w:sz w:val="17"/>
          <w:szCs w:val="17"/>
          <w:color w:val="auto"/>
        </w:rPr>
      </w:pPr>
    </w:p>
    <w:p>
      <w:pPr>
        <w:ind w:left="1760" w:hanging="847"/>
        <w:spacing w:after="0"/>
        <w:tabs>
          <w:tab w:leader="none" w:pos="17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Operating Expense reserves (including reserves for Taxes);</w:t>
      </w:r>
    </w:p>
    <w:p>
      <w:pPr>
        <w:spacing w:after="0" w:line="201" w:lineRule="exact"/>
        <w:rPr>
          <w:sz w:val="20"/>
          <w:szCs w:val="20"/>
          <w:color w:val="auto"/>
        </w:rPr>
      </w:pPr>
    </w:p>
    <w:p>
      <w:pPr>
        <w:ind w:left="780" w:right="400" w:hanging="776"/>
        <w:spacing w:after="0"/>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rentals of equipment ordinarily considered to be of a capital nature (such as elevators and HVAC systems) except if such equipment is reasonably and customarily leased either temporarily or permanently in the operation of comparable office and laboratory buildings in the Raleigh/Durham area;</w:t>
      </w:r>
    </w:p>
    <w:p>
      <w:pPr>
        <w:spacing w:after="0" w:line="192" w:lineRule="exact"/>
        <w:rPr>
          <w:rFonts w:ascii="Arial" w:cs="Arial" w:eastAsia="Arial" w:hAnsi="Arial"/>
          <w:sz w:val="17"/>
          <w:szCs w:val="17"/>
          <w:color w:val="auto"/>
        </w:rPr>
      </w:pPr>
    </w:p>
    <w:p>
      <w:pPr>
        <w:ind w:left="780" w:right="1040" w:hanging="776"/>
        <w:spacing w:after="0" w:line="245" w:lineRule="auto"/>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costs or expenses that are duplicative of maintenance and repair costs and expenses actually paid by Tenant in satisfaction of Tenant’s maintenance and repair obligations pursuant to this Lease;</w:t>
      </w:r>
    </w:p>
    <w:p>
      <w:pPr>
        <w:spacing w:after="0" w:line="188" w:lineRule="exact"/>
        <w:rPr>
          <w:rFonts w:ascii="Arial" w:cs="Arial" w:eastAsia="Arial" w:hAnsi="Arial"/>
          <w:sz w:val="17"/>
          <w:szCs w:val="17"/>
          <w:color w:val="auto"/>
        </w:rPr>
      </w:pPr>
    </w:p>
    <w:p>
      <w:pPr>
        <w:ind w:left="1540" w:hanging="1536"/>
        <w:spacing w:after="0"/>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costs or expenses occasioned by condemnation that are actually recovered by Landlord in any condemnation awards;</w:t>
      </w:r>
    </w:p>
    <w:p>
      <w:pPr>
        <w:spacing w:after="0" w:line="200" w:lineRule="exact"/>
        <w:rPr>
          <w:rFonts w:ascii="Arial" w:cs="Arial" w:eastAsia="Arial" w:hAnsi="Arial"/>
          <w:sz w:val="17"/>
          <w:szCs w:val="17"/>
          <w:color w:val="auto"/>
        </w:rPr>
      </w:pPr>
    </w:p>
    <w:p>
      <w:pPr>
        <w:ind w:left="1540" w:hanging="1536"/>
        <w:spacing w:after="0"/>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costs reimbursable to Landlord under any warranty carried by Landlord for the Building or the Project or any portion thereof;</w:t>
      </w:r>
    </w:p>
    <w:p>
      <w:pPr>
        <w:spacing w:after="0" w:line="200" w:lineRule="exact"/>
        <w:rPr>
          <w:rFonts w:ascii="Arial" w:cs="Arial" w:eastAsia="Arial" w:hAnsi="Arial"/>
          <w:sz w:val="17"/>
          <w:szCs w:val="17"/>
          <w:color w:val="auto"/>
        </w:rPr>
      </w:pPr>
    </w:p>
    <w:p>
      <w:pPr>
        <w:ind w:left="1540" w:hanging="1536"/>
        <w:spacing w:after="0"/>
        <w:tabs>
          <w:tab w:leader="none" w:pos="1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costs arising from the gross negligence or willful misconduct of Landlord or its agents, and employees;</w:t>
      </w:r>
    </w:p>
    <w:p>
      <w:pPr>
        <w:spacing w:after="0" w:line="200" w:lineRule="exact"/>
        <w:rPr>
          <w:rFonts w:ascii="Arial" w:cs="Arial" w:eastAsia="Arial" w:hAnsi="Arial"/>
          <w:sz w:val="17"/>
          <w:szCs w:val="17"/>
          <w:color w:val="auto"/>
        </w:rPr>
      </w:pPr>
    </w:p>
    <w:p>
      <w:pPr>
        <w:ind w:left="780" w:right="260" w:hanging="776"/>
        <w:spacing w:after="0"/>
        <w:tabs>
          <w:tab w:leader="none" w:pos="1542"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costs of repairs and other work occasioned by fire, windstorm, or other casualty for which Landlord is reimbursed by insurance or for which Landlord would have been reimbursed by insurance if Landlord failed to maintain the insurance which Landlord is required to maintain under this Lease;</w:t>
      </w:r>
    </w:p>
    <w:p>
      <w:pPr>
        <w:spacing w:after="0" w:line="193" w:lineRule="exact"/>
        <w:rPr>
          <w:sz w:val="20"/>
          <w:szCs w:val="20"/>
          <w:color w:val="auto"/>
        </w:rPr>
      </w:pPr>
    </w:p>
    <w:p>
      <w:pPr>
        <w:ind w:left="80" w:right="780" w:firstLine="824"/>
        <w:spacing w:after="0" w:line="245" w:lineRule="auto"/>
        <w:tabs>
          <w:tab w:leader="none" w:pos="25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any costs incurred to remove, study, test or remediate Hazardous Materials in or about the Premises, the Building or the Project for which Tenant is not responsible 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w:t>
      </w:r>
    </w:p>
    <w:p>
      <w:pPr>
        <w:spacing w:after="0" w:line="163" w:lineRule="exact"/>
        <w:rPr>
          <w:rFonts w:ascii="Arial" w:cs="Arial" w:eastAsia="Arial" w:hAnsi="Arial"/>
          <w:sz w:val="17"/>
          <w:szCs w:val="17"/>
          <w:color w:val="auto"/>
        </w:rPr>
      </w:pPr>
    </w:p>
    <w:p>
      <w:pPr>
        <w:ind w:left="2540" w:hanging="1614"/>
        <w:spacing w:after="0"/>
        <w:tabs>
          <w:tab w:leader="none" w:pos="25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cost of signs at the Project identifying Landlord or other tenants of the Project;</w:t>
      </w:r>
    </w:p>
    <w:p>
      <w:pPr>
        <w:spacing w:after="0" w:line="201" w:lineRule="exact"/>
        <w:rPr>
          <w:sz w:val="20"/>
          <w:szCs w:val="20"/>
          <w:color w:val="auto"/>
        </w:rPr>
      </w:pPr>
    </w:p>
    <w:p>
      <w:pPr>
        <w:ind w:left="80" w:right="140" w:firstLine="824"/>
        <w:spacing w:after="0" w:line="245" w:lineRule="auto"/>
        <w:tabs>
          <w:tab w:leader="none" w:pos="1237"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expenses otherwise includable within Operating Expenses to the extent actually reimbursed by persons other than tenants of the Project under leases for space in the Project.</w:t>
      </w:r>
    </w:p>
    <w:p>
      <w:pPr>
        <w:spacing w:after="0" w:line="169" w:lineRule="exact"/>
        <w:rPr>
          <w:sz w:val="20"/>
          <w:szCs w:val="20"/>
          <w:color w:val="auto"/>
        </w:rPr>
      </w:pPr>
    </w:p>
    <w:p>
      <w:pPr>
        <w:jc w:val="both"/>
        <w:ind w:left="80" w:right="120" w:firstLine="824"/>
        <w:spacing w:after="0" w:line="247" w:lineRule="auto"/>
        <w:rPr>
          <w:sz w:val="20"/>
          <w:szCs w:val="20"/>
          <w:color w:val="auto"/>
        </w:rPr>
      </w:pPr>
      <w:r>
        <w:rPr>
          <w:rFonts w:ascii="Arial" w:cs="Arial" w:eastAsia="Arial" w:hAnsi="Arial"/>
          <w:sz w:val="17"/>
          <w:szCs w:val="17"/>
          <w:color w:val="auto"/>
        </w:rPr>
        <w:t>Within 120 days after the end of each calendar year, Landlord shall furnish to Tenant a statement (an “</w:t>
      </w:r>
      <w:r>
        <w:rPr>
          <w:rFonts w:ascii="Arial" w:cs="Arial" w:eastAsia="Arial" w:hAnsi="Arial"/>
          <w:sz w:val="17"/>
          <w:szCs w:val="17"/>
          <w:b w:val="1"/>
          <w:bCs w:val="1"/>
          <w:color w:val="auto"/>
        </w:rPr>
        <w:t>Annual Statement</w:t>
      </w:r>
      <w:r>
        <w:rPr>
          <w:rFonts w:ascii="Arial" w:cs="Arial" w:eastAsia="Arial" w:hAnsi="Arial"/>
          <w:sz w:val="17"/>
          <w:szCs w:val="17"/>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451485</wp:posOffset>
            </wp:positionV>
            <wp:extent cx="715581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20" w:firstLine="824"/>
        <w:spacing w:after="0" w:line="236" w:lineRule="auto"/>
        <w:rPr>
          <w:sz w:val="20"/>
          <w:szCs w:val="20"/>
          <w:color w:val="auto"/>
        </w:rPr>
      </w:pPr>
      <w:r>
        <w:rPr>
          <w:rFonts w:ascii="Arial" w:cs="Arial" w:eastAsia="Arial" w:hAnsi="Arial"/>
          <w:sz w:val="17"/>
          <w:szCs w:val="17"/>
          <w:color w:val="auto"/>
        </w:rPr>
        <w:t>The Annual Statement shall be final and binding upon Tenant unless Tenant, within 120 days after Tenant’s receipt thereof, shall contest any item therein by giving written notice to Landlord, specifying each item contested and the reason therefor. If, during such 120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7"/>
          <w:szCs w:val="17"/>
          <w:b w:val="1"/>
          <w:bCs w:val="1"/>
          <w:color w:val="auto"/>
        </w:rPr>
        <w:t>Expense Information</w:t>
      </w:r>
      <w:r>
        <w:rPr>
          <w:rFonts w:ascii="Arial" w:cs="Arial" w:eastAsia="Arial" w:hAnsi="Arial"/>
          <w:sz w:val="17"/>
          <w:szCs w:val="17"/>
          <w:color w:val="auto"/>
        </w:rPr>
        <w:t>”). If after Tenant’s review of such Expense Information, Landlord and Tenant cannot agree upon the amount of Tenant’s Share of Operating Expenses, then Tenant shall have the right to have a regionally or nationally recognized independent public accounting firm or an auditing firm selected by Tenant and approved by Landlord (which approval shall not be unreasonably withheld or delayed), working pursuant to a fee arrangement other than a contingent fee (at Tenant’s sole cost and expense), audit and/or review the Expense Information for the year in question (the “</w:t>
      </w:r>
      <w:r>
        <w:rPr>
          <w:rFonts w:ascii="Arial" w:cs="Arial" w:eastAsia="Arial" w:hAnsi="Arial"/>
          <w:sz w:val="17"/>
          <w:szCs w:val="17"/>
          <w:b w:val="1"/>
          <w:bCs w:val="1"/>
          <w:color w:val="auto"/>
        </w:rPr>
        <w:t>Independent Review</w:t>
      </w:r>
      <w:r>
        <w:rPr>
          <w:rFonts w:ascii="Arial" w:cs="Arial" w:eastAsia="Arial" w:hAnsi="Arial"/>
          <w:sz w:val="17"/>
          <w:szCs w:val="17"/>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then Landlord shall reimburse Tenant for all costs incurred by Tenant for the Independent Review. Operating Expenses for the calendar years in which Tenant’s obligation to share therein begins and ends shall be prorated.</w:t>
      </w:r>
    </w:p>
    <w:p>
      <w:pPr>
        <w:spacing w:after="0" w:line="194" w:lineRule="exact"/>
        <w:rPr>
          <w:sz w:val="20"/>
          <w:szCs w:val="20"/>
          <w:color w:val="auto"/>
        </w:rPr>
      </w:pPr>
    </w:p>
    <w:p>
      <w:pPr>
        <w:jc w:val="both"/>
        <w:ind w:right="120" w:firstLine="824"/>
        <w:spacing w:after="0" w:line="235" w:lineRule="auto"/>
        <w:rPr>
          <w:sz w:val="20"/>
          <w:szCs w:val="20"/>
          <w:color w:val="auto"/>
        </w:rPr>
      </w:pPr>
      <w:r>
        <w:rPr>
          <w:rFonts w:ascii="Arial" w:cs="Arial" w:eastAsia="Arial" w:hAnsi="Arial"/>
          <w:sz w:val="17"/>
          <w:szCs w:val="17"/>
          <w:color w:val="auto"/>
        </w:rPr>
        <w:t>Following the first full calendar year after the Rent Commencement Date, that part of Operating Expenses which is comprised of Controllable Operating Expenses (as defined below) shall be increased by no more than per year. Such limitation of per year on increases shall be cumulative year to year, so that if in any year the increase in cumulative Operating Expenses is more or less than then the difference</w:t>
      </w:r>
    </w:p>
    <w:p>
      <w:pPr>
        <w:spacing w:after="0" w:line="1" w:lineRule="exact"/>
        <w:rPr>
          <w:sz w:val="20"/>
          <w:szCs w:val="20"/>
          <w:color w:val="auto"/>
        </w:rPr>
      </w:pPr>
    </w:p>
    <w:p>
      <w:pPr>
        <w:jc w:val="both"/>
        <w:ind w:right="120"/>
        <w:spacing w:after="0" w:line="237" w:lineRule="auto"/>
        <w:rPr>
          <w:sz w:val="20"/>
          <w:szCs w:val="20"/>
          <w:color w:val="auto"/>
        </w:rPr>
      </w:pPr>
      <w:r>
        <w:rPr>
          <w:rFonts w:ascii="Arial" w:cs="Arial" w:eastAsia="Arial" w:hAnsi="Arial"/>
          <w:sz w:val="17"/>
          <w:szCs w:val="17"/>
          <w:color w:val="auto"/>
        </w:rPr>
        <w:t>between and the actual percentage increase in that year may be carried forward to any future year, and may be applied in such future year to increase the actual percentage increase (even if more than for such year) subject to the limitation that Controllable Operating Expenses shall not have increased by more than compounded annually since the beginning of the Term. “</w:t>
      </w:r>
      <w:r>
        <w:rPr>
          <w:rFonts w:ascii="Arial" w:cs="Arial" w:eastAsia="Arial" w:hAnsi="Arial"/>
          <w:sz w:val="17"/>
          <w:szCs w:val="17"/>
          <w:b w:val="1"/>
          <w:bCs w:val="1"/>
          <w:color w:val="auto"/>
        </w:rPr>
        <w:t>Controllable Operating Expenses</w:t>
      </w:r>
      <w:r>
        <w:rPr>
          <w:rFonts w:ascii="Arial" w:cs="Arial" w:eastAsia="Arial" w:hAnsi="Arial"/>
          <w:sz w:val="17"/>
          <w:szCs w:val="17"/>
          <w:color w:val="auto"/>
        </w:rPr>
        <w:t>” shall mean those Project Operating Expenses for which increases are reasonably within the control of Landlord, and shall specifically not include, without limitation, Taxes, assessments, refuse and/or trash removal, insurance, collectively bargained union wages, electricity and other utilities, and/or those costs and expenses which Landlord reasonably determines to be necessary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457835</wp:posOffset>
            </wp:positionV>
            <wp:extent cx="715581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45" w:lineRule="auto"/>
        <w:rPr>
          <w:sz w:val="20"/>
          <w:szCs w:val="20"/>
          <w:color w:val="auto"/>
        </w:rPr>
      </w:pPr>
      <w:r>
        <w:rPr>
          <w:rFonts w:ascii="Arial" w:cs="Arial" w:eastAsia="Arial" w:hAnsi="Arial"/>
          <w:sz w:val="17"/>
          <w:szCs w:val="17"/>
          <w:color w:val="auto"/>
        </w:rPr>
        <w:t>with the prudent management and operation of the Project. There shall be no limitation on the amount of increase from year to year on Operating Expenses which are not Controllable Operating Expenses.</w:t>
      </w:r>
    </w:p>
    <w:p>
      <w:pPr>
        <w:spacing w:after="0" w:line="169" w:lineRule="exact"/>
        <w:rPr>
          <w:sz w:val="20"/>
          <w:szCs w:val="20"/>
          <w:color w:val="auto"/>
        </w:rPr>
      </w:pPr>
    </w:p>
    <w:p>
      <w:pPr>
        <w:jc w:val="both"/>
        <w:ind w:right="120" w:firstLine="825"/>
        <w:spacing w:after="0" w:line="236"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color w:val="auto"/>
        </w:rPr>
        <w:t>Building’s Share of Operating Expenses of Project</w:t>
      </w:r>
      <w:r>
        <w:rPr>
          <w:rFonts w:ascii="Arial" w:cs="Arial" w:eastAsia="Arial" w:hAnsi="Arial"/>
          <w:sz w:val="17"/>
          <w:szCs w:val="17"/>
          <w:color w:val="auto"/>
        </w:rPr>
        <w:t>” shall be the percentage set forth on the first page of this Lease as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Operating Expenses of Project as reasonably adjusted by Landlord for changes in the physical size of the Premises or the Project occurring thereafter including, without limitation, the addition to the Project of additional buildings (provided that when calculating such changes, the square footage of any Project Amenities shall not be factored into the denominator). Landlord shall, following the approval of the finalized TI Construction Drawings (as defined in the Work Letter) and prior to the Rent Commencement Date, cause the rentable square footage of the Building to be re-measured by the Architect (as defined in the Work Letter) in accordance with the Building Owners and Managers Association (ANSI/BOMA Z65.1-2017) for single-tenant Buildings. If the actual rentable square footage of the Building deviates from the amount specified in the definitions of “</w:t>
      </w:r>
      <w:r>
        <w:rPr>
          <w:rFonts w:ascii="Arial" w:cs="Arial" w:eastAsia="Arial" w:hAnsi="Arial"/>
          <w:sz w:val="17"/>
          <w:szCs w:val="17"/>
          <w:b w:val="1"/>
          <w:bCs w:val="1"/>
          <w:color w:val="auto"/>
        </w:rPr>
        <w:t>Premises</w:t>
      </w:r>
      <w:r>
        <w:rPr>
          <w:rFonts w:ascii="Arial" w:cs="Arial" w:eastAsia="Arial" w:hAnsi="Arial"/>
          <w:sz w:val="17"/>
          <w:szCs w:val="17"/>
          <w:color w:val="auto"/>
        </w:rPr>
        <w:t>,”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or “</w:t>
      </w:r>
      <w:r>
        <w:rPr>
          <w:rFonts w:ascii="Arial" w:cs="Arial" w:eastAsia="Arial" w:hAnsi="Arial"/>
          <w:sz w:val="17"/>
          <w:szCs w:val="17"/>
          <w:b w:val="1"/>
          <w:bCs w:val="1"/>
          <w:color w:val="auto"/>
        </w:rPr>
        <w:t>Rentable Area of Building</w:t>
      </w:r>
      <w:r>
        <w:rPr>
          <w:rFonts w:ascii="Arial" w:cs="Arial" w:eastAsia="Arial" w:hAnsi="Arial"/>
          <w:sz w:val="17"/>
          <w:szCs w:val="17"/>
          <w:color w:val="auto"/>
        </w:rPr>
        <w:t>” on page 1 of this Lease, then, promptly following such measurement, this Lease shall be amended so as to (i) reflect the actual rentable square footage thereof in the definitions of “</w:t>
      </w:r>
      <w:r>
        <w:rPr>
          <w:rFonts w:ascii="Arial" w:cs="Arial" w:eastAsia="Arial" w:hAnsi="Arial"/>
          <w:sz w:val="17"/>
          <w:szCs w:val="17"/>
          <w:b w:val="1"/>
          <w:bCs w:val="1"/>
          <w:color w:val="auto"/>
        </w:rPr>
        <w:t>Premises,</w:t>
      </w:r>
      <w:r>
        <w:rPr>
          <w:rFonts w:ascii="Arial" w:cs="Arial" w:eastAsia="Arial" w:hAnsi="Arial"/>
          <w:sz w:val="17"/>
          <w:szCs w:val="17"/>
          <w:color w:val="auto"/>
        </w:rPr>
        <w:t>”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w:t>
      </w:r>
      <w:r>
        <w:rPr>
          <w:rFonts w:ascii="Arial" w:cs="Arial" w:eastAsia="Arial" w:hAnsi="Arial"/>
          <w:sz w:val="17"/>
          <w:szCs w:val="17"/>
          <w:b w:val="1"/>
          <w:bCs w:val="1"/>
          <w:color w:val="auto"/>
        </w:rPr>
        <w:t>Rentable Area of Building</w:t>
      </w:r>
      <w:r>
        <w:rPr>
          <w:rFonts w:ascii="Arial" w:cs="Arial" w:eastAsia="Arial" w:hAnsi="Arial"/>
          <w:sz w:val="17"/>
          <w:szCs w:val="17"/>
          <w:color w:val="auto"/>
        </w:rPr>
        <w:t>” and “</w:t>
      </w:r>
      <w:r>
        <w:rPr>
          <w:rFonts w:ascii="Arial" w:cs="Arial" w:eastAsia="Arial" w:hAnsi="Arial"/>
          <w:sz w:val="17"/>
          <w:szCs w:val="17"/>
          <w:b w:val="1"/>
          <w:bCs w:val="1"/>
          <w:color w:val="auto"/>
        </w:rPr>
        <w:t>Rentable Area of Project</w:t>
      </w:r>
      <w:r>
        <w:rPr>
          <w:rFonts w:ascii="Arial" w:cs="Arial" w:eastAsia="Arial" w:hAnsi="Arial"/>
          <w:sz w:val="17"/>
          <w:szCs w:val="17"/>
          <w:color w:val="auto"/>
        </w:rPr>
        <w:t>,” and (ii) appropriately adjust the amount set forth in the definition of “</w:t>
      </w:r>
      <w:r>
        <w:rPr>
          <w:rFonts w:ascii="Arial" w:cs="Arial" w:eastAsia="Arial" w:hAnsi="Arial"/>
          <w:sz w:val="17"/>
          <w:szCs w:val="17"/>
          <w:b w:val="1"/>
          <w:bCs w:val="1"/>
          <w:color w:val="auto"/>
        </w:rPr>
        <w:t>Building’s Share of Operating Expenses of Project</w:t>
      </w:r>
      <w:r>
        <w:rPr>
          <w:rFonts w:ascii="Arial" w:cs="Arial" w:eastAsia="Arial" w:hAnsi="Arial"/>
          <w:sz w:val="17"/>
          <w:szCs w:val="17"/>
          <w:color w:val="auto"/>
        </w:rPr>
        <w:t xml:space="preserve">” which was calculated based on the rentable square footages of the Premises, Building and Project originally set forth on page 1. Landlord and Tenant acknowledge and agree that following the date that the square footage of the Project Amenities has been determined by Landlord, the rentable square footage of the Premises shall be increased to include the Premises’ pro rata share of the core factor attributable to the Project Amenities, as reasonably determined by Landlord. Base Rent, as determined pursuant to </w:t>
      </w:r>
      <w:r>
        <w:rPr>
          <w:rFonts w:ascii="Arial" w:cs="Arial" w:eastAsia="Arial" w:hAnsi="Arial"/>
          <w:sz w:val="17"/>
          <w:szCs w:val="17"/>
          <w:u w:val="single" w:color="auto"/>
          <w:color w:val="auto"/>
        </w:rPr>
        <w:t>Section 4(a)</w:t>
      </w:r>
      <w:r>
        <w:rPr>
          <w:rFonts w:ascii="Arial" w:cs="Arial" w:eastAsia="Arial" w:hAnsi="Arial"/>
          <w:sz w:val="17"/>
          <w:szCs w:val="17"/>
          <w:color w:val="auto"/>
        </w:rPr>
        <w:t>, shall be payable on a per rentable square foot per year basis on the full rentable square footage of the Premises calculated to reflect the results of the re-measurement and addition of the Premises’ pro rata share of the core factor attributable to the Project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20"/>
                <w:szCs w:val="20"/>
                <w:color w:val="auto"/>
              </w:rPr>
            </w:pPr>
            <w:r>
              <w:rPr>
                <w:rFonts w:ascii="Arial" w:cs="Arial" w:eastAsia="Arial" w:hAnsi="Arial"/>
                <w:sz w:val="17"/>
                <w:szCs w:val="17"/>
                <w:color w:val="auto"/>
              </w:rPr>
              <w:t>Amenities, up to a cap of</w:t>
            </w:r>
          </w:p>
        </w:tc>
        <w:tc>
          <w:tcPr>
            <w:tcW w:w="3560" w:type="dxa"/>
            <w:vAlign w:val="bottom"/>
          </w:tcPr>
          <w:p>
            <w:pPr>
              <w:spacing w:after="0"/>
              <w:rPr>
                <w:sz w:val="16"/>
                <w:szCs w:val="16"/>
                <w:color w:val="auto"/>
              </w:rPr>
            </w:pPr>
          </w:p>
        </w:tc>
        <w:tc>
          <w:tcPr>
            <w:tcW w:w="3620" w:type="dxa"/>
            <w:vAlign w:val="bottom"/>
            <w:gridSpan w:val="3"/>
          </w:tcPr>
          <w:p>
            <w:pPr>
              <w:jc w:val="right"/>
              <w:spacing w:after="0"/>
              <w:rPr>
                <w:sz w:val="20"/>
                <w:szCs w:val="20"/>
                <w:color w:val="auto"/>
              </w:rPr>
            </w:pPr>
            <w:r>
              <w:rPr>
                <w:rFonts w:ascii="Arial" w:cs="Arial" w:eastAsia="Arial" w:hAnsi="Arial"/>
                <w:sz w:val="17"/>
                <w:szCs w:val="17"/>
                <w:color w:val="auto"/>
              </w:rPr>
              <w:t>square feet of Project Amenities. For example,</w:t>
            </w:r>
          </w:p>
        </w:tc>
      </w:tr>
      <w:tr>
        <w:trPr>
          <w:trHeight w:val="167"/>
        </w:trPr>
        <w:tc>
          <w:tcPr>
            <w:tcW w:w="8620" w:type="dxa"/>
            <w:vAlign w:val="bottom"/>
            <w:gridSpan w:val="4"/>
          </w:tcPr>
          <w:p>
            <w:pPr>
              <w:spacing w:after="0" w:line="167" w:lineRule="exact"/>
              <w:rPr>
                <w:sz w:val="20"/>
                <w:szCs w:val="20"/>
                <w:color w:val="auto"/>
              </w:rPr>
            </w:pPr>
            <w:r>
              <w:rPr>
                <w:rFonts w:ascii="Arial" w:cs="Arial" w:eastAsia="Arial" w:hAnsi="Arial"/>
                <w:sz w:val="17"/>
                <w:szCs w:val="17"/>
                <w:color w:val="auto"/>
              </w:rPr>
              <w:t>if (1) the then-current Base Rent payable with respect to the Premises as determined pursuant to Section 4 is $</w:t>
            </w:r>
          </w:p>
        </w:tc>
        <w:tc>
          <w:tcPr>
            <w:tcW w:w="2360" w:type="dxa"/>
            <w:vAlign w:val="bottom"/>
          </w:tcPr>
          <w:p>
            <w:pPr>
              <w:jc w:val="right"/>
              <w:spacing w:after="0" w:line="167" w:lineRule="exact"/>
              <w:rPr>
                <w:sz w:val="20"/>
                <w:szCs w:val="20"/>
                <w:color w:val="auto"/>
              </w:rPr>
            </w:pPr>
            <w:r>
              <w:rPr>
                <w:rFonts w:ascii="Arial" w:cs="Arial" w:eastAsia="Arial" w:hAnsi="Arial"/>
                <w:sz w:val="17"/>
                <w:szCs w:val="17"/>
                <w:color w:val="auto"/>
              </w:rPr>
              <w:t>per rentable square foot of the</w:t>
            </w:r>
          </w:p>
        </w:tc>
      </w:tr>
      <w:tr>
        <w:trPr>
          <w:trHeight w:val="20"/>
        </w:trPr>
        <w:tc>
          <w:tcPr>
            <w:tcW w:w="38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7"/>
                <w:szCs w:val="17"/>
                <w:color w:val="auto"/>
              </w:rPr>
              <w:t>Premises  per  year,  and  (2)  the  Premises’</w:t>
            </w:r>
          </w:p>
        </w:tc>
        <w:tc>
          <w:tcPr>
            <w:tcW w:w="4820" w:type="dxa"/>
            <w:vAlign w:val="bottom"/>
            <w:gridSpan w:val="3"/>
          </w:tcPr>
          <w:p>
            <w:pPr>
              <w:ind w:left="180"/>
              <w:spacing w:after="0"/>
              <w:rPr>
                <w:sz w:val="20"/>
                <w:szCs w:val="20"/>
                <w:color w:val="auto"/>
              </w:rPr>
            </w:pPr>
            <w:r>
              <w:rPr>
                <w:rFonts w:ascii="Arial" w:cs="Arial" w:eastAsia="Arial" w:hAnsi="Arial"/>
                <w:sz w:val="17"/>
                <w:szCs w:val="17"/>
                <w:color w:val="auto"/>
              </w:rPr>
              <w:t>pro  rata  share  of  the  core  factor  attributable  to  the</w:t>
            </w:r>
          </w:p>
        </w:tc>
        <w:tc>
          <w:tcPr>
            <w:tcW w:w="2360" w:type="dxa"/>
            <w:vAlign w:val="bottom"/>
          </w:tcPr>
          <w:p>
            <w:pPr>
              <w:jc w:val="right"/>
              <w:spacing w:after="0"/>
              <w:rPr>
                <w:sz w:val="20"/>
                <w:szCs w:val="20"/>
                <w:color w:val="auto"/>
              </w:rPr>
            </w:pPr>
            <w:r>
              <w:rPr>
                <w:rFonts w:ascii="Arial" w:cs="Arial" w:eastAsia="Arial" w:hAnsi="Arial"/>
                <w:sz w:val="17"/>
                <w:szCs w:val="17"/>
                <w:color w:val="auto"/>
              </w:rPr>
              <w:t>Project  Amenities  is  equal</w:t>
            </w:r>
          </w:p>
        </w:tc>
      </w:tr>
      <w:tr>
        <w:trPr>
          <w:trHeight w:val="192"/>
        </w:trPr>
        <w:tc>
          <w:tcPr>
            <w:tcW w:w="3800" w:type="dxa"/>
            <w:vAlign w:val="bottom"/>
          </w:tcPr>
          <w:p>
            <w:pPr>
              <w:spacing w:after="0" w:line="192" w:lineRule="exact"/>
              <w:rPr>
                <w:sz w:val="20"/>
                <w:szCs w:val="20"/>
                <w:color w:val="auto"/>
              </w:rPr>
            </w:pPr>
            <w:r>
              <w:rPr>
                <w:rFonts w:ascii="Arial" w:cs="Arial" w:eastAsia="Arial" w:hAnsi="Arial"/>
                <w:sz w:val="17"/>
                <w:szCs w:val="17"/>
                <w:color w:val="auto"/>
              </w:rPr>
              <w:t>to</w:t>
            </w:r>
          </w:p>
        </w:tc>
        <w:tc>
          <w:tcPr>
            <w:tcW w:w="7180" w:type="dxa"/>
            <w:vAlign w:val="bottom"/>
            <w:gridSpan w:val="4"/>
          </w:tcPr>
          <w:p>
            <w:pPr>
              <w:jc w:val="right"/>
              <w:spacing w:after="0" w:line="192" w:lineRule="exact"/>
              <w:rPr>
                <w:sz w:val="20"/>
                <w:szCs w:val="20"/>
                <w:color w:val="auto"/>
              </w:rPr>
            </w:pPr>
            <w:r>
              <w:rPr>
                <w:rFonts w:ascii="Arial" w:cs="Arial" w:eastAsia="Arial" w:hAnsi="Arial"/>
                <w:sz w:val="17"/>
                <w:szCs w:val="17"/>
                <w:color w:val="auto"/>
              </w:rPr>
              <w:t>square feet, then as of the date of such determination, Tenant shall</w:t>
            </w:r>
          </w:p>
        </w:tc>
      </w:tr>
      <w:tr>
        <w:trPr>
          <w:trHeight w:val="192"/>
        </w:trPr>
        <w:tc>
          <w:tcPr>
            <w:tcW w:w="3800" w:type="dxa"/>
            <w:vAlign w:val="bottom"/>
          </w:tcPr>
          <w:p>
            <w:pPr>
              <w:spacing w:after="0" w:line="192" w:lineRule="exact"/>
              <w:rPr>
                <w:sz w:val="20"/>
                <w:szCs w:val="20"/>
                <w:color w:val="auto"/>
              </w:rPr>
            </w:pPr>
            <w:r>
              <w:rPr>
                <w:rFonts w:ascii="Arial" w:cs="Arial" w:eastAsia="Arial" w:hAnsi="Arial"/>
                <w:sz w:val="17"/>
                <w:szCs w:val="17"/>
                <w:color w:val="auto"/>
              </w:rPr>
              <w:t>be required to pay Base Rent in the amount of</w:t>
            </w:r>
          </w:p>
        </w:tc>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per rentable square foot with respect to</w:t>
            </w:r>
          </w:p>
        </w:tc>
        <w:tc>
          <w:tcPr>
            <w:tcW w:w="4820" w:type="dxa"/>
            <w:vAlign w:val="bottom"/>
            <w:gridSpan w:val="3"/>
          </w:tcPr>
          <w:p>
            <w:pPr>
              <w:ind w:left="2900"/>
              <w:spacing w:after="0"/>
              <w:rPr>
                <w:sz w:val="20"/>
                <w:szCs w:val="20"/>
                <w:color w:val="auto"/>
              </w:rPr>
            </w:pPr>
            <w:r>
              <w:rPr>
                <w:rFonts w:ascii="Arial" w:cs="Arial" w:eastAsia="Arial" w:hAnsi="Arial"/>
                <w:sz w:val="17"/>
                <w:szCs w:val="17"/>
                <w:color w:val="auto"/>
              </w:rPr>
              <w:t>rentable square feet.</w:t>
            </w:r>
          </w:p>
        </w:tc>
        <w:tc>
          <w:tcPr>
            <w:tcW w:w="2360" w:type="dxa"/>
            <w:vAlign w:val="bottom"/>
          </w:tcPr>
          <w:p>
            <w:pPr>
              <w:spacing w:after="0"/>
              <w:rPr>
                <w:sz w:val="17"/>
                <w:szCs w:val="17"/>
                <w:color w:val="auto"/>
              </w:rPr>
            </w:pPr>
          </w:p>
        </w:tc>
      </w:tr>
    </w:tbl>
    <w:p>
      <w:pPr>
        <w:spacing w:after="0" w:line="192" w:lineRule="exact"/>
        <w:rPr>
          <w:sz w:val="20"/>
          <w:szCs w:val="20"/>
          <w:color w:val="auto"/>
        </w:rPr>
      </w:pPr>
    </w:p>
    <w:p>
      <w:pPr>
        <w:jc w:val="both"/>
        <w:ind w:right="140" w:firstLine="822"/>
        <w:spacing w:after="0" w:line="239" w:lineRule="auto"/>
        <w:rPr>
          <w:sz w:val="20"/>
          <w:szCs w:val="20"/>
          <w:color w:val="auto"/>
        </w:rPr>
      </w:pPr>
      <w:r>
        <w:rPr>
          <w:rFonts w:ascii="Arial" w:cs="Arial" w:eastAsia="Arial" w:hAnsi="Arial"/>
          <w:sz w:val="17"/>
          <w:szCs w:val="17"/>
          <w:color w:val="auto"/>
        </w:rPr>
        <w:t>Landlord may equitably increase Tenant’s Share of Operating Expenses of Project for any item of expense or cost reimbursable by Tenant that relates to a repair, replacement, or service that benefits only the Premises or only a portion of the Building or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172" w:lineRule="exact"/>
        <w:rPr>
          <w:sz w:val="20"/>
          <w:szCs w:val="20"/>
          <w:color w:val="auto"/>
        </w:rPr>
      </w:pPr>
    </w:p>
    <w:p>
      <w:pPr>
        <w:ind w:right="140" w:firstLine="825"/>
        <w:spacing w:after="0" w:line="254" w:lineRule="auto"/>
        <w:tabs>
          <w:tab w:leader="none" w:pos="2293"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upon delivery of an executed copy of this Lease to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xml:space="preserve">”): (i) in form and substance reasonably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State of North Carolina.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until Tenant shall have replaced the expired Letter of Credit with a new Letter of Credit consistent with the requirements herein, at which time Landlord shall refund the amount of the previously drawn Letter of Credit to Tenant less any amounts applied under this Lease.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Landlord may use all or any part of the Security Deposit to pay delinquent 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441960</wp:posOffset>
            </wp:positionV>
            <wp:extent cx="715581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 xml:space="preserve">under this Lease, future rent damages,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includes the right to use the Security Deposit to pay future rent damages following the termination of this Lease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below. If Landlord draws down on the Letter of Credit in accordance with this </w:t>
      </w:r>
      <w:r>
        <w:rPr>
          <w:rFonts w:ascii="Arial" w:cs="Arial" w:eastAsia="Arial" w:hAnsi="Arial"/>
          <w:sz w:val="17"/>
          <w:szCs w:val="17"/>
          <w:u w:val="single" w:color="auto"/>
          <w:color w:val="auto"/>
        </w:rPr>
        <w:t>Section 6</w:t>
      </w:r>
      <w:r>
        <w:rPr>
          <w:rFonts w:ascii="Arial" w:cs="Arial" w:eastAsia="Arial" w:hAnsi="Arial"/>
          <w:sz w:val="17"/>
          <w:szCs w:val="17"/>
          <w:color w:val="auto"/>
        </w:rPr>
        <w:t>, then Tenant shall, within 10 business days of written demand, deliver a replacement Letter of Credit or an amendment to the existing Letter of Credit reasonably acceptable to Landlord which restores the Letter of Credit to the full amount of the Security set forth on Page 1 of this Lease.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60 days after the expiration or earlier termination of this Lease.</w:t>
      </w:r>
    </w:p>
    <w:p>
      <w:pPr>
        <w:spacing w:after="0" w:line="197" w:lineRule="exact"/>
        <w:rPr>
          <w:sz w:val="20"/>
          <w:szCs w:val="20"/>
          <w:color w:val="auto"/>
        </w:rPr>
      </w:pPr>
    </w:p>
    <w:p>
      <w:pPr>
        <w:jc w:val="both"/>
        <w:ind w:right="140" w:firstLine="822"/>
        <w:spacing w:after="0" w:line="239" w:lineRule="auto"/>
        <w:rPr>
          <w:sz w:val="20"/>
          <w:szCs w:val="20"/>
          <w:color w:val="auto"/>
        </w:rPr>
      </w:pPr>
      <w:r>
        <w:rPr>
          <w:rFonts w:ascii="Arial" w:cs="Arial" w:eastAsia="Arial" w:hAnsi="Arial"/>
          <w:sz w:val="17"/>
          <w:szCs w:val="17"/>
          <w:color w:val="auto"/>
        </w:rPr>
        <w:t xml:space="preserve">Tenant has advised Landlord that Tenant requires additional time to obtain the Letter of Credit. Tenant is required to deliver an approved and effective Letter of Credit to Landlord no later than 14 days after the mutual execution and delivery of this Lease by the parties. Tenant’s failure to deliver such Letter of Credit to Landlord pursuant to the terms of this paragraph shall constitute a Default under </w:t>
      </w:r>
      <w:r>
        <w:rPr>
          <w:rFonts w:ascii="Arial" w:cs="Arial" w:eastAsia="Arial" w:hAnsi="Arial"/>
          <w:sz w:val="17"/>
          <w:szCs w:val="17"/>
          <w:u w:val="single" w:color="auto"/>
          <w:color w:val="auto"/>
        </w:rPr>
        <w:t>Section 20</w:t>
      </w:r>
      <w:r>
        <w:rPr>
          <w:rFonts w:ascii="Arial" w:cs="Arial" w:eastAsia="Arial" w:hAnsi="Arial"/>
          <w:sz w:val="17"/>
          <w:szCs w:val="17"/>
          <w:color w:val="auto"/>
        </w:rPr>
        <w:t xml:space="preserve"> of the Lease.</w:t>
      </w:r>
    </w:p>
    <w:p>
      <w:pPr>
        <w:spacing w:after="0" w:line="192" w:lineRule="exact"/>
        <w:rPr>
          <w:sz w:val="20"/>
          <w:szCs w:val="20"/>
          <w:color w:val="auto"/>
        </w:rPr>
      </w:pPr>
    </w:p>
    <w:p>
      <w:pPr>
        <w:jc w:val="both"/>
        <w:ind w:right="120" w:firstLine="824"/>
        <w:spacing w:after="0" w:line="237" w:lineRule="auto"/>
        <w:rPr>
          <w:sz w:val="20"/>
          <w:szCs w:val="20"/>
          <w:color w:val="auto"/>
        </w:rPr>
      </w:pPr>
      <w:r>
        <w:rPr>
          <w:rFonts w:ascii="Arial" w:cs="Arial" w:eastAsia="Arial" w:hAnsi="Arial"/>
          <w:sz w:val="17"/>
          <w:szCs w:val="17"/>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96" w:lineRule="exact"/>
        <w:rPr>
          <w:sz w:val="20"/>
          <w:szCs w:val="20"/>
          <w:color w:val="auto"/>
        </w:rPr>
      </w:pPr>
    </w:p>
    <w:p>
      <w:pPr>
        <w:ind w:right="140" w:firstLine="822"/>
        <w:spacing w:after="0" w:line="235" w:lineRule="auto"/>
        <w:rPr>
          <w:sz w:val="20"/>
          <w:szCs w:val="20"/>
          <w:color w:val="auto"/>
        </w:rPr>
      </w:pPr>
      <w:r>
        <w:rPr>
          <w:rFonts w:ascii="Arial" w:cs="Arial" w:eastAsia="Arial" w:hAnsi="Arial"/>
          <w:sz w:val="17"/>
          <w:szCs w:val="17"/>
          <w:color w:val="auto"/>
        </w:rPr>
        <w:t>If, at any time during the Term of this Lease, (i) Tenant is not then in Default under this Lease, (ii) has not Defaulted under this Lease more than times, and (iii) Tenant maintains an average equity market cap in excess of</w:t>
      </w:r>
    </w:p>
    <w:p>
      <w:pPr>
        <w:spacing w:after="0" w:line="1" w:lineRule="exact"/>
        <w:rPr>
          <w:sz w:val="20"/>
          <w:szCs w:val="20"/>
          <w:color w:val="auto"/>
        </w:rPr>
      </w:pPr>
    </w:p>
    <w:p>
      <w:pPr>
        <w:jc w:val="both"/>
        <w:ind w:right="120"/>
        <w:spacing w:after="0" w:line="239" w:lineRule="auto"/>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Reduction Requirements</w:t>
      </w:r>
      <w:r>
        <w:rPr>
          <w:rFonts w:ascii="Arial" w:cs="Arial" w:eastAsia="Arial" w:hAnsi="Arial"/>
          <w:sz w:val="17"/>
          <w:szCs w:val="17"/>
          <w:color w:val="auto"/>
        </w:rPr>
        <w:t>” and each a “</w:t>
      </w:r>
      <w:r>
        <w:rPr>
          <w:rFonts w:ascii="Arial" w:cs="Arial" w:eastAsia="Arial" w:hAnsi="Arial"/>
          <w:sz w:val="17"/>
          <w:szCs w:val="17"/>
          <w:b w:val="1"/>
          <w:bCs w:val="1"/>
          <w:color w:val="auto"/>
        </w:rPr>
        <w:t>Reduction Requirement</w:t>
      </w:r>
      <w:r>
        <w:rPr>
          <w:rFonts w:ascii="Arial" w:cs="Arial" w:eastAsia="Arial" w:hAnsi="Arial"/>
          <w:sz w:val="17"/>
          <w:szCs w:val="17"/>
          <w:color w:val="auto"/>
        </w:rPr>
        <w:t xml:space="preserve">”), then, following written request from Tenant along with evidence reasonably satisfactory to Landlord reflecting that the Reduction Requirement reflected in subsection (iii) above has been satisfied, the requirement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for Tenant to maintain a Security Deposit shall terminate and Landlord shall, within a reasonable period thereafter, release the Letter of Credit then held by Landlord.</w:t>
      </w:r>
    </w:p>
    <w:p>
      <w:pPr>
        <w:spacing w:after="0" w:line="172" w:lineRule="exact"/>
        <w:rPr>
          <w:sz w:val="20"/>
          <w:szCs w:val="20"/>
          <w:color w:val="auto"/>
        </w:rPr>
      </w:pPr>
    </w:p>
    <w:p>
      <w:pPr>
        <w:ind w:right="120" w:firstLine="825"/>
        <w:spacing w:after="0"/>
        <w:tabs>
          <w:tab w:leader="none" w:pos="2293"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Use</w:t>
      </w:r>
      <w:r>
        <w:rPr>
          <w:rFonts w:ascii="Arial" w:cs="Arial" w:eastAsia="Arial" w:hAnsi="Arial"/>
          <w:sz w:val="17"/>
          <w:szCs w:val="17"/>
          <w:color w:val="auto"/>
        </w:rPr>
        <w:t>. The Premises shall be used solely for the Permitted Use set forth in the basic lease provisions on page 1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in compliance 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7"/>
          <w:szCs w:val="17"/>
          <w:b w:val="1"/>
          <w:bCs w:val="1"/>
          <w:color w:val="auto"/>
        </w:rPr>
        <w:t>ADA</w:t>
      </w:r>
      <w:r>
        <w:rPr>
          <w:rFonts w:ascii="Arial" w:cs="Arial" w:eastAsia="Arial" w:hAnsi="Arial"/>
          <w:sz w:val="17"/>
          <w:szCs w:val="17"/>
          <w:color w:val="auto"/>
        </w:rPr>
        <w:t>”) (collectively, “</w:t>
      </w:r>
      <w:r>
        <w:rPr>
          <w:rFonts w:ascii="Arial" w:cs="Arial" w:eastAsia="Arial" w:hAnsi="Arial"/>
          <w:sz w:val="17"/>
          <w:szCs w:val="17"/>
          <w:b w:val="1"/>
          <w:bCs w:val="1"/>
          <w:color w:val="auto"/>
        </w:rPr>
        <w:t>Legal Requirements</w:t>
      </w:r>
      <w:r>
        <w:rPr>
          <w:rFonts w:ascii="Arial" w:cs="Arial" w:eastAsia="Arial" w:hAnsi="Arial"/>
          <w:sz w:val="17"/>
          <w:szCs w:val="17"/>
          <w:color w:val="auto"/>
        </w:rPr>
        <w:t>” and each, a “</w:t>
      </w:r>
      <w:r>
        <w:rPr>
          <w:rFonts w:ascii="Arial" w:cs="Arial" w:eastAsia="Arial" w:hAnsi="Arial"/>
          <w:sz w:val="17"/>
          <w:szCs w:val="17"/>
          <w:b w:val="1"/>
          <w:bCs w:val="1"/>
          <w:color w:val="auto"/>
        </w:rPr>
        <w:t>Legal Requirement</w:t>
      </w:r>
      <w:r>
        <w:rPr>
          <w:rFonts w:ascii="Arial" w:cs="Arial" w:eastAsia="Arial" w:hAnsi="Arial"/>
          <w:sz w:val="17"/>
          <w:szCs w:val="17"/>
          <w:color w:val="auto"/>
        </w:rPr>
        <w:t xml:space="preserve">”). Tenant shall, upon 5 days’ written notice from Landlord, discontinue any use of the Premises which is declared by any Governmental Authority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having jurisdiction to be a violation of a Legal Requirement. Tenant will not use or permit the Premises to be used for any purpose or in any manner that would void Tenant’s or Landlord’s insurance, increase the insurance risk, or cause the disallowance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448310</wp:posOffset>
            </wp:positionV>
            <wp:extent cx="715581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of any sprinkler or other credits. The Permitted Use as defined in this Lease will not result in the voidance of or an increased insurance risk or cause the disallowance of any sprinkler or other credits with respect to the insurance currently being maintained by Landlord.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particular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Tenant shall not place any machinery or equipment which would overload the floor in or upon the Premises or transport or move such items through the Common Areas of the Project or in the Building elevators without the prior written consent of Landlord, which consent shall not be unreasonably withheld, conditioned or delayed.</w:t>
      </w:r>
    </w:p>
    <w:p>
      <w:pPr>
        <w:spacing w:after="0" w:line="198" w:lineRule="exact"/>
        <w:rPr>
          <w:sz w:val="20"/>
          <w:szCs w:val="20"/>
          <w:color w:val="auto"/>
        </w:rPr>
      </w:pPr>
    </w:p>
    <w:p>
      <w:pPr>
        <w:jc w:val="both"/>
        <w:ind w:right="120" w:firstLine="823"/>
        <w:spacing w:after="0" w:line="236" w:lineRule="auto"/>
        <w:rPr>
          <w:sz w:val="20"/>
          <w:szCs w:val="20"/>
          <w:color w:val="auto"/>
        </w:rPr>
      </w:pPr>
      <w:r>
        <w:rPr>
          <w:rFonts w:ascii="Arial" w:cs="Arial" w:eastAsia="Arial" w:hAnsi="Arial"/>
          <w:sz w:val="17"/>
          <w:szCs w:val="17"/>
          <w:color w:val="auto"/>
        </w:rPr>
        <w:t>Landlord shall be responsible, at Landlord’s cost and not as part of Operating Expenses, for the compliance of the Common Areas of the Project with Legal Requirements, including the ADA, as of the Commencement Date. Following the Commencement Date, Landlord shall, as an Operating Expense (to the extent such Legal Requirement is generally applicable to similar buildings in the area in which the Project is located) or at Tenant’s expense (to the extent such Legal Requirement is triggered by reason of Tenant’s, as compared to other tenants of the Project, particular use of the Premises, the Tenant Improvements or Tenant’s Alterations) make any alterations or modifications to the Common Areas or the exterior of the Building that are required by Legal Requirements. Except as otherwise expressly provided in this paragraph, Tenant, at its sole expense, shall make any alterations or modifications to the interior of the Premises that are required by Legal Requirements (including, without limitation, compliance of the Premises with the ADA) related to Tenant’s particular use or occupancy of the Premises, the Tenant Improvements or Tenant’s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7"/>
          <w:szCs w:val="17"/>
          <w:b w:val="1"/>
          <w:bCs w:val="1"/>
          <w:color w:val="auto"/>
        </w:rPr>
        <w:t>Claims</w:t>
      </w:r>
      <w:r>
        <w:rPr>
          <w:rFonts w:ascii="Arial" w:cs="Arial" w:eastAsia="Arial" w:hAnsi="Arial"/>
          <w:sz w:val="17"/>
          <w:szCs w:val="17"/>
          <w:color w:val="auto"/>
        </w:rPr>
        <w:t>”) arising out of or in connection with Legal Requirements related to Tenant’s particular use or occupancy of the Premises, the Tenant Improvements or Tenant’s Alterations, and Tenant shall indemnify, defend, hold and save Landlord harmless from and against any and all Claims arising out of or in connection with any failure of the Premises to comply with any Legal Requirements related to Tenant’s particular use or occupancy of the Premises, the Tenant Improvements or Tenant’s Alterations.</w:t>
      </w:r>
    </w:p>
    <w:p>
      <w:pPr>
        <w:spacing w:after="0" w:line="196" w:lineRule="exact"/>
        <w:rPr>
          <w:sz w:val="20"/>
          <w:szCs w:val="20"/>
          <w:color w:val="auto"/>
        </w:rPr>
      </w:pPr>
    </w:p>
    <w:p>
      <w:pPr>
        <w:jc w:val="both"/>
        <w:ind w:right="120" w:firstLine="823"/>
        <w:spacing w:after="0" w:line="239" w:lineRule="auto"/>
        <w:rPr>
          <w:sz w:val="20"/>
          <w:szCs w:val="20"/>
          <w:color w:val="auto"/>
        </w:rPr>
      </w:pPr>
      <w:r>
        <w:rPr>
          <w:rFonts w:ascii="Arial" w:cs="Arial" w:eastAsia="Arial" w:hAnsi="Arial"/>
          <w:sz w:val="17"/>
          <w:szCs w:val="17"/>
          <w:color w:val="auto"/>
        </w:rPr>
        <w:t>Tenant acknowledges that Landlord may, but shall not be obligated to, seek to obtain Leadership in Energy and Environmental Design (LEED), WELL Building Standard, or other similar “green” certification with respect to the Project and/or the Premises, and Tenant agrees to reasonably cooperate with Landlord, at no material cost to Tenant, and to provide such information and/or documentation as Landlord may reasonably request, in connection therewith.</w:t>
      </w:r>
    </w:p>
    <w:p>
      <w:pPr>
        <w:spacing w:after="0" w:line="200" w:lineRule="exact"/>
        <w:rPr>
          <w:sz w:val="20"/>
          <w:szCs w:val="20"/>
          <w:color w:val="auto"/>
        </w:rPr>
      </w:pPr>
    </w:p>
    <w:p>
      <w:pPr>
        <w:spacing w:after="0" w:line="356" w:lineRule="exact"/>
        <w:rPr>
          <w:sz w:val="20"/>
          <w:szCs w:val="20"/>
          <w:color w:val="auto"/>
        </w:rPr>
      </w:pPr>
    </w:p>
    <w:p>
      <w:pPr>
        <w:ind w:right="140" w:firstLine="825"/>
        <w:spacing w:after="0" w:line="256" w:lineRule="auto"/>
        <w:tabs>
          <w:tab w:leader="none" w:pos="2293"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of the 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w:t>
      </w:r>
    </w:p>
    <w:p>
      <w:pPr>
        <w:spacing w:after="0" w:line="1" w:lineRule="exact"/>
        <w:rPr>
          <w:rFonts w:ascii="Arial" w:cs="Arial" w:eastAsia="Arial" w:hAnsi="Arial"/>
          <w:sz w:val="16"/>
          <w:szCs w:val="16"/>
          <w:color w:val="auto"/>
        </w:rPr>
      </w:pPr>
    </w:p>
    <w:p>
      <w:pPr>
        <w:ind w:right="260" w:firstLine="2"/>
        <w:spacing w:after="0" w:line="245" w:lineRule="auto"/>
        <w:tabs>
          <w:tab w:leader="none" w:pos="26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Tenant shall continue to pay Base Rent in the amount payable upon the date of the expiration or earlier termination of this Lease or such other amount as Landlord may indicate, in Landlord’s sole and absolute discretion, in such written consent, and (iv)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445135</wp:posOffset>
            </wp:positionV>
            <wp:extent cx="715581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0" w:right="120"/>
        <w:spacing w:after="0" w:line="235" w:lineRule="auto"/>
        <w:rPr>
          <w:sz w:val="20"/>
          <w:szCs w:val="20"/>
          <w:color w:val="auto"/>
        </w:rPr>
      </w:pPr>
      <w:r>
        <w:rPr>
          <w:rFonts w:ascii="Arial" w:cs="Arial" w:eastAsia="Arial" w:hAnsi="Arial"/>
          <w:sz w:val="17"/>
          <w:szCs w:val="17"/>
          <w:color w:val="auto"/>
        </w:rPr>
        <w:t>other payments shall continue under the terms of this Lease. If Tenant remains in possession of the Premises after the expiration or earlier termination of the Term without the express written consent of Landlord, (A) Tenant shall become a tenant at sufferance upon the terms of this</w:t>
      </w:r>
    </w:p>
    <w:p>
      <w:pPr>
        <w:spacing w:after="0" w:line="1" w:lineRule="exact"/>
        <w:rPr>
          <w:sz w:val="20"/>
          <w:szCs w:val="20"/>
          <w:color w:val="auto"/>
        </w:rPr>
      </w:pPr>
    </w:p>
    <w:p>
      <w:pPr>
        <w:jc w:val="both"/>
        <w:ind w:left="80" w:right="120"/>
        <w:spacing w:after="0" w:line="237" w:lineRule="auto"/>
        <w:rPr>
          <w:sz w:val="20"/>
          <w:szCs w:val="20"/>
          <w:color w:val="auto"/>
        </w:rPr>
      </w:pPr>
      <w:r>
        <w:rPr>
          <w:rFonts w:ascii="Arial" w:cs="Arial" w:eastAsia="Arial" w:hAnsi="Arial"/>
          <w:sz w:val="17"/>
          <w:szCs w:val="17"/>
          <w:color w:val="auto"/>
        </w:rPr>
        <w:t xml:space="preserve">Lease except that the monthly rental shall be equal to of Rent in effect during the last days of the Term, and (B) if Tenant holds over in excess of days, Tenant shall be responsible for all damages suffered by Landlord resulting from or occasioned by Tenant’s holding over, including consequential damages; provided, however, that if Tenant delivers a written inquiry to Landlord within days prior to the expiration or earlier termination of the Term, Landlord will notify Tenant whether the potential exists for consequential damages. No holding over by Tenant, whether with or without consent of Landlord, shall operate to extend this Lease except as otherwise expressly provided, and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75" w:lineRule="exact"/>
        <w:rPr>
          <w:sz w:val="20"/>
          <w:szCs w:val="20"/>
          <w:color w:val="auto"/>
        </w:rPr>
      </w:pPr>
    </w:p>
    <w:p>
      <w:pPr>
        <w:ind w:left="80" w:right="160" w:firstLine="825"/>
        <w:spacing w:after="0" w:line="239" w:lineRule="auto"/>
        <w:tabs>
          <w:tab w:leader="none" w:pos="2373" w:val="left"/>
        </w:tabs>
        <w:numPr>
          <w:ilvl w:val="1"/>
          <w:numId w:val="74"/>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Landlord shall pay, as part of Operating Expenses, all taxes, levies, fees, assessments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of any kind, existing as of the Commencement Date or thereafter enacted (collectively referred to as “</w:t>
      </w:r>
      <w:r>
        <w:rPr>
          <w:rFonts w:ascii="Arial" w:cs="Arial" w:eastAsia="Arial" w:hAnsi="Arial"/>
          <w:sz w:val="17"/>
          <w:szCs w:val="17"/>
          <w:b w:val="1"/>
          <w:bCs w:val="1"/>
          <w:color w:val="auto"/>
        </w:rPr>
        <w:t>Taxes</w:t>
      </w:r>
      <w:r>
        <w:rPr>
          <w:rFonts w:ascii="Arial" w:cs="Arial" w:eastAsia="Arial" w:hAnsi="Arial"/>
          <w:sz w:val="17"/>
          <w:szCs w:val="17"/>
          <w:color w:val="auto"/>
        </w:rPr>
        <w:t>”), imposed by any federal, state, regional, municipal, local or other governmental authority or agency, including, without limitation, quasi-public agencies (collectively, “</w:t>
      </w:r>
      <w:r>
        <w:rPr>
          <w:rFonts w:ascii="Arial" w:cs="Arial" w:eastAsia="Arial" w:hAnsi="Arial"/>
          <w:sz w:val="17"/>
          <w:szCs w:val="17"/>
          <w:b w:val="1"/>
          <w:bCs w:val="1"/>
          <w:color w:val="auto"/>
        </w:rPr>
        <w:t>Governmental Authority</w:t>
      </w:r>
      <w:r>
        <w:rPr>
          <w:rFonts w:ascii="Arial" w:cs="Arial" w:eastAsia="Arial" w:hAnsi="Arial"/>
          <w:sz w:val="17"/>
          <w:szCs w:val="17"/>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w:t>
      </w:r>
    </w:p>
    <w:p>
      <w:pPr>
        <w:spacing w:after="0" w:line="1" w:lineRule="exact"/>
        <w:rPr>
          <w:rFonts w:ascii="Arial" w:cs="Arial" w:eastAsia="Arial" w:hAnsi="Arial"/>
          <w:sz w:val="17"/>
          <w:szCs w:val="17"/>
          <w:color w:val="auto"/>
        </w:rPr>
      </w:pPr>
    </w:p>
    <w:p>
      <w:pPr>
        <w:ind w:left="80" w:right="120" w:firstLine="2"/>
        <w:spacing w:after="0" w:line="250" w:lineRule="auto"/>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If Landlord secures an abatement or refund for the Project for a period during the Term, Tenant shall receive Tenant’s Share of such abatement or refund (i.e., the net amount after paying all reasonable costs and expenses of securing the abatement or refund, including reasonable attorneys’ fees) as credit to be applied by Landlord against Operating Expenses next coming due (or, if no further Operating Expenses are due from Tenant under this Lease and Tenant is not in Default under this Lease, a cash payment to Tenant). Taxes shall not include any net income taxes or franchise, estate, inheritance, succession, gift or excess profit taxes imposed on Landlord except to the extent such taxes are in substitution for any Taxes payable hereunder, or any penalties for late payment of Taxes.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attributed by the applicable taxing authority to improvements in or alterations to the Premises, whether owned by Landlord or Tenant and whether or not affixed to the real property so as to become a part thereof, Landlord shall have the right, but not the obligation, to pay such</w:t>
      </w:r>
    </w:p>
    <w:p>
      <w:pPr>
        <w:ind w:left="80" w:right="140"/>
        <w:spacing w:after="0" w:line="276" w:lineRule="auto"/>
        <w:rPr>
          <w:rFonts w:ascii="Arial" w:cs="Arial" w:eastAsia="Arial" w:hAnsi="Arial"/>
          <w:sz w:val="16"/>
          <w:szCs w:val="16"/>
          <w:color w:val="auto"/>
        </w:rPr>
      </w:pPr>
      <w:r>
        <w:rPr>
          <w:rFonts w:ascii="Arial" w:cs="Arial" w:eastAsia="Arial" w:hAnsi="Arial"/>
          <w:sz w:val="16"/>
          <w:szCs w:val="16"/>
          <w:color w:val="auto"/>
        </w:rPr>
        <w:t>Taxes. Landlord’s reasonable determination of any excess assessed valuation shall be binding and conclusive, absent manifest error. The amount of any such payment by Landlord shall constitute Additional Rent due from Tenant to Landlord within 30 days of Landlord’s written demand.</w:t>
      </w:r>
    </w:p>
    <w:p>
      <w:pPr>
        <w:spacing w:after="0" w:line="165" w:lineRule="exact"/>
        <w:rPr>
          <w:sz w:val="20"/>
          <w:szCs w:val="20"/>
          <w:color w:val="auto"/>
        </w:rPr>
      </w:pPr>
    </w:p>
    <w:p>
      <w:pPr>
        <w:ind w:left="80" w:right="120" w:firstLine="823"/>
        <w:spacing w:after="0" w:line="245" w:lineRule="auto"/>
        <w:rPr>
          <w:sz w:val="20"/>
          <w:szCs w:val="20"/>
          <w:color w:val="auto"/>
        </w:rPr>
      </w:pPr>
      <w:r>
        <w:rPr>
          <w:rFonts w:ascii="Arial" w:cs="Arial" w:eastAsia="Arial" w:hAnsi="Arial"/>
          <w:sz w:val="17"/>
          <w:szCs w:val="17"/>
          <w:color w:val="auto"/>
        </w:rPr>
        <w:t>Upon written request from Tenant, Landlord shall reasonably cooperate with Tenant, at no cost or liability to Landlord, in Tenant’s efforts to obtain municipal and state incentives available to Tenant with respect to its business conducted at the Premises.</w:t>
      </w:r>
    </w:p>
    <w:p>
      <w:pPr>
        <w:spacing w:after="0" w:line="169" w:lineRule="exact"/>
        <w:rPr>
          <w:sz w:val="20"/>
          <w:szCs w:val="20"/>
          <w:color w:val="auto"/>
        </w:rPr>
      </w:pPr>
    </w:p>
    <w:p>
      <w:pPr>
        <w:ind w:left="780" w:right="500" w:hanging="776"/>
        <w:spacing w:after="0" w:line="252" w:lineRule="auto"/>
        <w:tabs>
          <w:tab w:leader="none" w:pos="1542"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Parking</w:t>
      </w:r>
      <w:r>
        <w:rPr>
          <w:rFonts w:ascii="Arial" w:cs="Arial" w:eastAsia="Arial" w:hAnsi="Arial"/>
          <w:sz w:val="17"/>
          <w:szCs w:val="17"/>
          <w:color w:val="auto"/>
        </w:rPr>
        <w:t>. Subject to all applicable Legal Requirements, Force Majeure, a Taking and the exercise by Landlord of its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Tenant shall have the right, to use 3 parking spaces per 1,000 rentable square feet of the Premises, which parking spaces shall be in those locations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441960</wp:posOffset>
            </wp:positionV>
            <wp:extent cx="715581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color w:val="auto"/>
        </w:rPr>
        <w:t xml:space="preserve">Exhibit G, </w:t>
      </w:r>
      <w:r>
        <w:rPr>
          <w:rFonts w:ascii="Arial" w:cs="Arial" w:eastAsia="Arial" w:hAnsi="Arial"/>
          <w:sz w:val="17"/>
          <w:szCs w:val="17"/>
          <w:color w:val="auto"/>
        </w:rPr>
        <w:t>subject in each case to Landlord’s rules and regulations. Landlord shall not be responsible for enforcing Tenant’s parking rights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any third parties, including other tenants of the Project.</w:t>
      </w:r>
    </w:p>
    <w:p>
      <w:pPr>
        <w:spacing w:after="0" w:line="148" w:lineRule="exact"/>
        <w:rPr>
          <w:sz w:val="20"/>
          <w:szCs w:val="20"/>
          <w:color w:val="auto"/>
        </w:rPr>
      </w:pPr>
    </w:p>
    <w:p>
      <w:pPr>
        <w:ind w:right="140" w:firstLine="825"/>
        <w:spacing w:after="0" w:line="238" w:lineRule="auto"/>
        <w:tabs>
          <w:tab w:leader="none" w:pos="2387"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Utilities, Services</w:t>
      </w:r>
      <w:r>
        <w:rPr>
          <w:rFonts w:ascii="Arial" w:cs="Arial" w:eastAsia="Arial" w:hAnsi="Arial"/>
          <w:sz w:val="17"/>
          <w:szCs w:val="17"/>
          <w:color w:val="auto"/>
        </w:rPr>
        <w:t>. Tenant shall contract directly with utility providers for all water, electricity, heat, light, power,</w:t>
      </w:r>
      <w:r>
        <w:rPr>
          <w:rFonts w:ascii="Arial" w:cs="Arial" w:eastAsia="Arial" w:hAnsi="Arial"/>
          <w:sz w:val="17"/>
          <w:szCs w:val="17"/>
          <w:b w:val="1"/>
          <w:bCs w:val="1"/>
          <w:color w:val="auto"/>
        </w:rPr>
        <w:t xml:space="preserve"> </w:t>
      </w:r>
      <w:r>
        <w:rPr>
          <w:rFonts w:ascii="Arial" w:cs="Arial" w:eastAsia="Arial" w:hAnsi="Arial"/>
          <w:sz w:val="17"/>
          <w:szCs w:val="17"/>
          <w:color w:val="auto"/>
        </w:rPr>
        <w:t>sewer, and other utilities (including gas and fire sprinklers to the extent the Building is plumbed for such services), and refuse and trash collection (“</w:t>
      </w:r>
      <w:r>
        <w:rPr>
          <w:rFonts w:ascii="Arial" w:cs="Arial" w:eastAsia="Arial" w:hAnsi="Arial"/>
          <w:sz w:val="17"/>
          <w:szCs w:val="17"/>
          <w:b w:val="1"/>
          <w:bCs w:val="1"/>
          <w:color w:val="auto"/>
        </w:rPr>
        <w:t>Utilities</w:t>
      </w:r>
      <w:r>
        <w:rPr>
          <w:rFonts w:ascii="Arial" w:cs="Arial" w:eastAsia="Arial" w:hAnsi="Arial"/>
          <w:sz w:val="17"/>
          <w:szCs w:val="17"/>
          <w:color w:val="auto"/>
        </w:rPr>
        <w:t>”) required and/or utilized by Tenant during the Term. Tenant shall pay directly to such Utility providers prior to delinquency for all such Utilities furnished to Tenant or the Building during the Term (the “</w:t>
      </w:r>
      <w:r>
        <w:rPr>
          <w:rFonts w:ascii="Arial" w:cs="Arial" w:eastAsia="Arial" w:hAnsi="Arial"/>
          <w:sz w:val="17"/>
          <w:szCs w:val="17"/>
          <w:b w:val="1"/>
          <w:bCs w:val="1"/>
          <w:color w:val="auto"/>
        </w:rPr>
        <w:t>Building Utilities</w:t>
      </w:r>
      <w:r>
        <w:rPr>
          <w:rFonts w:ascii="Arial" w:cs="Arial" w:eastAsia="Arial" w:hAnsi="Arial"/>
          <w:sz w:val="17"/>
          <w:szCs w:val="17"/>
          <w:color w:val="auto"/>
        </w:rPr>
        <w:t>”) and shall pay for all maintenance charges for Building Utilities, and any storm sewer charges or other similar charges for Building Utilities imposed by any Governmental Authority or Utility provider, and any taxes, penalties, surcharges or similar charges thereon. Landlord shall pay, as part of Operating Expenses, for all Utilities to the Common Areas (“</w:t>
      </w:r>
      <w:r>
        <w:rPr>
          <w:rFonts w:ascii="Arial" w:cs="Arial" w:eastAsia="Arial" w:hAnsi="Arial"/>
          <w:sz w:val="17"/>
          <w:szCs w:val="17"/>
          <w:b w:val="1"/>
          <w:bCs w:val="1"/>
          <w:color w:val="auto"/>
        </w:rPr>
        <w:t>Project Utilities</w:t>
      </w:r>
      <w:r>
        <w:rPr>
          <w:rFonts w:ascii="Arial" w:cs="Arial" w:eastAsia="Arial" w:hAnsi="Arial"/>
          <w:sz w:val="17"/>
          <w:szCs w:val="17"/>
          <w:color w:val="auto"/>
        </w:rPr>
        <w:t>”), and any and all maintenance charges for Project Utilities, any storm sewer charges or other similar charges for Project Utilities imposed by any Governmental Authority or Project Utility provider, or any taxes, penalties, surcharges or similar charges thereon. Tenant shall reimburse Landlord for Tenant’s Share of the cost of such Project Utilities as part of Operating Expenses. No interruption or failure of Utilities, from any cause whatsoever other than Landlord’s willful misconduct, shall result in eviction or constructive eviction of Tenant, termination of this Lease or, except as otherwise provided in the immediately following paragraph, the abatement of Rent. For the avoidance of doubt, Tenant shall be responsible for obtaining and paying for its own janitorial services, and refuse and trash collection services for the Premises. Landlord shall contract for the Utilities for the Common Areas of the Project.</w:t>
      </w:r>
    </w:p>
    <w:p>
      <w:pPr>
        <w:spacing w:after="0" w:line="196" w:lineRule="exact"/>
        <w:rPr>
          <w:sz w:val="20"/>
          <w:szCs w:val="20"/>
          <w:color w:val="auto"/>
        </w:rPr>
      </w:pPr>
    </w:p>
    <w:p>
      <w:pPr>
        <w:jc w:val="both"/>
        <w:ind w:right="120" w:firstLine="823"/>
        <w:spacing w:after="0" w:line="236" w:lineRule="auto"/>
        <w:rPr>
          <w:sz w:val="20"/>
          <w:szCs w:val="20"/>
          <w:color w:val="auto"/>
        </w:rPr>
      </w:pPr>
      <w:r>
        <w:rPr>
          <w:rFonts w:ascii="Arial" w:cs="Arial" w:eastAsia="Arial" w:hAnsi="Arial"/>
          <w:sz w:val="17"/>
          <w:szCs w:val="17"/>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7"/>
          <w:szCs w:val="17"/>
          <w:b w:val="1"/>
          <w:bCs w:val="1"/>
          <w:color w:val="auto"/>
        </w:rPr>
        <w:t>Service Interruption</w:t>
      </w:r>
      <w:r>
        <w:rPr>
          <w:rFonts w:ascii="Arial" w:cs="Arial" w:eastAsia="Arial" w:hAnsi="Arial"/>
          <w:sz w:val="17"/>
          <w:szCs w:val="17"/>
          <w:color w:val="auto"/>
        </w:rPr>
        <w:t>”), and (ii) such Service Interruption continues for more than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7"/>
          <w:szCs w:val="17"/>
          <w:b w:val="1"/>
          <w:bCs w:val="1"/>
          <w:color w:val="auto"/>
        </w:rPr>
        <w:t>Essential Services</w:t>
      </w:r>
      <w:r>
        <w:rPr>
          <w:rFonts w:ascii="Arial" w:cs="Arial" w:eastAsia="Arial" w:hAnsi="Arial"/>
          <w:sz w:val="17"/>
          <w:szCs w:val="17"/>
          <w:color w:val="auto"/>
        </w:rPr>
        <w:t>” shall mean the following services: HVAC service, water, sewer and electricity, but in each case only to the extent that Landlord has an obligation to provide same to Tenant under this Lease.</w:t>
      </w:r>
    </w:p>
    <w:p>
      <w:pPr>
        <w:spacing w:after="0" w:line="197" w:lineRule="exact"/>
        <w:rPr>
          <w:sz w:val="20"/>
          <w:szCs w:val="20"/>
          <w:color w:val="auto"/>
        </w:rPr>
      </w:pPr>
    </w:p>
    <w:p>
      <w:pPr>
        <w:jc w:val="both"/>
        <w:ind w:right="120" w:firstLine="823"/>
        <w:spacing w:after="0" w:line="239" w:lineRule="auto"/>
        <w:rPr>
          <w:sz w:val="20"/>
          <w:szCs w:val="20"/>
          <w:color w:val="auto"/>
        </w:rPr>
      </w:pPr>
      <w:r>
        <w:rPr>
          <w:rFonts w:ascii="Arial" w:cs="Arial" w:eastAsia="Arial" w:hAnsi="Arial"/>
          <w:sz w:val="17"/>
          <w:szCs w:val="17"/>
          <w:color w:val="auto"/>
        </w:rPr>
        <w:t>Tenant agrees to provide Landlord with access to Tenant’s water and/or energy usage data on a monthly basis, either by providing Tenant’s applicable utility login credentials to Landlord’s Measurabl online portal, or by another delivery method reasonably agreed to by Landlord and Tenant. The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172" w:lineRule="exact"/>
        <w:rPr>
          <w:sz w:val="20"/>
          <w:szCs w:val="20"/>
          <w:color w:val="auto"/>
        </w:rPr>
      </w:pPr>
    </w:p>
    <w:p>
      <w:pPr>
        <w:ind w:right="120" w:firstLine="827"/>
        <w:spacing w:after="0" w:line="242" w:lineRule="auto"/>
        <w:tabs>
          <w:tab w:leader="none" w:pos="2387"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Alterations and Tenant’s Property</w:t>
      </w:r>
      <w:r>
        <w:rPr>
          <w:rFonts w:ascii="Arial" w:cs="Arial" w:eastAsia="Arial" w:hAnsi="Arial"/>
          <w:sz w:val="17"/>
          <w:szCs w:val="17"/>
          <w:color w:val="auto"/>
        </w:rPr>
        <w:t>. Any alterations, additions, or improvements made to the Premises by or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w:t>
      </w:r>
      <w:r>
        <w:rPr>
          <w:rFonts w:ascii="Arial" w:cs="Arial" w:eastAsia="Arial" w:hAnsi="Arial"/>
          <w:sz w:val="17"/>
          <w:szCs w:val="17"/>
          <w:b w:val="1"/>
          <w:bCs w:val="1"/>
          <w:color w:val="auto"/>
        </w:rPr>
        <w:t>Alterations</w:t>
      </w:r>
      <w:r>
        <w:rPr>
          <w:rFonts w:ascii="Arial" w:cs="Arial" w:eastAsia="Arial" w:hAnsi="Arial"/>
          <w:sz w:val="17"/>
          <w:szCs w:val="17"/>
          <w:color w:val="auto"/>
        </w:rPr>
        <w:t>”) shall be subject to Landlord’s prior written consent, which may be given or withheld in Landlord’s sole discretion if any such Alteration adversely affects the structure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447040</wp:posOffset>
            </wp:positionV>
            <wp:extent cx="715581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Building Systems and shall not be otherwise unreasonably withheld, conditioned or delayed. Tenant may construct cosmetic, nonstructural Alterations in the Premises without Landlord’s prior approval if the aggregate cost of all such work does not exceed per Alteration, or in any 12 month period (not including paint and floor coverings which shall not be</w:t>
      </w:r>
    </w:p>
    <w:p>
      <w:pPr>
        <w:spacing w:after="0" w:line="180"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subject to an annual cap) (a “</w:t>
      </w:r>
      <w:r>
        <w:rPr>
          <w:rFonts w:ascii="Arial" w:cs="Arial" w:eastAsia="Arial" w:hAnsi="Arial"/>
          <w:sz w:val="17"/>
          <w:szCs w:val="17"/>
          <w:b w:val="1"/>
          <w:bCs w:val="1"/>
          <w:color w:val="auto"/>
        </w:rPr>
        <w:t>Notice- Only Alteration</w:t>
      </w:r>
      <w:r>
        <w:rPr>
          <w:rFonts w:ascii="Arial" w:cs="Arial" w:eastAsia="Arial" w:hAnsi="Arial"/>
          <w:sz w:val="17"/>
          <w:szCs w:val="17"/>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reasonable conditions on Tenant in connection with the commencement, performance and completion of such Alterations as Landlord may deem appropriate in Landlord’s reasonable discretion. Any request for approval shall be in writing, delivered not less than 15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within 30 days after written demand therefor from Landlord, an amount equal to Landlord’s reasonable third party out-of-pocket expenses for review of Tenant’s plans for each Alteration.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335" w:lineRule="exact"/>
        <w:rPr>
          <w:sz w:val="20"/>
          <w:szCs w:val="20"/>
          <w:color w:val="auto"/>
        </w:rPr>
      </w:pPr>
    </w:p>
    <w:p>
      <w:pPr>
        <w:jc w:val="both"/>
        <w:ind w:right="120" w:firstLine="824"/>
        <w:spacing w:after="0" w:line="237" w:lineRule="auto"/>
        <w:rPr>
          <w:sz w:val="20"/>
          <w:szCs w:val="20"/>
          <w:color w:val="auto"/>
        </w:rPr>
      </w:pPr>
      <w:r>
        <w:rPr>
          <w:rFonts w:ascii="Arial" w:cs="Arial" w:eastAsia="Arial" w:hAnsi="Arial"/>
          <w:sz w:val="17"/>
          <w:szCs w:val="17"/>
          <w:color w:val="auto"/>
        </w:rPr>
        <w:t>Tenant shall pay the cost of Tenant’s Alterations and cause all such Alterations to be completed free and clear of liens. With respect to all Alterations, Tenant shall provide (and cause each contractor or subcontractor to provide) certificates of insurance for workers’ compensation and other 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96" w:lineRule="exact"/>
        <w:rPr>
          <w:sz w:val="20"/>
          <w:szCs w:val="20"/>
          <w:color w:val="auto"/>
        </w:rPr>
      </w:pPr>
    </w:p>
    <w:p>
      <w:pPr>
        <w:jc w:val="both"/>
        <w:ind w:right="120" w:firstLine="824"/>
        <w:spacing w:after="0" w:line="235" w:lineRule="auto"/>
        <w:rPr>
          <w:sz w:val="20"/>
          <w:szCs w:val="20"/>
          <w:color w:val="auto"/>
        </w:rPr>
      </w:pPr>
      <w:r>
        <w:rPr>
          <w:rFonts w:ascii="Arial" w:cs="Arial" w:eastAsia="Arial" w:hAnsi="Arial"/>
          <w:sz w:val="17"/>
          <w:szCs w:val="17"/>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if requested in writing at the time Tenant submits to Landlord its request for approval of an Installation or at the time Tenant submits notice of a Notice-Only Alteration, Landlord shall, at the time its approval of any such Installation is requested, or at the time it receives notice of a Notice-Only Alteration, notify Tenant whether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w:t>
      </w:r>
    </w:p>
    <w:p>
      <w:pPr>
        <w:spacing w:after="0" w:line="2" w:lineRule="exact"/>
        <w:rPr>
          <w:sz w:val="20"/>
          <w:szCs w:val="20"/>
          <w:color w:val="auto"/>
        </w:rPr>
      </w:pPr>
    </w:p>
    <w:p>
      <w:pPr>
        <w:jc w:val="both"/>
        <w:ind w:right="120" w:firstLine="2"/>
        <w:spacing w:after="0" w:line="239" w:lineRule="auto"/>
        <w:tabs>
          <w:tab w:leader="none" w:pos="27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455295</wp:posOffset>
            </wp:positionV>
            <wp:extent cx="715581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040" w:right="140" w:firstLine="610"/>
        <w:spacing w:after="0" w:line="239" w:lineRule="auto"/>
        <w:rPr>
          <w:sz w:val="20"/>
          <w:szCs w:val="20"/>
          <w:color w:val="auto"/>
        </w:rPr>
      </w:pPr>
      <w:r>
        <w:rPr>
          <w:rFonts w:ascii="Arial" w:cs="Arial" w:eastAsia="Arial" w:hAnsi="Arial"/>
          <w:sz w:val="17"/>
          <w:szCs w:val="17"/>
          <w:color w:val="auto"/>
        </w:rPr>
        <w:t>For purposes of this Lease, (x) “</w:t>
      </w:r>
      <w:r>
        <w:rPr>
          <w:rFonts w:ascii="Arial" w:cs="Arial" w:eastAsia="Arial" w:hAnsi="Arial"/>
          <w:sz w:val="17"/>
          <w:szCs w:val="17"/>
          <w:b w:val="1"/>
          <w:bCs w:val="1"/>
          <w:color w:val="auto"/>
        </w:rPr>
        <w:t>Removable Installations</w:t>
      </w:r>
      <w:r>
        <w:rPr>
          <w:rFonts w:ascii="Arial" w:cs="Arial" w:eastAsia="Arial" w:hAnsi="Arial"/>
          <w:sz w:val="17"/>
          <w:szCs w:val="17"/>
          <w:color w:val="auto"/>
        </w:rPr>
        <w:t xml:space="preserve">” means any items listed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attached hereto and any items agreed by Landlord in writing to be included on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in the future,</w:t>
      </w:r>
    </w:p>
    <w:p>
      <w:pPr>
        <w:spacing w:after="0" w:line="1" w:lineRule="exact"/>
        <w:rPr>
          <w:sz w:val="20"/>
          <w:szCs w:val="20"/>
          <w:color w:val="auto"/>
        </w:rPr>
      </w:pPr>
    </w:p>
    <w:p>
      <w:pPr>
        <w:ind w:right="480" w:firstLine="2"/>
        <w:spacing w:after="0" w:line="235" w:lineRule="auto"/>
        <w:tabs>
          <w:tab w:leader="none" w:pos="5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Property</w:t>
      </w:r>
      <w:r>
        <w:rPr>
          <w:rFonts w:ascii="Arial" w:cs="Arial" w:eastAsia="Arial" w:hAnsi="Arial"/>
          <w:sz w:val="17"/>
          <w:szCs w:val="17"/>
          <w:color w:val="auto"/>
        </w:rPr>
        <w:t>” means Removable Installations and, other than Installations, any personal property or equipment of Tenant that may be removed without material damage to the Premises, and</w:t>
      </w:r>
    </w:p>
    <w:p>
      <w:pPr>
        <w:jc w:val="both"/>
        <w:ind w:right="380"/>
        <w:spacing w:after="0" w:line="238" w:lineRule="auto"/>
        <w:tabs>
          <w:tab w:leader="none" w:pos="5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Installations</w:t>
      </w:r>
      <w:r>
        <w:rPr>
          <w:rFonts w:ascii="Arial" w:cs="Arial" w:eastAsia="Arial" w:hAnsi="Arial"/>
          <w:sz w:val="17"/>
          <w:szCs w:val="17"/>
          <w:color w:val="auto"/>
        </w:rPr>
        <w:t>”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93" w:lineRule="exact"/>
        <w:rPr>
          <w:sz w:val="20"/>
          <w:szCs w:val="20"/>
          <w:color w:val="auto"/>
        </w:rPr>
      </w:pPr>
    </w:p>
    <w:p>
      <w:pPr>
        <w:jc w:val="both"/>
        <w:ind w:right="120" w:firstLine="823"/>
        <w:spacing w:after="0" w:line="239" w:lineRule="auto"/>
        <w:rPr>
          <w:sz w:val="20"/>
          <w:szCs w:val="20"/>
          <w:color w:val="auto"/>
        </w:rPr>
      </w:pPr>
      <w:r>
        <w:rPr>
          <w:rFonts w:ascii="Arial" w:cs="Arial" w:eastAsia="Arial" w:hAnsi="Arial"/>
          <w:sz w:val="17"/>
          <w:szCs w:val="17"/>
          <w:color w:val="auto"/>
        </w:rPr>
        <w:t xml:space="preserve">For the avoidance of doubt, the design and construction of the Tenant Improvements shall be governed by the Work Letter and not this </w:t>
      </w:r>
      <w:r>
        <w:rPr>
          <w:rFonts w:ascii="Arial" w:cs="Arial" w:eastAsia="Arial" w:hAnsi="Arial"/>
          <w:sz w:val="17"/>
          <w:szCs w:val="17"/>
          <w:u w:val="single" w:color="auto"/>
          <w:color w:val="auto"/>
        </w:rPr>
        <w:t>Section 12</w:t>
      </w:r>
      <w:r>
        <w:rPr>
          <w:rFonts w:ascii="Arial" w:cs="Arial" w:eastAsia="Arial" w:hAnsi="Arial"/>
          <w:sz w:val="17"/>
          <w:szCs w:val="17"/>
          <w:color w:val="auto"/>
        </w:rPr>
        <w:t>. Once the finalized TI Construction Drawings for the Tenant Improvements have been approved by Landlord, Landlord shall notify Tenant whether Landlord requires will require that Tenant remove or restore any of the Tenant Improvements at the expiration or earlier termination of the Term.</w:t>
      </w:r>
    </w:p>
    <w:p>
      <w:pPr>
        <w:spacing w:after="0" w:line="172" w:lineRule="exact"/>
        <w:rPr>
          <w:sz w:val="20"/>
          <w:szCs w:val="20"/>
          <w:color w:val="auto"/>
        </w:rPr>
      </w:pPr>
    </w:p>
    <w:p>
      <w:pPr>
        <w:ind w:right="120" w:firstLine="825"/>
        <w:spacing w:after="0" w:line="252" w:lineRule="auto"/>
        <w:tabs>
          <w:tab w:leader="none" w:pos="2387"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(except to the extent the cost thereof is excluded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Operating Expenses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maintain, or cause to be maintained, the roof and all of the structural, exterior, parking and other Common Areas of the Project, in good operating condition and repair in accordance with the standard customarily maintained by institutional owners of comparable Class A facilities in Research Triangle Park, reasonable wear and tear and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make a commercially reasonable effort to give Tenant 30 days advance notice of any planned stoppage of Building Systems services for routine maintenance, repairs, alterations or improvements. Landlord shall use reasonable efforts to minimize interference with Tenant’s operations in the Premises during such planned stoppages of Building Systems and shall use reasonable efforts to coordinate such planned stoppages in advance (except in the case of an emergency) with Tenant. Tenant shall promptly give Landlord written notice of any repair required for which Landlord is responsible pursuant to this Section,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341" w:lineRule="exact"/>
        <w:rPr>
          <w:rFonts w:ascii="Arial" w:cs="Arial" w:eastAsia="Arial" w:hAnsi="Arial"/>
          <w:sz w:val="16"/>
          <w:szCs w:val="16"/>
          <w:color w:val="auto"/>
        </w:rPr>
      </w:pPr>
    </w:p>
    <w:p>
      <w:pPr>
        <w:ind w:right="120" w:firstLine="825"/>
        <w:spacing w:after="0" w:line="241" w:lineRule="auto"/>
        <w:tabs>
          <w:tab w:leader="none" w:pos="2387"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condition and repair in accordance with the standard customarily maintained in Class A facilities in Research Triangle Park (reasonable wear and tear and damage by casualty excepted) all portions of the Premises, including, without limitation, entries, doors, ceilings, interior windows, interior walls, and the interior side of demising walls, all building systems serving the Building, including HVAC, plumbing, fire sprinklers, elevators (“</w:t>
      </w:r>
      <w:r>
        <w:rPr>
          <w:rFonts w:ascii="Arial" w:cs="Arial" w:eastAsia="Arial" w:hAnsi="Arial"/>
          <w:sz w:val="17"/>
          <w:szCs w:val="17"/>
          <w:b w:val="1"/>
          <w:bCs w:val="1"/>
          <w:color w:val="auto"/>
        </w:rPr>
        <w:t>Building Systems</w:t>
      </w:r>
      <w:r>
        <w:rPr>
          <w:rFonts w:ascii="Arial" w:cs="Arial" w:eastAsia="Arial" w:hAnsi="Arial"/>
          <w:sz w:val="17"/>
          <w:szCs w:val="17"/>
          <w:color w:val="auto"/>
        </w:rPr>
        <w:t xml:space="preserve">”), and any emergency generator(s) or related systems serving the Premises. Tenant’s obligations under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with respect to Building Systems shall include the procurement and maintenance of contracts, in form and substance reasonably satisfactory to Landlord, with copies to Landlord upon Landlord’s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447040</wp:posOffset>
            </wp:positionV>
            <wp:extent cx="715581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left="100" w:right="120"/>
        <w:spacing w:after="0" w:line="235" w:lineRule="auto"/>
        <w:rPr>
          <w:sz w:val="20"/>
          <w:szCs w:val="20"/>
          <w:color w:val="auto"/>
        </w:rPr>
      </w:pPr>
      <w:r>
        <w:rPr>
          <w:rFonts w:ascii="Arial" w:cs="Arial" w:eastAsia="Arial" w:hAnsi="Arial"/>
          <w:sz w:val="17"/>
          <w:szCs w:val="17"/>
          <w:color w:val="auto"/>
        </w:rPr>
        <w:t xml:space="preserve">for and with contractors reasonably acceptable to Landlord specializing and experienced in the maintenance and repair of the respective Building Systems. Notwithstanding anything to the contrary contained herein, the scope of work of any such contracts entered into by Tenant pursuant to this paragraph shall, at a minimum, comply with manufacturer’s recommended maintenance procedures for the optimal performance of the applicable Building Systems and related equipment. Should Tenant fail to make any such repair or replacement or fail to maintain the Premises, Landlord shall give Tenant written notice of such failure. If Tenant fails to commence cure of such failure within 20 days of Landlord’s written notice, and thereafter diligently prosecute such cure to completion, Landlord may perform such work and shall be reimbursed by Tenant within 30 days after demand therefor (including reasonable backup outlining such cost); provided, however, that if such failure by Tenant creates or could reasonably be expected to create an emergency, Landlord may immediately commence cure of such failure and shall thereafter be entitled to recover the costs of such cure from Tenant. If Tenant consistently fails to perform its obligations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with respect to Building Systems, then Landlord shall have the right, but not the obligation, to provide Tenant with written notice thereof and to assume the maintenance and repair of any or all of the Building Systems if Tenant does not cure Tenant’s failure within 20 days after receipt of such notice. Landlord and Tenant acknowledge and agree that (a) the administrative rent of of Base Rent provided for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assumes Tenant’s continued performance of its maintenance and repair obligations with respect to Building Systems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and (b) if at any time during the Term, Tenant is no longer performing its maintenance and repair obligations with respect to Building Systems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then such administrative rent shall be increased</w:t>
      </w:r>
    </w:p>
    <w:p>
      <w:pPr>
        <w:spacing w:after="0" w:line="4" w:lineRule="exact"/>
        <w:rPr>
          <w:sz w:val="20"/>
          <w:szCs w:val="20"/>
          <w:color w:val="auto"/>
        </w:rPr>
      </w:pPr>
    </w:p>
    <w:p>
      <w:pPr>
        <w:jc w:val="right"/>
        <w:ind w:left="100" w:right="120"/>
        <w:spacing w:after="0"/>
        <w:rPr>
          <w:sz w:val="20"/>
          <w:szCs w:val="20"/>
          <w:color w:val="auto"/>
        </w:rPr>
      </w:pPr>
      <w:r>
        <w:rPr>
          <w:rFonts w:ascii="Arial" w:cs="Arial" w:eastAsia="Arial" w:hAnsi="Arial"/>
          <w:sz w:val="17"/>
          <w:szCs w:val="17"/>
          <w:color w:val="auto"/>
        </w:rPr>
        <w:t xml:space="preserve">to                                                                                     of Base Rent.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 the full uninsured cost of any repair or replacement to any part of the Project that results from damage caused by Tenant or any Tenant Party</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 any repair that benefits only the Premises.</w:t>
      </w:r>
    </w:p>
    <w:p>
      <w:pPr>
        <w:spacing w:after="0" w:line="201" w:lineRule="exact"/>
        <w:rPr>
          <w:sz w:val="20"/>
          <w:szCs w:val="20"/>
          <w:color w:val="auto"/>
        </w:rPr>
      </w:pPr>
    </w:p>
    <w:p>
      <w:pPr>
        <w:jc w:val="both"/>
        <w:ind w:left="80" w:right="120" w:firstLine="824"/>
        <w:spacing w:after="0" w:line="239"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Tenant’s obligations under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not include the right or obligation on the part of Tenant to make any structural and/or capital repairs or improvements to the Building or Project, and Landlord shall continue during the Term, as part of Operating Expenses, to be responsible for capital repairs and replacements required to be made to the Building and Project including, without limitation, capital repairs and replacements with respect to Building Systems.</w:t>
      </w:r>
    </w:p>
    <w:p>
      <w:pPr>
        <w:spacing w:after="0" w:line="192" w:lineRule="exact"/>
        <w:rPr>
          <w:sz w:val="20"/>
          <w:szCs w:val="20"/>
          <w:color w:val="auto"/>
        </w:rPr>
      </w:pPr>
    </w:p>
    <w:p>
      <w:pPr>
        <w:jc w:val="both"/>
        <w:ind w:left="80" w:right="120" w:firstLine="824"/>
        <w:spacing w:after="0" w:line="237" w:lineRule="auto"/>
        <w:rPr>
          <w:sz w:val="20"/>
          <w:szCs w:val="20"/>
          <w:color w:val="auto"/>
        </w:rPr>
      </w:pPr>
      <w:r>
        <w:rPr>
          <w:rFonts w:ascii="Arial" w:cs="Arial" w:eastAsia="Arial" w:hAnsi="Arial"/>
          <w:sz w:val="17"/>
          <w:szCs w:val="17"/>
          <w:color w:val="auto"/>
        </w:rPr>
        <w:t xml:space="preserve">Tenant shall cause any vendors and other service providers hired by Tenant to perform services at the Premises or the Project in connection with Tenant’s obligations under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to maintain in effect workers’ compensation insurance as required by Legal Requirements and commercial general liability insurance with coverage amounts reasonably acceptable to Landlord. Tenant shall cause such vendors and service providers to name Landlord and Alexandria Real Estate Equities, Inc. as additional insureds under such policies and shall provide Landlord with certificates of insurance evidencing the required coverages (and showing Landlord and Alexandria Real Estate Equities, Inc. as additional insureds under such policies) prior to the applicable vendor or service provider providing any services to Tenant at the Project.</w:t>
      </w:r>
    </w:p>
    <w:p>
      <w:pPr>
        <w:spacing w:after="0" w:line="176" w:lineRule="exact"/>
        <w:rPr>
          <w:sz w:val="20"/>
          <w:szCs w:val="20"/>
          <w:color w:val="auto"/>
        </w:rPr>
      </w:pPr>
    </w:p>
    <w:p>
      <w:pPr>
        <w:ind w:left="780" w:right="300" w:hanging="776"/>
        <w:spacing w:after="0" w:line="238" w:lineRule="auto"/>
        <w:tabs>
          <w:tab w:leader="none" w:pos="1542"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Mechanic’s Liens</w:t>
      </w:r>
      <w:r>
        <w:rPr>
          <w:rFonts w:ascii="Arial" w:cs="Arial" w:eastAsia="Arial" w:hAnsi="Arial"/>
          <w:sz w:val="17"/>
          <w:szCs w:val="17"/>
          <w:color w:val="auto"/>
        </w:rPr>
        <w:t>. Tenant shall discharge, by bond or otherwise, any mechanic’s lien filed against the Premises or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the Project for work claimed to have been done for, or materials claimed to have been furnished to, Tenant within 10 business days after Tenant receives written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within 5 days of written demand therefor.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Building or Project be furnished on the statement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452120</wp:posOffset>
            </wp:positionV>
            <wp:extent cx="715581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qualifying language as to applicability of the lien only to removable personal property, located in an identified suite held by Tenant.</w:t>
      </w:r>
    </w:p>
    <w:p>
      <w:pPr>
        <w:spacing w:after="0" w:line="181" w:lineRule="exact"/>
        <w:rPr>
          <w:sz w:val="20"/>
          <w:szCs w:val="20"/>
          <w:color w:val="auto"/>
        </w:rPr>
      </w:pPr>
    </w:p>
    <w:p>
      <w:pPr>
        <w:ind w:left="80" w:right="120" w:firstLine="825"/>
        <w:spacing w:after="0" w:line="238" w:lineRule="auto"/>
        <w:tabs>
          <w:tab w:leader="none" w:pos="2467"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Subject to the penultimate paragraph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Tenant hereby indemnifies and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defend, save and hold Landlord, its officers, directors, employees, managers, agents, sub-agents, constituent entities and lease signatories (collectively, “</w:t>
      </w:r>
      <w:r>
        <w:rPr>
          <w:rFonts w:ascii="Arial" w:cs="Arial" w:eastAsia="Arial" w:hAnsi="Arial"/>
          <w:sz w:val="17"/>
          <w:szCs w:val="17"/>
          <w:b w:val="1"/>
          <w:bCs w:val="1"/>
          <w:color w:val="auto"/>
        </w:rPr>
        <w:t>Landlord Indemnified Parties</w:t>
      </w:r>
      <w:r>
        <w:rPr>
          <w:rFonts w:ascii="Arial" w:cs="Arial" w:eastAsia="Arial" w:hAnsi="Arial"/>
          <w:sz w:val="17"/>
          <w:szCs w:val="17"/>
          <w:color w:val="auto"/>
        </w:rPr>
        <w:t>”) harmless from and against any and all Claims for injury or death to persons or damage to property occurring within or about the Premises or the Project arising directly or indirectly out of use or occupancy of the Premises or the Project by Tenant or any Tenant Parties (including, without limitation, any act, omission or neglect by Tenant or any Tenant’s Parties in or about the Premises or at the Project) or a breach or default by Tenant in the performance of any of its obligations hereunder, except to the extent caused by the willful misconduct or negligence of Landlord Indemnified Parties. Landlord Indemnified Parties shall not be liable to Tenant for, and Tenant assumes all risk of damage to, personal property (including, without limitation, loss of records kept within the Premises). Tenant further hereby irrevocably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 or Tenant Parties.</w:t>
      </w:r>
    </w:p>
    <w:p>
      <w:pPr>
        <w:spacing w:after="0" w:line="200" w:lineRule="exact"/>
        <w:rPr>
          <w:sz w:val="20"/>
          <w:szCs w:val="20"/>
          <w:color w:val="auto"/>
        </w:rPr>
      </w:pPr>
    </w:p>
    <w:p>
      <w:pPr>
        <w:jc w:val="both"/>
        <w:ind w:left="80" w:right="140" w:firstLine="822"/>
        <w:spacing w:after="0"/>
        <w:rPr>
          <w:sz w:val="20"/>
          <w:szCs w:val="20"/>
          <w:color w:val="auto"/>
        </w:rPr>
      </w:pPr>
      <w:r>
        <w:rPr>
          <w:rFonts w:ascii="Arial" w:cs="Arial" w:eastAsia="Arial" w:hAnsi="Arial"/>
          <w:sz w:val="17"/>
          <w:szCs w:val="17"/>
          <w:color w:val="auto"/>
        </w:rPr>
        <w:t xml:space="preserve">Subject to all of the other provisions of this Lease including, without limitation, the waivers provided for in </w:t>
      </w:r>
      <w:r>
        <w:rPr>
          <w:rFonts w:ascii="Arial" w:cs="Arial" w:eastAsia="Arial" w:hAnsi="Arial"/>
          <w:sz w:val="17"/>
          <w:szCs w:val="17"/>
          <w:u w:val="single" w:color="auto"/>
          <w:color w:val="auto"/>
        </w:rPr>
        <w:t>Section 17</w:t>
      </w:r>
      <w:r>
        <w:rPr>
          <w:rFonts w:ascii="Arial" w:cs="Arial" w:eastAsia="Arial" w:hAnsi="Arial"/>
          <w:sz w:val="17"/>
          <w:szCs w:val="17"/>
          <w:color w:val="auto"/>
        </w:rPr>
        <w:t>, Landlord hereby indemnifies and agrees to defend, save and hold Tenant harmless from and against any and all third party Claims for injury or death to persons or damage to property occurring at the Project to the extent caused by the willful misconduct or gross negligence of Landlord.</w:t>
      </w:r>
    </w:p>
    <w:p>
      <w:pPr>
        <w:spacing w:after="0" w:line="173" w:lineRule="exact"/>
        <w:rPr>
          <w:sz w:val="20"/>
          <w:szCs w:val="20"/>
          <w:color w:val="auto"/>
        </w:rPr>
      </w:pPr>
    </w:p>
    <w:p>
      <w:pPr>
        <w:ind w:left="780" w:right="240" w:hanging="776"/>
        <w:spacing w:after="0" w:line="238" w:lineRule="auto"/>
        <w:tabs>
          <w:tab w:leader="none" w:pos="1542"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Landlord shall maintain all risk property and, if applicable, sprinkler damage insurance covering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replacement cost of 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Building and the Project may be included in a blanket policy (in which case the cost of such insurance allocable to the Building and Project will be determined by Landlord based upon the insurer’s cost calculations). Tenant shall also reimburse Landlord for any increased premiums or additional insurance which Landlord reasonably deems necessary as a result of Tenant’s particular use of the Premises.</w:t>
      </w:r>
    </w:p>
    <w:p>
      <w:pPr>
        <w:spacing w:after="0" w:line="200" w:lineRule="exact"/>
        <w:rPr>
          <w:sz w:val="20"/>
          <w:szCs w:val="20"/>
          <w:color w:val="auto"/>
        </w:rPr>
      </w:pPr>
    </w:p>
    <w:p>
      <w:pPr>
        <w:jc w:val="both"/>
        <w:ind w:left="80" w:right="120" w:firstLine="824"/>
        <w:spacing w:after="0" w:line="235" w:lineRule="auto"/>
        <w:rPr>
          <w:sz w:val="20"/>
          <w:szCs w:val="20"/>
          <w:color w:val="auto"/>
        </w:rPr>
      </w:pPr>
      <w:r>
        <w:rPr>
          <w:rFonts w:ascii="Arial" w:cs="Arial" w:eastAsia="Arial" w:hAnsi="Arial"/>
          <w:sz w:val="17"/>
          <w:szCs w:val="17"/>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w:t>
      </w:r>
    </w:p>
    <w:p>
      <w:pPr>
        <w:spacing w:after="0" w:line="1" w:lineRule="exact"/>
        <w:rPr>
          <w:sz w:val="20"/>
          <w:szCs w:val="20"/>
          <w:color w:val="auto"/>
        </w:rPr>
      </w:pPr>
    </w:p>
    <w:p>
      <w:pPr>
        <w:jc w:val="both"/>
        <w:ind w:left="80" w:right="120"/>
        <w:spacing w:after="0" w:line="237" w:lineRule="auto"/>
        <w:rPr>
          <w:sz w:val="20"/>
          <w:szCs w:val="20"/>
          <w:color w:val="auto"/>
        </w:rPr>
      </w:pPr>
      <w:r>
        <w:rPr>
          <w:rFonts w:ascii="Arial" w:cs="Arial" w:eastAsia="Arial" w:hAnsi="Arial"/>
          <w:sz w:val="17"/>
          <w:szCs w:val="17"/>
          <w:color w:val="auto"/>
        </w:rPr>
        <w:t>$1,000,000 bodily injury by disease – policy limit, and $1,000,000 bodily injury by disease – each employee; and commercial general liability insurance, with a minimum limit of not less than $5,000,000 per occurrence for bodily injury and property damage with respect to the Premises. The required limited can be satisfied by the combination of a primary and excess or umbrella policies. The commercial general liability insurance maintained by Tenant shall name Alexandria Real Estate Equities, Inc., and Landlord, its officers, directors, employees, managers, agents, sub-agents, constituent entities and lease signatories (collectively, “</w:t>
      </w:r>
      <w:r>
        <w:rPr>
          <w:rFonts w:ascii="Arial" w:cs="Arial" w:eastAsia="Arial" w:hAnsi="Arial"/>
          <w:sz w:val="17"/>
          <w:szCs w:val="17"/>
          <w:b w:val="1"/>
          <w:bCs w:val="1"/>
          <w:color w:val="auto"/>
        </w:rPr>
        <w:t>Landlord Insured Parties</w:t>
      </w:r>
      <w:r>
        <w:rPr>
          <w:rFonts w:ascii="Arial" w:cs="Arial" w:eastAsia="Arial" w:hAnsi="Arial"/>
          <w:sz w:val="17"/>
          <w:szCs w:val="17"/>
          <w:color w:val="auto"/>
        </w:rPr>
        <w:t>”), as additional insureds; insure on an occurrence and not a claims-made basis; be issued by insurance companies which have a rating of not less than policyholder rating of A and financial category rating of at least Class X in “Best’s Insurance Guide”; not contain a hostile fire exclusion; include contractual liability coverage; and provide primary coverage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455930</wp:posOffset>
            </wp:positionV>
            <wp:extent cx="715581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7" w:lineRule="auto"/>
        <w:rPr>
          <w:sz w:val="20"/>
          <w:szCs w:val="20"/>
          <w:color w:val="auto"/>
        </w:rPr>
      </w:pPr>
      <w:r>
        <w:rPr>
          <w:rFonts w:ascii="Arial" w:cs="Arial" w:eastAsia="Arial" w:hAnsi="Arial"/>
          <w:sz w:val="17"/>
          <w:szCs w:val="17"/>
          <w:color w:val="auto"/>
        </w:rPr>
        <w:t>Landlord Insured Parties (any policy issued to Landlord Insured Parties providing duplicate or similar coverage shall be deemed excess over Tenant’s policies, regardless of limits). Tenant shall provide Landlord with 30 days advance written notice of cancellation of such commercial general liability policy.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 losses covered by the policy. Tenant shall, prior to the expiration of such policies, furnish Landlord with renewal certificates.</w:t>
      </w:r>
    </w:p>
    <w:p>
      <w:pPr>
        <w:spacing w:after="0" w:line="193" w:lineRule="exact"/>
        <w:rPr>
          <w:sz w:val="20"/>
          <w:szCs w:val="20"/>
          <w:color w:val="auto"/>
        </w:rPr>
      </w:pPr>
    </w:p>
    <w:p>
      <w:pPr>
        <w:jc w:val="both"/>
        <w:ind w:right="120" w:firstLine="823"/>
        <w:spacing w:after="0" w:line="238" w:lineRule="auto"/>
        <w:rPr>
          <w:sz w:val="20"/>
          <w:szCs w:val="20"/>
          <w:color w:val="auto"/>
        </w:rPr>
      </w:pPr>
      <w:r>
        <w:rPr>
          <w:rFonts w:ascii="Arial" w:cs="Arial" w:eastAsia="Arial" w:hAnsi="Arial"/>
          <w:sz w:val="17"/>
          <w:szCs w:val="17"/>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93" w:lineRule="exact"/>
        <w:rPr>
          <w:sz w:val="20"/>
          <w:szCs w:val="20"/>
          <w:color w:val="auto"/>
        </w:rPr>
      </w:pPr>
    </w:p>
    <w:p>
      <w:pPr>
        <w:jc w:val="both"/>
        <w:ind w:right="140" w:firstLine="821"/>
        <w:spacing w:after="0" w:line="236"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7"/>
          <w:szCs w:val="17"/>
          <w:b w:val="1"/>
          <w:bCs w:val="1"/>
          <w:color w:val="auto"/>
        </w:rPr>
        <w:t>Related Parties</w:t>
      </w:r>
      <w:r>
        <w:rPr>
          <w:rFonts w:ascii="Arial" w:cs="Arial" w:eastAsia="Arial" w:hAnsi="Arial"/>
          <w:sz w:val="17"/>
          <w:szCs w:val="17"/>
          <w:color w:val="auto"/>
        </w:rPr>
        <w:t>”), in connection with any loss or damage thereby insured against. Notwithstanding anything in this Lease to the contrary, neither party nor its respective Related Parties shall be liable to the other for loss or damage caused by any risk insured against (or required to be insured against pursuant to this Lease)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99" w:lineRule="exact"/>
        <w:rPr>
          <w:sz w:val="20"/>
          <w:szCs w:val="20"/>
          <w:color w:val="auto"/>
        </w:rPr>
      </w:pPr>
    </w:p>
    <w:p>
      <w:pPr>
        <w:jc w:val="both"/>
        <w:ind w:right="120" w:firstLine="823"/>
        <w:spacing w:after="0" w:line="238" w:lineRule="auto"/>
        <w:rPr>
          <w:sz w:val="20"/>
          <w:szCs w:val="20"/>
          <w:color w:val="auto"/>
        </w:rPr>
      </w:pPr>
      <w:r>
        <w:rPr>
          <w:rFonts w:ascii="Arial" w:cs="Arial" w:eastAsia="Arial" w:hAnsi="Arial"/>
          <w:sz w:val="17"/>
          <w:szCs w:val="17"/>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 Any such increases in policy limits shall consistently applied to all non-retail tenants of the Project.</w:t>
      </w:r>
    </w:p>
    <w:p>
      <w:pPr>
        <w:spacing w:after="0" w:line="173" w:lineRule="exact"/>
        <w:rPr>
          <w:sz w:val="20"/>
          <w:szCs w:val="20"/>
          <w:color w:val="auto"/>
        </w:rPr>
      </w:pPr>
    </w:p>
    <w:p>
      <w:pPr>
        <w:ind w:right="180" w:firstLine="827"/>
        <w:spacing w:after="0" w:line="255" w:lineRule="auto"/>
        <w:tabs>
          <w:tab w:leader="none" w:pos="2387"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Building or the Premises are damaged or destroyed by a fire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insured casualty, Landlord shall notify Tenant within 60 days after discovery of such damage as to the amount of time Landlord reasonably estimates it will take to restore the Building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12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notwithstanding Landlord’s election to restore, Tenant may elect to terminate this Lease by written notice to Landlord delivered within 10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except to the extent to which Landlord receives insurance proceeds for the restoration of improvements from the insurance required to be maintained by Landlord under </w:t>
      </w:r>
      <w:r>
        <w:rPr>
          <w:rFonts w:ascii="Arial" w:cs="Arial" w:eastAsia="Arial" w:hAnsi="Arial"/>
          <w:sz w:val="16"/>
          <w:szCs w:val="16"/>
          <w:u w:val="single" w:color="auto"/>
          <w:color w:val="auto"/>
        </w:rPr>
        <w:t>Section 17</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443230</wp:posOffset>
            </wp:positionV>
            <wp:extent cx="715581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 xml:space="preserve">in which case such improvements shall be included as part of Landlord’s restoration),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7"/>
          <w:szCs w:val="17"/>
          <w:u w:val="single" w:color="auto"/>
          <w:color w:val="auto"/>
        </w:rPr>
        <w:t>Section 30</w:t>
      </w:r>
      <w:r>
        <w:rPr>
          <w:rFonts w:ascii="Arial" w:cs="Arial" w:eastAsia="Arial" w:hAnsi="Arial"/>
          <w:sz w:val="17"/>
          <w:szCs w:val="17"/>
          <w:color w:val="auto"/>
        </w:rPr>
        <w:t>) in, on or about the Premises (collectively referred to herein as “</w:t>
      </w:r>
      <w:r>
        <w:rPr>
          <w:rFonts w:ascii="Arial" w:cs="Arial" w:eastAsia="Arial" w:hAnsi="Arial"/>
          <w:sz w:val="17"/>
          <w:szCs w:val="17"/>
          <w:b w:val="1"/>
          <w:bCs w:val="1"/>
          <w:color w:val="auto"/>
        </w:rPr>
        <w:t>Hazardous Materials Clearances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10 business days of the expiration of the Maximum Restoration Period or, if longer, the Restoration Period, elect to terminate this Lease, in either of which events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98" w:lineRule="exact"/>
        <w:rPr>
          <w:sz w:val="20"/>
          <w:szCs w:val="20"/>
          <w:color w:val="auto"/>
        </w:rPr>
      </w:pPr>
    </w:p>
    <w:p>
      <w:pPr>
        <w:jc w:val="both"/>
        <w:ind w:right="120" w:firstLine="824"/>
        <w:spacing w:after="0" w:line="236" w:lineRule="auto"/>
        <w:rPr>
          <w:sz w:val="20"/>
          <w:szCs w:val="20"/>
          <w:color w:val="auto"/>
        </w:rPr>
      </w:pPr>
      <w:r>
        <w:rPr>
          <w:rFonts w:ascii="Arial" w:cs="Arial" w:eastAsia="Arial" w:hAnsi="Arial"/>
          <w:sz w:val="17"/>
          <w:szCs w:val="17"/>
          <w:color w:val="auto"/>
        </w:rPr>
        <w:t xml:space="preserve">Tenant, at its expense, following the date that Landlord makes the Premises available to Tenant for Tenant’s repairs or restoration, shall promptly perform, subject to delays arising from the collection of insurance proceeds, from Force Majeure events or to obtain Hazardous Material Clearances, all repairs or restoration not required to be done by Landlord and shall promptly re-enter the Premises and commence doing business in accordance with this Lease. Notwithstanding the foregoing, Landlord or Tenant may terminate this Lease if the Premises are damaged during the last year of the Term and Landlord reasonably estimates that it will take more than 2 months to repair such damage; provided, however, that such notice is delivered within 10 business days after the date that Landlord delivers notice to Tenant of the estimated Restoration Period. Notwithstanding anything to the contrary contained in this Lease, Landlord shall also have the right to terminate this Lease if insurance proceeds are not available for such restoration, provided that such unavailability of insurance proceeds is not the result of Landlord’s failure to maintain the insurance policies required to be maintained by Landlord under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Rent shall be abated from the date all required Hazardous Materials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for the temporary conduct of Tenant’s business. In the event that no Hazardous Materials Clearances are required to be obtained with respect to such fire or other casualty, the rent abatement shall commence as of the date of discovery of the damage or destruction. Such abatement shall be the sole remedy of Tenant, and except as provided in this </w:t>
      </w:r>
      <w:r>
        <w:rPr>
          <w:rFonts w:ascii="Arial" w:cs="Arial" w:eastAsia="Arial" w:hAnsi="Arial"/>
          <w:sz w:val="17"/>
          <w:szCs w:val="17"/>
          <w:u w:val="single" w:color="auto"/>
          <w:color w:val="auto"/>
        </w:rPr>
        <w:t>Section 18</w:t>
      </w:r>
      <w:r>
        <w:rPr>
          <w:rFonts w:ascii="Arial" w:cs="Arial" w:eastAsia="Arial" w:hAnsi="Arial"/>
          <w:sz w:val="17"/>
          <w:szCs w:val="17"/>
          <w:color w:val="auto"/>
        </w:rPr>
        <w:t>, Tenant waives any right to terminate the Lease by reason of damage or casualty loss.</w:t>
      </w:r>
    </w:p>
    <w:p>
      <w:pPr>
        <w:spacing w:after="0" w:line="170" w:lineRule="exact"/>
        <w:rPr>
          <w:sz w:val="20"/>
          <w:szCs w:val="20"/>
          <w:color w:val="auto"/>
        </w:rPr>
      </w:pPr>
    </w:p>
    <w:p>
      <w:pPr>
        <w:jc w:val="both"/>
        <w:ind w:right="120" w:firstLine="824"/>
        <w:spacing w:after="0" w:line="238" w:lineRule="auto"/>
        <w:rPr>
          <w:sz w:val="20"/>
          <w:szCs w:val="20"/>
          <w:color w:val="auto"/>
        </w:rPr>
      </w:pPr>
      <w:r>
        <w:rPr>
          <w:rFonts w:ascii="Arial" w:cs="Arial" w:eastAsia="Arial" w:hAnsi="Arial"/>
          <w:sz w:val="17"/>
          <w:szCs w:val="17"/>
          <w:color w:val="auto"/>
        </w:rPr>
        <w:t xml:space="preserve">The provisions of this Lease, including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sets forth their entire understanding and agreement with respect to such matters.</w:t>
      </w:r>
    </w:p>
    <w:p>
      <w:pPr>
        <w:spacing w:after="0" w:line="173" w:lineRule="exact"/>
        <w:rPr>
          <w:sz w:val="20"/>
          <w:szCs w:val="20"/>
          <w:color w:val="auto"/>
        </w:rPr>
      </w:pPr>
    </w:p>
    <w:p>
      <w:pPr>
        <w:ind w:right="180" w:firstLine="825"/>
        <w:spacing w:after="0" w:line="239" w:lineRule="auto"/>
        <w:tabs>
          <w:tab w:leader="none" w:pos="2387"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Condemnation</w:t>
      </w:r>
      <w:r>
        <w:rPr>
          <w:rFonts w:ascii="Arial" w:cs="Arial" w:eastAsia="Arial" w:hAnsi="Arial"/>
          <w:sz w:val="17"/>
          <w:szCs w:val="17"/>
          <w:color w:val="auto"/>
        </w:rPr>
        <w:t>. If the whole or any material part of the Premises or the Project is taken for any public or quasi-public use under governmental law, ordinance, or regulation, or by right of eminent domain, or by private purchase in lieu thereof (a “</w:t>
      </w:r>
      <w:r>
        <w:rPr>
          <w:rFonts w:ascii="Arial" w:cs="Arial" w:eastAsia="Arial" w:hAnsi="Arial"/>
          <w:sz w:val="17"/>
          <w:szCs w:val="17"/>
          <w:b w:val="1"/>
          <w:bCs w:val="1"/>
          <w:color w:val="auto"/>
        </w:rPr>
        <w:t>Taking</w:t>
      </w:r>
      <w:r>
        <w:rPr>
          <w:rFonts w:ascii="Arial" w:cs="Arial" w:eastAsia="Arial" w:hAnsi="Arial"/>
          <w:sz w:val="17"/>
          <w:szCs w:val="17"/>
          <w:color w:val="auto"/>
        </w:rPr>
        <w:t>” or “</w:t>
      </w:r>
      <w:r>
        <w:rPr>
          <w:rFonts w:ascii="Arial" w:cs="Arial" w:eastAsia="Arial" w:hAnsi="Arial"/>
          <w:sz w:val="17"/>
          <w:szCs w:val="17"/>
          <w:b w:val="1"/>
          <w:bCs w:val="1"/>
          <w:color w:val="auto"/>
        </w:rPr>
        <w:t>Taken</w:t>
      </w:r>
      <w:r>
        <w:rPr>
          <w:rFonts w:ascii="Arial" w:cs="Arial" w:eastAsia="Arial" w:hAnsi="Arial"/>
          <w:sz w:val="17"/>
          <w:szCs w:val="17"/>
          <w:color w:val="auto"/>
        </w:rPr>
        <w:t>”) or if there is no access to the Building (other than on a temporary basis), and the Taking would in Landlord’s reasonable judgment materially interfere with or impair Landlord’s ownership or operation of the Building or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 Tenant to the other this Lease shall terminate and Rent shall be apportioned as of said date. If part of the Premises shall be Taken, and this Lease is not terminated as provided above, Landlord shall promptly restore the Premises and the Project as nearly as is commercially reasonable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450215</wp:posOffset>
            </wp:positionV>
            <wp:extent cx="715581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0" w:right="120"/>
        <w:spacing w:after="0" w:line="253" w:lineRule="auto"/>
        <w:rPr>
          <w:sz w:val="20"/>
          <w:szCs w:val="20"/>
          <w:color w:val="auto"/>
        </w:rPr>
      </w:pPr>
      <w:r>
        <w:rPr>
          <w:rFonts w:ascii="Arial" w:cs="Arial" w:eastAsia="Arial" w:hAnsi="Arial"/>
          <w:sz w:val="16"/>
          <w:szCs w:val="16"/>
          <w:color w:val="auto"/>
        </w:rPr>
        <w:t>circumstances to their condition prior to such partial Taking and the rentable square footage of the Building, the rentable square footage of the Premises, Tenant’s Share of Operating Expenses, Building’s Share of Operating Expenses of Project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66" w:lineRule="exact"/>
        <w:rPr>
          <w:sz w:val="20"/>
          <w:szCs w:val="20"/>
          <w:color w:val="auto"/>
        </w:rPr>
      </w:pPr>
    </w:p>
    <w:p>
      <w:pPr>
        <w:ind w:left="1540" w:hanging="1536"/>
        <w:spacing w:after="0"/>
        <w:tabs>
          <w:tab w:leader="none" w:pos="15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Events of Default</w:t>
      </w:r>
      <w:r>
        <w:rPr>
          <w:rFonts w:ascii="Arial" w:cs="Arial" w:eastAsia="Arial" w:hAnsi="Arial"/>
          <w:sz w:val="17"/>
          <w:szCs w:val="17"/>
          <w:color w:val="auto"/>
        </w:rPr>
        <w:t>. Each of the following events shall be a default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w:t>
      </w:r>
    </w:p>
    <w:p>
      <w:pPr>
        <w:spacing w:after="0" w:line="25" w:lineRule="exact"/>
        <w:rPr>
          <w:sz w:val="20"/>
          <w:szCs w:val="20"/>
          <w:color w:val="auto"/>
        </w:rPr>
      </w:pPr>
    </w:p>
    <w:p>
      <w:pPr>
        <w:ind w:left="2440" w:hanging="1535"/>
        <w:spacing w:after="0"/>
        <w:tabs>
          <w:tab w:leader="none" w:pos="244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Payment Defaults</w:t>
      </w:r>
      <w:r>
        <w:rPr>
          <w:rFonts w:ascii="Arial" w:cs="Arial" w:eastAsia="Arial" w:hAnsi="Arial"/>
          <w:sz w:val="17"/>
          <w:szCs w:val="17"/>
          <w:color w:val="auto"/>
        </w:rPr>
        <w:t>. Tenant shall fail to pay any installment of Rent or any other payment hereunder when due;</w:t>
      </w:r>
    </w:p>
    <w:p>
      <w:pPr>
        <w:spacing w:after="0" w:line="192" w:lineRule="exact"/>
        <w:rPr>
          <w:sz w:val="20"/>
          <w:szCs w:val="20"/>
          <w:color w:val="auto"/>
        </w:rPr>
      </w:pPr>
    </w:p>
    <w:p>
      <w:pPr>
        <w:ind w:left="80" w:right="320"/>
        <w:spacing w:after="0"/>
        <w:rPr>
          <w:sz w:val="20"/>
          <w:szCs w:val="20"/>
          <w:color w:val="auto"/>
        </w:rPr>
      </w:pPr>
      <w:r>
        <w:rPr>
          <w:rFonts w:ascii="Arial" w:cs="Arial" w:eastAsia="Arial" w:hAnsi="Arial"/>
          <w:sz w:val="17"/>
          <w:szCs w:val="17"/>
          <w:color w:val="auto"/>
        </w:rPr>
        <w:t>provided, however, that Landlord will give Tenant written notice and an opportunity to cure any failure to pay Rent within days of any such written notice not more than in any 12 month period and Tenant agrees that such written notice shall be in lieu of and not in addition to, or shall be deemed to be, any notice required by law.</w:t>
      </w:r>
    </w:p>
    <w:p>
      <w:pPr>
        <w:spacing w:after="0" w:line="173" w:lineRule="exact"/>
        <w:rPr>
          <w:sz w:val="20"/>
          <w:szCs w:val="20"/>
          <w:color w:val="auto"/>
        </w:rPr>
      </w:pPr>
    </w:p>
    <w:p>
      <w:pPr>
        <w:ind w:left="780" w:right="280" w:hanging="776"/>
        <w:spacing w:after="0" w:line="247" w:lineRule="auto"/>
        <w:tabs>
          <w:tab w:leader="none" w:pos="154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Any insurance required to be maintained by Tenant pursuant to this Lease shall be canceled or terminated or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expire or shall be reduced or materially changed in a manner so that it does not comply with the terms of this Lease, or Landlord shall receive a notice of nonrenewal of any such insurance and Tenant shall fail to obtain replacement insurance before the expiration of the current coverage.</w:t>
      </w:r>
    </w:p>
    <w:p>
      <w:pPr>
        <w:spacing w:after="0" w:line="166" w:lineRule="exact"/>
        <w:rPr>
          <w:rFonts w:ascii="Arial" w:cs="Arial" w:eastAsia="Arial" w:hAnsi="Arial"/>
          <w:sz w:val="17"/>
          <w:szCs w:val="17"/>
          <w:color w:val="auto"/>
        </w:rPr>
      </w:pPr>
    </w:p>
    <w:p>
      <w:pPr>
        <w:ind w:left="80" w:right="160" w:firstLine="827"/>
        <w:spacing w:after="0" w:line="241" w:lineRule="auto"/>
        <w:tabs>
          <w:tab w:leader="none" w:pos="2428" w:val="left"/>
        </w:tabs>
        <w:numPr>
          <w:ilvl w:val="1"/>
          <w:numId w:val="89"/>
        </w:numPr>
        <w:rPr>
          <w:rFonts w:ascii="Arial" w:cs="Arial" w:eastAsia="Arial" w:hAnsi="Arial"/>
          <w:sz w:val="17"/>
          <w:szCs w:val="17"/>
          <w:color w:val="auto"/>
        </w:rPr>
      </w:pPr>
      <w:r>
        <w:rPr>
          <w:rFonts w:ascii="Arial" w:cs="Arial" w:eastAsia="Arial" w:hAnsi="Arial"/>
          <w:sz w:val="17"/>
          <w:szCs w:val="17"/>
          <w:b w:val="1"/>
          <w:bCs w:val="1"/>
          <w:color w:val="auto"/>
        </w:rPr>
        <w:t>Abandonment</w:t>
      </w:r>
      <w:r>
        <w:rPr>
          <w:rFonts w:ascii="Arial" w:cs="Arial" w:eastAsia="Arial" w:hAnsi="Arial"/>
          <w:sz w:val="17"/>
          <w:szCs w:val="17"/>
          <w:color w:val="auto"/>
        </w:rPr>
        <w:t>. Tenant shall abandon the Premises. Tenant shall not be deemed to have abandoned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if Tenant provides Landlord with reasonable advance notice prior to vacating and, at the time of vacating the Premises, (i) Tenant completes Tenant’s obligations under the Decommissioning and HazMat Closure Plan in compliance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(ii) Tenant has obtained the release of the Premises of all Hazardous Materials Clearances and the Premises are free from any residual impact from the Tenant HazMat Operations and provides reasonably detailed documentation to Landlord confirming such matters, (iii) Tenant has made reasonable arrangements with Landlord for the security of the Premises for the balance of the Term, and (iv) Tenant continues during the balance of the Term to satisfy and perform all of Tenant’s obligations under this Lease as they come due.</w:t>
      </w:r>
    </w:p>
    <w:p>
      <w:pPr>
        <w:spacing w:after="0" w:line="172" w:lineRule="exact"/>
        <w:rPr>
          <w:sz w:val="20"/>
          <w:szCs w:val="20"/>
          <w:color w:val="auto"/>
        </w:rPr>
      </w:pPr>
    </w:p>
    <w:p>
      <w:pPr>
        <w:ind w:left="780" w:right="240" w:hanging="776"/>
        <w:spacing w:after="0" w:line="252" w:lineRule="auto"/>
        <w:tabs>
          <w:tab w:leader="none" w:pos="1542"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Improper Transfer</w:t>
      </w:r>
      <w:r>
        <w:rPr>
          <w:rFonts w:ascii="Arial" w:cs="Arial" w:eastAsia="Arial" w:hAnsi="Arial"/>
          <w:sz w:val="17"/>
          <w:szCs w:val="17"/>
          <w:color w:val="auto"/>
        </w:rPr>
        <w:t>. Tenant shall assign, sublease or otherwise transfer or attempt to transfer all or any portion of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this Lease or the Premises except as expressly permitted herein, or Tenant’s interest in this Lease shall be attached, executed upon, or otherwise judicially seized and such action is not released within 90 days of the action.</w:t>
      </w:r>
    </w:p>
    <w:p>
      <w:pPr>
        <w:spacing w:after="0" w:line="163" w:lineRule="exact"/>
        <w:rPr>
          <w:rFonts w:ascii="Arial" w:cs="Arial" w:eastAsia="Arial" w:hAnsi="Arial"/>
          <w:sz w:val="17"/>
          <w:szCs w:val="17"/>
          <w:color w:val="auto"/>
        </w:rPr>
      </w:pPr>
    </w:p>
    <w:p>
      <w:pPr>
        <w:ind w:left="80" w:right="740" w:firstLine="827"/>
        <w:spacing w:after="0" w:line="270" w:lineRule="auto"/>
        <w:tabs>
          <w:tab w:leader="none" w:pos="2438" w:val="left"/>
        </w:tabs>
        <w:numPr>
          <w:ilvl w:val="1"/>
          <w:numId w:val="90"/>
        </w:numPr>
        <w:rPr>
          <w:rFonts w:ascii="Arial" w:cs="Arial" w:eastAsia="Arial" w:hAnsi="Arial"/>
          <w:sz w:val="17"/>
          <w:szCs w:val="17"/>
          <w:color w:val="auto"/>
        </w:rPr>
      </w:pPr>
      <w:r>
        <w:rPr>
          <w:rFonts w:ascii="Arial" w:cs="Arial" w:eastAsia="Arial" w:hAnsi="Arial"/>
          <w:sz w:val="17"/>
          <w:szCs w:val="17"/>
          <w:b w:val="1"/>
          <w:bCs w:val="1"/>
          <w:color w:val="auto"/>
        </w:rPr>
        <w:t>Liens</w:t>
      </w:r>
      <w:r>
        <w:rPr>
          <w:rFonts w:ascii="Arial" w:cs="Arial" w:eastAsia="Arial" w:hAnsi="Arial"/>
          <w:sz w:val="17"/>
          <w:szCs w:val="17"/>
          <w:color w:val="auto"/>
        </w:rPr>
        <w:t>. Tenant shall fail to discharge or otherwise obtain the release of any lien placed upon the Premises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violation of this Lease within the time period required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of this Lease.</w:t>
      </w:r>
    </w:p>
    <w:p>
      <w:pPr>
        <w:spacing w:after="0" w:line="148" w:lineRule="exact"/>
        <w:rPr>
          <w:sz w:val="20"/>
          <w:szCs w:val="20"/>
          <w:color w:val="auto"/>
        </w:rPr>
      </w:pPr>
    </w:p>
    <w:p>
      <w:pPr>
        <w:ind w:left="780" w:right="240" w:hanging="776"/>
        <w:spacing w:after="0" w:line="241" w:lineRule="auto"/>
        <w:tabs>
          <w:tab w:leader="none" w:pos="1542"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Insolvency Events</w:t>
      </w:r>
      <w:r>
        <w:rPr>
          <w:rFonts w:ascii="Arial" w:cs="Arial" w:eastAsia="Arial" w:hAnsi="Arial"/>
          <w:sz w:val="17"/>
          <w:szCs w:val="17"/>
          <w:color w:val="auto"/>
        </w:rPr>
        <w:t>. Tenant or any guarantor or surety of Tenant’s obligations hereunder shall: (A) make a general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7"/>
          <w:szCs w:val="17"/>
          <w:b w:val="1"/>
          <w:bCs w:val="1"/>
          <w:color w:val="auto"/>
        </w:rPr>
        <w:t>Proceeding for Relief</w:t>
      </w:r>
      <w:r>
        <w:rPr>
          <w:rFonts w:ascii="Arial" w:cs="Arial" w:eastAsia="Arial" w:hAnsi="Arial"/>
          <w:sz w:val="17"/>
          <w:szCs w:val="17"/>
          <w:color w:val="auto"/>
        </w:rPr>
        <w:t>”); (C) become the subject of any Proceeding for Relief which is not dismissed within 90 days of its filing or entry; or (D) die or suffer a legal disability (if Tenant, guarantor, or surety is an individual) or be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447040</wp:posOffset>
            </wp:positionV>
            <wp:extent cx="715581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or otherwise fail to maintain its legal existence (if Tenant, guarantor or surety is a corporation, partnership or other entity).</w:t>
      </w:r>
    </w:p>
    <w:p>
      <w:pPr>
        <w:spacing w:after="0" w:line="181" w:lineRule="exact"/>
        <w:rPr>
          <w:sz w:val="20"/>
          <w:szCs w:val="20"/>
          <w:color w:val="auto"/>
        </w:rPr>
      </w:pPr>
    </w:p>
    <w:p>
      <w:pPr>
        <w:ind w:left="80" w:right="340" w:firstLine="827"/>
        <w:spacing w:after="0" w:line="270" w:lineRule="auto"/>
        <w:tabs>
          <w:tab w:leader="none" w:pos="2438"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Estoppel Certificate or Subordination Agreement</w:t>
      </w:r>
      <w:r>
        <w:rPr>
          <w:rFonts w:ascii="Arial" w:cs="Arial" w:eastAsia="Arial" w:hAnsi="Arial"/>
          <w:sz w:val="17"/>
          <w:szCs w:val="17"/>
          <w:color w:val="auto"/>
        </w:rPr>
        <w:t>. Tenant fails to execute any document required from Tenant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w:t>
      </w:r>
      <w:r>
        <w:rPr>
          <w:rFonts w:ascii="Arial" w:cs="Arial" w:eastAsia="Arial" w:hAnsi="Arial"/>
          <w:sz w:val="17"/>
          <w:szCs w:val="17"/>
          <w:u w:val="single" w:color="auto"/>
          <w:color w:val="auto"/>
        </w:rPr>
        <w:t>Sections 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within 5 business days after a second written notice requesting such document.</w:t>
      </w:r>
    </w:p>
    <w:p>
      <w:pPr>
        <w:spacing w:after="0" w:line="147" w:lineRule="exact"/>
        <w:rPr>
          <w:rFonts w:ascii="Arial" w:cs="Arial" w:eastAsia="Arial" w:hAnsi="Arial"/>
          <w:sz w:val="17"/>
          <w:szCs w:val="17"/>
          <w:color w:val="auto"/>
        </w:rPr>
      </w:pPr>
    </w:p>
    <w:p>
      <w:pPr>
        <w:ind w:left="80" w:right="160" w:firstLine="825"/>
        <w:spacing w:after="0" w:line="252" w:lineRule="auto"/>
        <w:tabs>
          <w:tab w:leader="none" w:pos="2436"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Other Defaults</w:t>
      </w:r>
      <w:r>
        <w:rPr>
          <w:rFonts w:ascii="Arial" w:cs="Arial" w:eastAsia="Arial" w:hAnsi="Arial"/>
          <w:sz w:val="17"/>
          <w:szCs w:val="17"/>
          <w:color w:val="auto"/>
        </w:rPr>
        <w:t>. Tenant shall fail to comply with any provision of this Lease other than those specifically referred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this </w:t>
      </w:r>
      <w:r>
        <w:rPr>
          <w:rFonts w:ascii="Arial" w:cs="Arial" w:eastAsia="Arial" w:hAnsi="Arial"/>
          <w:sz w:val="17"/>
          <w:szCs w:val="17"/>
          <w:u w:val="single" w:color="auto"/>
          <w:color w:val="auto"/>
        </w:rPr>
        <w:t>Section 20</w:t>
      </w:r>
      <w:r>
        <w:rPr>
          <w:rFonts w:ascii="Arial" w:cs="Arial" w:eastAsia="Arial" w:hAnsi="Arial"/>
          <w:sz w:val="17"/>
          <w:szCs w:val="17"/>
          <w:color w:val="auto"/>
        </w:rPr>
        <w:t>, and, except as otherwise expressly provided herein, such failure shall continue for a period of 30 days after written notice thereof from Landlord to Tenant.</w:t>
      </w:r>
    </w:p>
    <w:p>
      <w:pPr>
        <w:spacing w:after="0" w:line="184" w:lineRule="exact"/>
        <w:rPr>
          <w:sz w:val="20"/>
          <w:szCs w:val="20"/>
          <w:color w:val="auto"/>
        </w:rPr>
      </w:pPr>
    </w:p>
    <w:p>
      <w:pPr>
        <w:jc w:val="both"/>
        <w:ind w:left="80" w:right="120"/>
        <w:spacing w:after="0" w:line="237" w:lineRule="auto"/>
        <w:rPr>
          <w:sz w:val="20"/>
          <w:szCs w:val="20"/>
          <w:color w:val="auto"/>
        </w:rPr>
      </w:pPr>
      <w:r>
        <w:rPr>
          <w:rFonts w:ascii="Arial" w:cs="Arial" w:eastAsia="Arial" w:hAnsi="Arial"/>
          <w:sz w:val="17"/>
          <w:szCs w:val="17"/>
          <w:color w:val="auto"/>
        </w:rPr>
        <w:t xml:space="preserve">Any notice given under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nature of Tenant’s default pursuant to </w:t>
      </w:r>
      <w:r>
        <w:rPr>
          <w:rFonts w:ascii="Arial" w:cs="Arial" w:eastAsia="Arial" w:hAnsi="Arial"/>
          <w:sz w:val="17"/>
          <w:szCs w:val="17"/>
          <w:u w:val="single" w:color="auto"/>
          <w:color w:val="auto"/>
        </w:rPr>
        <w:t>Section 20(h)</w:t>
      </w:r>
      <w:r>
        <w:rPr>
          <w:rFonts w:ascii="Arial" w:cs="Arial" w:eastAsia="Arial" w:hAnsi="Arial"/>
          <w:sz w:val="17"/>
          <w:szCs w:val="17"/>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cure shall be completed no later than 90 days from the date of Landlord’s notice.</w:t>
      </w:r>
    </w:p>
    <w:p>
      <w:pPr>
        <w:spacing w:after="0" w:line="176" w:lineRule="exact"/>
        <w:rPr>
          <w:sz w:val="20"/>
          <w:szCs w:val="20"/>
          <w:color w:val="auto"/>
        </w:rPr>
      </w:pPr>
    </w:p>
    <w:p>
      <w:pPr>
        <w:ind w:left="1760" w:hanging="847"/>
        <w:spacing w:after="0"/>
        <w:tabs>
          <w:tab w:leader="none" w:pos="1760" w:val="left"/>
        </w:tabs>
        <w:numPr>
          <w:ilvl w:val="2"/>
          <w:numId w:val="93"/>
        </w:numPr>
        <w:rPr>
          <w:rFonts w:ascii="Arial" w:cs="Arial" w:eastAsia="Arial" w:hAnsi="Arial"/>
          <w:sz w:val="17"/>
          <w:szCs w:val="17"/>
          <w:color w:val="auto"/>
        </w:rPr>
      </w:pPr>
      <w:r>
        <w:rPr>
          <w:rFonts w:ascii="Arial" w:cs="Arial" w:eastAsia="Arial" w:hAnsi="Arial"/>
          <w:sz w:val="17"/>
          <w:szCs w:val="17"/>
          <w:b w:val="1"/>
          <w:bCs w:val="1"/>
          <w:color w:val="auto"/>
        </w:rPr>
        <w:t>Landlord’s Remedies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ind w:left="780" w:right="280" w:hanging="776"/>
        <w:spacing w:after="0" w:line="247" w:lineRule="auto"/>
        <w:tabs>
          <w:tab w:leader="none" w:pos="1542"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Payment By Landlord; Interest</w:t>
      </w:r>
      <w:r>
        <w:rPr>
          <w:rFonts w:ascii="Arial" w:cs="Arial" w:eastAsia="Arial" w:hAnsi="Arial"/>
          <w:sz w:val="17"/>
          <w:szCs w:val="17"/>
          <w:color w:val="auto"/>
        </w:rPr>
        <w:t>. Upon a Default by Tenant hereunder, Landlord may, without waiving or releasing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of Tenant 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7"/>
          <w:szCs w:val="17"/>
          <w:b w:val="1"/>
          <w:bCs w:val="1"/>
          <w:color w:val="auto"/>
        </w:rPr>
        <w:t>Default Rate</w:t>
      </w:r>
      <w:r>
        <w:rPr>
          <w:rFonts w:ascii="Arial" w:cs="Arial" w:eastAsia="Arial" w:hAnsi="Arial"/>
          <w:sz w:val="17"/>
          <w:szCs w:val="17"/>
          <w:color w:val="auto"/>
        </w:rPr>
        <w:t>”), whichever is less, shall be payable to Landlord on demand as Additional Rent.</w:t>
      </w:r>
    </w:p>
    <w:p>
      <w:pPr>
        <w:spacing w:after="0" w:line="166" w:lineRule="exact"/>
        <w:rPr>
          <w:rFonts w:ascii="Arial" w:cs="Arial" w:eastAsia="Arial" w:hAnsi="Arial"/>
          <w:sz w:val="17"/>
          <w:szCs w:val="17"/>
          <w:color w:val="auto"/>
        </w:rPr>
      </w:pPr>
    </w:p>
    <w:p>
      <w:pPr>
        <w:ind w:left="80" w:right="220" w:firstLine="825"/>
        <w:spacing w:after="0" w:line="239" w:lineRule="auto"/>
        <w:tabs>
          <w:tab w:leader="none" w:pos="2438" w:val="left"/>
        </w:tabs>
        <w:numPr>
          <w:ilvl w:val="1"/>
          <w:numId w:val="94"/>
        </w:numPr>
        <w:rPr>
          <w:rFonts w:ascii="Arial" w:cs="Arial" w:eastAsia="Arial" w:hAnsi="Arial"/>
          <w:sz w:val="17"/>
          <w:szCs w:val="17"/>
          <w:color w:val="auto"/>
        </w:rPr>
      </w:pPr>
      <w:r>
        <w:rPr>
          <w:rFonts w:ascii="Arial" w:cs="Arial" w:eastAsia="Arial" w:hAnsi="Arial"/>
          <w:sz w:val="17"/>
          <w:szCs w:val="17"/>
          <w:b w:val="1"/>
          <w:bCs w:val="1"/>
          <w:color w:val="auto"/>
        </w:rPr>
        <w:t>Late Payment Rent</w:t>
      </w:r>
      <w:r>
        <w:rPr>
          <w:rFonts w:ascii="Arial" w:cs="Arial" w:eastAsia="Arial" w:hAnsi="Arial"/>
          <w:sz w:val="17"/>
          <w:szCs w:val="17"/>
          <w:color w:val="auto"/>
        </w:rPr>
        <w:t>. Late payment by Tenant to Landlord of Rent and other sums due will cause Landlord to incur</w:t>
      </w:r>
      <w:r>
        <w:rPr>
          <w:rFonts w:ascii="Arial" w:cs="Arial" w:eastAsia="Arial" w:hAnsi="Arial"/>
          <w:sz w:val="17"/>
          <w:szCs w:val="17"/>
          <w:b w:val="1"/>
          <w:bCs w:val="1"/>
          <w:color w:val="auto"/>
        </w:rPr>
        <w:t xml:space="preserve"> </w:t>
      </w:r>
      <w:r>
        <w:rPr>
          <w:rFonts w:ascii="Arial" w:cs="Arial" w:eastAsia="Arial" w:hAnsi="Arial"/>
          <w:sz w:val="17"/>
          <w:szCs w:val="17"/>
          <w:color w:val="auto"/>
        </w:rPr>
        <w:t>costs not 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77" w:lineRule="exact"/>
        <w:rPr>
          <w:sz w:val="20"/>
          <w:szCs w:val="20"/>
          <w:color w:val="auto"/>
        </w:rPr>
      </w:pPr>
    </w:p>
    <w:p>
      <w:pPr>
        <w:jc w:val="both"/>
        <w:ind w:left="780" w:right="300" w:hanging="776"/>
        <w:spacing w:after="0" w:line="252" w:lineRule="auto"/>
        <w:tabs>
          <w:tab w:leader="none" w:pos="154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Upon the occurrence of a Default, Landlord, at its option, without further notice or demand to Tenant, shall have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all other rights and remedies provided in this Lease, at law or in equity, the option to pursue any one or more of the following remedies, each and all of which shall be cumulative and nonexclusive, without any notice or demand whatsoever.</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460" w:type="dxa"/>
            <w:vAlign w:val="bottom"/>
          </w:tcPr>
          <w:p>
            <w:pPr>
              <w:spacing w:after="0"/>
              <w:rPr>
                <w:sz w:val="20"/>
                <w:szCs w:val="20"/>
                <w:color w:val="auto"/>
              </w:rPr>
            </w:pPr>
            <w:r>
              <w:rPr>
                <w:rFonts w:ascii="Arial" w:cs="Arial" w:eastAsia="Arial" w:hAnsi="Arial"/>
                <w:sz w:val="17"/>
                <w:szCs w:val="17"/>
                <w:color w:val="auto"/>
              </w:rPr>
              <w:t>(i)</w:t>
            </w:r>
          </w:p>
        </w:tc>
        <w:tc>
          <w:tcPr>
            <w:tcW w:w="10340" w:type="dxa"/>
            <w:vAlign w:val="bottom"/>
            <w:gridSpan w:val="4"/>
          </w:tcPr>
          <w:p>
            <w:pPr>
              <w:ind w:left="1080"/>
              <w:spacing w:after="0"/>
              <w:rPr>
                <w:sz w:val="20"/>
                <w:szCs w:val="20"/>
                <w:color w:val="auto"/>
              </w:rPr>
            </w:pPr>
            <w:r>
              <w:rPr>
                <w:rFonts w:ascii="Arial" w:cs="Arial" w:eastAsia="Arial" w:hAnsi="Arial"/>
                <w:sz w:val="17"/>
                <w:szCs w:val="17"/>
                <w:color w:val="auto"/>
              </w:rPr>
              <w:t>Terminate this Lease, or at Landlord’s option, Tenant’s right to possession only, in which event Tenant shall immediately</w:t>
            </w:r>
          </w:p>
        </w:tc>
      </w:tr>
      <w:tr>
        <w:trPr>
          <w:trHeight w:val="192"/>
        </w:trPr>
        <w:tc>
          <w:tcPr>
            <w:tcW w:w="460" w:type="dxa"/>
            <w:vAlign w:val="bottom"/>
          </w:tcPr>
          <w:p>
            <w:pPr>
              <w:spacing w:after="0"/>
              <w:rPr>
                <w:sz w:val="16"/>
                <w:szCs w:val="16"/>
                <w:color w:val="auto"/>
              </w:rPr>
            </w:pPr>
          </w:p>
        </w:tc>
        <w:tc>
          <w:tcPr>
            <w:tcW w:w="10340" w:type="dxa"/>
            <w:vAlign w:val="bottom"/>
            <w:gridSpan w:val="4"/>
          </w:tcPr>
          <w:p>
            <w:pPr>
              <w:ind w:left="320"/>
              <w:spacing w:after="0" w:line="192" w:lineRule="exact"/>
              <w:rPr>
                <w:sz w:val="20"/>
                <w:szCs w:val="20"/>
                <w:color w:val="auto"/>
              </w:rPr>
            </w:pPr>
            <w:r>
              <w:rPr>
                <w:rFonts w:ascii="Arial" w:cs="Arial" w:eastAsia="Arial" w:hAnsi="Arial"/>
                <w:sz w:val="17"/>
                <w:szCs w:val="17"/>
                <w:color w:val="auto"/>
                <w:w w:val="97"/>
              </w:rPr>
              <w:t>surrender the Premises to Landlord, and if Tenant fails to do so, Landlord may, without prejudice to any other remedy which it may have</w:t>
            </w:r>
          </w:p>
        </w:tc>
      </w:tr>
      <w:tr>
        <w:trPr>
          <w:trHeight w:val="192"/>
        </w:trPr>
        <w:tc>
          <w:tcPr>
            <w:tcW w:w="460" w:type="dxa"/>
            <w:vAlign w:val="bottom"/>
          </w:tcPr>
          <w:p>
            <w:pPr>
              <w:spacing w:after="0"/>
              <w:rPr>
                <w:sz w:val="16"/>
                <w:szCs w:val="16"/>
                <w:color w:val="auto"/>
              </w:rPr>
            </w:pPr>
          </w:p>
        </w:tc>
        <w:tc>
          <w:tcPr>
            <w:tcW w:w="10340" w:type="dxa"/>
            <w:vAlign w:val="bottom"/>
            <w:gridSpan w:val="4"/>
          </w:tcPr>
          <w:p>
            <w:pPr>
              <w:ind w:left="320"/>
              <w:spacing w:after="0" w:line="192" w:lineRule="exact"/>
              <w:rPr>
                <w:sz w:val="20"/>
                <w:szCs w:val="20"/>
                <w:color w:val="auto"/>
              </w:rPr>
            </w:pPr>
            <w:r>
              <w:rPr>
                <w:rFonts w:ascii="Arial" w:cs="Arial" w:eastAsia="Arial" w:hAnsi="Arial"/>
                <w:sz w:val="17"/>
                <w:szCs w:val="17"/>
                <w:color w:val="auto"/>
                <w:w w:val="97"/>
              </w:rPr>
              <w:t>for possession or arrearages in rent, enter upon and take possession of the Premises and expel or remove Tenant and any other person</w:t>
            </w:r>
          </w:p>
        </w:tc>
      </w:tr>
      <w:tr>
        <w:trPr>
          <w:trHeight w:val="204"/>
        </w:trPr>
        <w:tc>
          <w:tcPr>
            <w:tcW w:w="460" w:type="dxa"/>
            <w:vAlign w:val="bottom"/>
          </w:tcPr>
          <w:p>
            <w:pPr>
              <w:spacing w:after="0"/>
              <w:rPr>
                <w:sz w:val="17"/>
                <w:szCs w:val="17"/>
                <w:color w:val="auto"/>
              </w:rPr>
            </w:pPr>
          </w:p>
        </w:tc>
        <w:tc>
          <w:tcPr>
            <w:tcW w:w="10340" w:type="dxa"/>
            <w:vAlign w:val="bottom"/>
            <w:gridSpan w:val="4"/>
          </w:tcPr>
          <w:p>
            <w:pPr>
              <w:ind w:left="320"/>
              <w:spacing w:after="0"/>
              <w:rPr>
                <w:sz w:val="20"/>
                <w:szCs w:val="20"/>
                <w:color w:val="auto"/>
              </w:rPr>
            </w:pPr>
            <w:r>
              <w:rPr>
                <w:rFonts w:ascii="Arial" w:cs="Arial" w:eastAsia="Arial" w:hAnsi="Arial"/>
                <w:sz w:val="17"/>
                <w:szCs w:val="17"/>
                <w:color w:val="auto"/>
              </w:rPr>
              <w:t>who may be occupying the Premises or any part thereof, without being liable for prosecution or any claim or damages therefor;</w:t>
            </w:r>
          </w:p>
        </w:tc>
      </w:tr>
      <w:tr>
        <w:trPr>
          <w:trHeight w:val="359"/>
        </w:trPr>
        <w:tc>
          <w:tcPr>
            <w:tcW w:w="460" w:type="dxa"/>
            <w:vAlign w:val="bottom"/>
          </w:tcPr>
          <w:p>
            <w:pPr>
              <w:spacing w:after="0"/>
              <w:rPr>
                <w:sz w:val="24"/>
                <w:szCs w:val="24"/>
                <w:color w:val="auto"/>
              </w:rPr>
            </w:pPr>
          </w:p>
        </w:tc>
        <w:tc>
          <w:tcPr>
            <w:tcW w:w="2240" w:type="dxa"/>
            <w:vAlign w:val="bottom"/>
          </w:tcPr>
          <w:p>
            <w:pPr>
              <w:ind w:left="1080"/>
              <w:spacing w:after="0"/>
              <w:rPr>
                <w:sz w:val="20"/>
                <w:szCs w:val="20"/>
                <w:color w:val="auto"/>
              </w:rPr>
            </w:pPr>
            <w:r>
              <w:rPr>
                <w:rFonts w:ascii="Arial" w:cs="Arial" w:eastAsia="Arial" w:hAnsi="Arial"/>
                <w:sz w:val="17"/>
                <w:szCs w:val="17"/>
                <w:color w:val="auto"/>
              </w:rPr>
              <w:t>(ii)</w:t>
            </w:r>
          </w:p>
        </w:tc>
        <w:tc>
          <w:tcPr>
            <w:tcW w:w="8100" w:type="dxa"/>
            <w:vAlign w:val="bottom"/>
            <w:gridSpan w:val="3"/>
          </w:tcPr>
          <w:p>
            <w:pPr>
              <w:ind w:left="980"/>
              <w:spacing w:after="0"/>
              <w:rPr>
                <w:sz w:val="20"/>
                <w:szCs w:val="20"/>
                <w:color w:val="auto"/>
              </w:rPr>
            </w:pPr>
            <w:r>
              <w:rPr>
                <w:rFonts w:ascii="Arial" w:cs="Arial" w:eastAsia="Arial" w:hAnsi="Arial"/>
                <w:sz w:val="17"/>
                <w:szCs w:val="17"/>
                <w:color w:val="auto"/>
              </w:rPr>
              <w:t>Upon any termination of this Lease, whether pursuant to the foregoing Section 21(c)(i) or</w:t>
            </w:r>
          </w:p>
        </w:tc>
      </w:tr>
      <w:tr>
        <w:trPr>
          <w:trHeight w:val="20"/>
        </w:trPr>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otherwise, Landlord may recover from Tenant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452120</wp:posOffset>
            </wp:positionV>
            <wp:extent cx="715581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09" w:name="page110"/>
    <w:bookmarkEnd w:id="109"/>
    <w:p>
      <w:pPr>
        <w:ind w:left="10536"/>
        <w:spacing w:after="0"/>
        <w:rPr>
          <w:sz w:val="20"/>
          <w:szCs w:val="20"/>
          <w:color w:val="auto"/>
        </w:rPr>
      </w:pPr>
      <w:r>
        <w:rPr>
          <w:rFonts w:ascii="Arial" w:cs="Arial" w:eastAsia="Arial" w:hAnsi="Arial"/>
          <w:sz w:val="16"/>
          <w:szCs w:val="16"/>
          <w:b w:val="1"/>
          <w:bCs w:val="1"/>
          <w:color w:val="auto"/>
        </w:rPr>
        <w:t xml:space="preserve">Page </w:t>
      </w:r>
      <w:r>
        <w:rPr>
          <w:rFonts w:ascii="Arial" w:cs="Arial" w:eastAsia="Arial" w:hAnsi="Arial"/>
          <w:sz w:val="16"/>
          <w:szCs w:val="16"/>
          <w:color w:val="auto"/>
        </w:rPr>
        <w:t>24</w:t>
      </w:r>
    </w:p>
    <w:p>
      <w:pPr>
        <w:sectPr>
          <w:pgSz w:w="11900" w:h="16838" w:orient="portrait"/>
          <w:cols w:equalWidth="0" w:num="1">
            <w:col w:w="11176"/>
          </w:cols>
          <w:pgMar w:left="384"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456"/>
        <w:spacing w:after="0"/>
        <w:rPr>
          <w:sz w:val="20"/>
          <w:szCs w:val="20"/>
          <w:color w:val="auto"/>
        </w:rPr>
      </w:pPr>
      <w:r>
        <w:rPr>
          <w:rFonts w:ascii="Arial" w:cs="Arial" w:eastAsia="Arial" w:hAnsi="Arial"/>
          <w:sz w:val="17"/>
          <w:szCs w:val="17"/>
          <w:color w:val="auto"/>
        </w:rPr>
        <w:t>(A)</w:t>
      </w:r>
    </w:p>
    <w:p>
      <w:pPr>
        <w:ind w:left="1756"/>
        <w:spacing w:after="0"/>
        <w:rPr>
          <w:sz w:val="20"/>
          <w:szCs w:val="20"/>
          <w:color w:val="auto"/>
        </w:rPr>
      </w:pPr>
      <w:r>
        <w:rPr>
          <w:rFonts w:ascii="Arial" w:cs="Arial" w:eastAsia="Arial" w:hAnsi="Arial"/>
          <w:sz w:val="16"/>
          <w:szCs w:val="16"/>
          <w:color w:val="auto"/>
        </w:rPr>
        <w:t>termination; plus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amount of any unpaid rent which has been earned at the time of such</w:t>
      </w:r>
    </w:p>
    <w:p>
      <w:pPr>
        <w:spacing w:after="0" w:line="391" w:lineRule="exact"/>
        <w:rPr>
          <w:sz w:val="20"/>
          <w:szCs w:val="20"/>
          <w:color w:val="auto"/>
        </w:rPr>
      </w:pPr>
    </w:p>
    <w:p>
      <w:pPr>
        <w:sectPr>
          <w:pgSz w:w="11900" w:h="16838" w:orient="portrait"/>
          <w:cols w:equalWidth="0" w:num="2">
            <w:col w:w="4516" w:space="720"/>
            <w:col w:w="5940"/>
          </w:cols>
          <w:pgMar w:left="384" w:top="118" w:right="339" w:bottom="1440" w:gutter="0" w:footer="0" w:header="0"/>
          <w:type w:val="continuous"/>
        </w:sectPr>
      </w:pPr>
    </w:p>
    <w:p>
      <w:pPr>
        <w:spacing w:after="0" w:line="12" w:lineRule="exact"/>
        <w:rPr>
          <w:sz w:val="20"/>
          <w:szCs w:val="20"/>
          <w:color w:val="auto"/>
        </w:rPr>
      </w:pPr>
    </w:p>
    <w:p>
      <w:pPr>
        <w:ind w:left="2456"/>
        <w:spacing w:after="0"/>
        <w:tabs>
          <w:tab w:leader="none" w:pos="5215"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The amount of the unpaid rent for the balance of the Term, discounted to its</w:t>
      </w:r>
    </w:p>
    <w:p>
      <w:pPr>
        <w:sectPr>
          <w:pgSz w:w="11900" w:h="16838" w:orient="portrait"/>
          <w:cols w:equalWidth="0" w:num="1">
            <w:col w:w="11176"/>
          </w:cols>
          <w:pgMar w:left="384" w:top="118" w:right="339" w:bottom="1440" w:gutter="0" w:footer="0" w:header="0"/>
          <w:type w:val="continuous"/>
        </w:sectPr>
      </w:pPr>
    </w:p>
    <w:p>
      <w:pPr>
        <w:spacing w:after="0" w:line="20" w:lineRule="exact"/>
        <w:rPr>
          <w:sz w:val="20"/>
          <w:szCs w:val="20"/>
          <w:color w:val="auto"/>
        </w:rPr>
      </w:pPr>
    </w:p>
    <w:p>
      <w:pPr>
        <w:jc w:val="both"/>
        <w:ind w:left="1756" w:right="420"/>
        <w:spacing w:after="0" w:line="235" w:lineRule="auto"/>
        <w:rPr>
          <w:sz w:val="20"/>
          <w:szCs w:val="20"/>
          <w:color w:val="auto"/>
        </w:rPr>
      </w:pPr>
      <w:r>
        <w:rPr>
          <w:rFonts w:ascii="Arial" w:cs="Arial" w:eastAsia="Arial" w:hAnsi="Arial"/>
          <w:sz w:val="17"/>
          <w:szCs w:val="17"/>
          <w:color w:val="auto"/>
        </w:rPr>
        <w:t xml:space="preserve">then present value in accordance with accepted financial practice using a rate reasonably acceptable to Landlord, further discounted by the amount of rent loss that Tenant proves could have been reasonably avoided if Landlord had mitigated damages pursuant to the final sentence of the first paragraph of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below; plus</w:t>
      </w:r>
    </w:p>
    <w:p>
      <w:pPr>
        <w:spacing w:after="0" w:line="180" w:lineRule="exact"/>
        <w:rPr>
          <w:sz w:val="20"/>
          <w:szCs w:val="20"/>
          <w:color w:val="auto"/>
        </w:rPr>
      </w:pPr>
    </w:p>
    <w:p>
      <w:pPr>
        <w:ind w:left="1756" w:right="160" w:hanging="772"/>
        <w:spacing w:after="0" w:line="238" w:lineRule="auto"/>
        <w:tabs>
          <w:tab w:leader="none" w:pos="2451"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93" w:lineRule="exact"/>
        <w:rPr>
          <w:rFonts w:ascii="Arial" w:cs="Arial" w:eastAsia="Arial" w:hAnsi="Arial"/>
          <w:sz w:val="17"/>
          <w:szCs w:val="17"/>
          <w:color w:val="auto"/>
        </w:rPr>
      </w:pPr>
    </w:p>
    <w:p>
      <w:pPr>
        <w:ind w:left="1756" w:right="140" w:hanging="772"/>
        <w:spacing w:after="0" w:line="245" w:lineRule="auto"/>
        <w:tabs>
          <w:tab w:leader="none" w:pos="2451" w:val="left"/>
        </w:tabs>
        <w:numPr>
          <w:ilvl w:val="0"/>
          <w:numId w:val="96"/>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 applicable law.</w:t>
      </w:r>
    </w:p>
    <w:p>
      <w:pPr>
        <w:spacing w:after="0" w:line="169" w:lineRule="exact"/>
        <w:rPr>
          <w:sz w:val="20"/>
          <w:szCs w:val="20"/>
          <w:color w:val="auto"/>
        </w:rPr>
      </w:pPr>
    </w:p>
    <w:p>
      <w:pPr>
        <w:jc w:val="both"/>
        <w:ind w:left="76" w:right="120"/>
        <w:spacing w:after="0" w:line="252"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 21(c)(ii)(A)</w:t>
      </w:r>
      <w:r>
        <w:rPr>
          <w:rFonts w:ascii="Arial" w:cs="Arial" w:eastAsia="Arial" w:hAnsi="Arial"/>
          <w:sz w:val="17"/>
          <w:szCs w:val="17"/>
          <w:color w:val="auto"/>
        </w:rPr>
        <w:t xml:space="preserve"> above, the “</w:t>
      </w:r>
      <w:r>
        <w:rPr>
          <w:rFonts w:ascii="Arial" w:cs="Arial" w:eastAsia="Arial" w:hAnsi="Arial"/>
          <w:sz w:val="17"/>
          <w:szCs w:val="17"/>
          <w:b w:val="1"/>
          <w:bCs w:val="1"/>
          <w:color w:val="auto"/>
        </w:rPr>
        <w:t>amount</w:t>
      </w:r>
      <w:r>
        <w:rPr>
          <w:rFonts w:ascii="Arial" w:cs="Arial" w:eastAsia="Arial" w:hAnsi="Arial"/>
          <w:sz w:val="17"/>
          <w:szCs w:val="17"/>
          <w:color w:val="auto"/>
        </w:rPr>
        <w:t>” shall be computed by allowing interest at the Default Rate.</w:t>
      </w:r>
    </w:p>
    <w:p>
      <w:pPr>
        <w:spacing w:after="0" w:line="184" w:lineRule="exact"/>
        <w:rPr>
          <w:sz w:val="20"/>
          <w:szCs w:val="20"/>
          <w:color w:val="auto"/>
        </w:rPr>
      </w:pPr>
    </w:p>
    <w:p>
      <w:pPr>
        <w:ind w:left="916" w:right="160" w:firstLine="761"/>
        <w:spacing w:after="0" w:line="239" w:lineRule="auto"/>
        <w:rPr>
          <w:sz w:val="20"/>
          <w:szCs w:val="20"/>
          <w:color w:val="auto"/>
        </w:rPr>
      </w:pPr>
      <w:r>
        <w:rPr>
          <w:rFonts w:ascii="Arial" w:cs="Arial" w:eastAsia="Arial" w:hAnsi="Arial"/>
          <w:sz w:val="17"/>
          <w:szCs w:val="17"/>
          <w:color w:val="auto"/>
        </w:rPr>
        <w:t>(iii) 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192" w:lineRule="exact"/>
        <w:rPr>
          <w:sz w:val="20"/>
          <w:szCs w:val="20"/>
          <w:color w:val="auto"/>
        </w:rPr>
      </w:pPr>
    </w:p>
    <w:p>
      <w:pPr>
        <w:ind w:left="916" w:right="140" w:hanging="775"/>
        <w:spacing w:after="0" w:line="237" w:lineRule="auto"/>
        <w:tabs>
          <w:tab w:leader="none" w:pos="1676" w:val="left"/>
        </w:tabs>
        <w:numPr>
          <w:ilvl w:val="1"/>
          <w:numId w:val="97"/>
        </w:numPr>
        <w:rPr>
          <w:rFonts w:ascii="Arial" w:cs="Arial" w:eastAsia="Arial" w:hAnsi="Arial"/>
          <w:sz w:val="17"/>
          <w:szCs w:val="17"/>
          <w:color w:val="auto"/>
        </w:rPr>
      </w:pPr>
      <w:r>
        <w:rPr>
          <w:rFonts w:ascii="Arial" w:cs="Arial" w:eastAsia="Arial" w:hAnsi="Arial"/>
          <w:sz w:val="17"/>
          <w:szCs w:val="17"/>
          <w:color w:val="auto"/>
        </w:rPr>
        <w:t>In the event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96" w:lineRule="exact"/>
        <w:rPr>
          <w:rFonts w:ascii="Arial" w:cs="Arial" w:eastAsia="Arial" w:hAnsi="Arial"/>
          <w:sz w:val="17"/>
          <w:szCs w:val="17"/>
          <w:color w:val="auto"/>
        </w:rPr>
      </w:pPr>
    </w:p>
    <w:p>
      <w:pPr>
        <w:ind w:left="2596" w:hanging="843"/>
        <w:spacing w:after="0"/>
        <w:tabs>
          <w:tab w:leader="none" w:pos="2596" w:val="left"/>
        </w:tabs>
        <w:numPr>
          <w:ilvl w:val="2"/>
          <w:numId w:val="97"/>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180" w:lineRule="exact"/>
        <w:rPr>
          <w:rFonts w:ascii="Arial" w:cs="Arial" w:eastAsia="Arial" w:hAnsi="Arial"/>
          <w:sz w:val="17"/>
          <w:szCs w:val="17"/>
          <w:color w:val="auto"/>
        </w:rPr>
      </w:pPr>
    </w:p>
    <w:p>
      <w:pPr>
        <w:ind w:left="776" w:right="240" w:hanging="776"/>
        <w:spacing w:after="0" w:line="239" w:lineRule="auto"/>
        <w:tabs>
          <w:tab w:leader="none" w:pos="1537"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Effect of Exercise</w:t>
      </w:r>
      <w:r>
        <w:rPr>
          <w:rFonts w:ascii="Arial" w:cs="Arial" w:eastAsia="Arial" w:hAnsi="Arial"/>
          <w:sz w:val="17"/>
          <w:szCs w:val="17"/>
          <w:color w:val="auto"/>
        </w:rPr>
        <w:t>. Exercise by Landlord of any remedies hereunder or otherwise available shall not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acceptance of 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448310</wp:posOffset>
            </wp:positionV>
            <wp:extent cx="715581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76"/>
          </w:cols>
          <w:pgMar w:left="384" w:top="118"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 Landlord shall, however, use commercially reasonable efforts to mitigate the damages arising by reason of the termination of this Lease as a result of a Default by Tenant; provided, however, that in no event shall mitigation require Landlord to consider, among other things, (i) any tenant which does not satisfy Landlord’s then current underwriting criteria, in the exercise of Landlord’s sole and absolute discretion, for comparable size premises, (ii) subdividing the Premises unless Landlord elects in its sole and absolute discretion to do so,</w:t>
      </w:r>
    </w:p>
    <w:p>
      <w:pPr>
        <w:spacing w:after="0" w:line="3" w:lineRule="exact"/>
        <w:rPr>
          <w:sz w:val="20"/>
          <w:szCs w:val="20"/>
          <w:color w:val="auto"/>
        </w:rPr>
      </w:pPr>
    </w:p>
    <w:p>
      <w:pPr>
        <w:ind w:right="320" w:firstLine="3"/>
        <w:spacing w:after="0" w:line="235" w:lineRule="auto"/>
        <w:tabs>
          <w:tab w:leader="none" w:pos="593"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change in use of the Premises or any alterations which would lessen the value of the leasehold improvements, (iv) granting any tenant improvement allowances, free rent or other lease concessions, or</w:t>
      </w:r>
    </w:p>
    <w:p>
      <w:pPr>
        <w:ind w:right="120" w:firstLine="3"/>
        <w:spacing w:after="0" w:line="245" w:lineRule="auto"/>
        <w:tabs>
          <w:tab w:leader="none" w:pos="25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accepting any tenant if Landlord would have the right to reject such tenant if such tenant were a proposed assignee or sublessee of Tenant including, without limitation, considering the factors described in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163" w:lineRule="exact"/>
        <w:rPr>
          <w:sz w:val="20"/>
          <w:szCs w:val="20"/>
          <w:color w:val="auto"/>
        </w:rPr>
      </w:pPr>
    </w:p>
    <w:p>
      <w:pPr>
        <w:jc w:val="both"/>
        <w:ind w:right="120" w:firstLine="824"/>
        <w:spacing w:after="0" w:line="239" w:lineRule="auto"/>
        <w:rPr>
          <w:sz w:val="20"/>
          <w:szCs w:val="20"/>
          <w:color w:val="auto"/>
        </w:rPr>
      </w:pPr>
      <w:r>
        <w:rPr>
          <w:rFonts w:ascii="Arial" w:cs="Arial" w:eastAsia="Arial" w:hAnsi="Arial"/>
          <w:sz w:val="17"/>
          <w:szCs w:val="17"/>
          <w:color w:val="auto"/>
        </w:rPr>
        <w:t xml:space="preserve">Notwithstanding any contrary provision of this Lease, neither Tenant nor Landlord shall be liable to the other for any indirect, special or consequential damages; provided, however, that this sentence shall not apply to Landlord’s damages (x) as expressly provided for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and/or (y) in connection with Tenant’s obligations as more fully set forth in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In no event shall the foregoing, limit the damages to which Landlord is entitled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160" w:lineRule="exact"/>
        <w:rPr>
          <w:sz w:val="20"/>
          <w:szCs w:val="20"/>
          <w:color w:val="auto"/>
        </w:rPr>
      </w:pPr>
    </w:p>
    <w:p>
      <w:pPr>
        <w:ind w:left="1680" w:hanging="847"/>
        <w:spacing w:after="0"/>
        <w:tabs>
          <w:tab w:leader="none" w:pos="1680" w:val="left"/>
        </w:tabs>
        <w:numPr>
          <w:ilvl w:val="1"/>
          <w:numId w:val="101"/>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right="180" w:firstLine="827"/>
        <w:spacing w:after="0" w:line="238" w:lineRule="auto"/>
        <w:tabs>
          <w:tab w:leader="none" w:pos="2358"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Prohibition</w:t>
      </w:r>
      <w:r>
        <w:rPr>
          <w:rFonts w:ascii="Arial" w:cs="Arial" w:eastAsia="Arial" w:hAnsi="Arial"/>
          <w:sz w:val="17"/>
          <w:szCs w:val="17"/>
          <w:color w:val="auto"/>
        </w:rPr>
        <w:t>. Without Landlord’s prior written consent (which shall be given or withheld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of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below) subject to and on the conditions described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 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Notwithstanding the foregoing, any public offering of shares or other ownership interest in Tenant shall not be deemed an assignment</w:t>
      </w:r>
      <w:r>
        <w:rPr>
          <w:rFonts w:ascii="Arial" w:cs="Arial" w:eastAsia="Arial" w:hAnsi="Arial"/>
          <w:sz w:val="17"/>
          <w:szCs w:val="17"/>
          <w:b w:val="1"/>
          <w:bCs w:val="1"/>
          <w:color w:val="auto"/>
        </w:rPr>
        <w:t>.</w:t>
      </w:r>
    </w:p>
    <w:p>
      <w:pPr>
        <w:spacing w:after="0" w:line="180" w:lineRule="exact"/>
        <w:rPr>
          <w:rFonts w:ascii="Arial" w:cs="Arial" w:eastAsia="Arial" w:hAnsi="Arial"/>
          <w:sz w:val="17"/>
          <w:szCs w:val="17"/>
          <w:b w:val="1"/>
          <w:bCs w:val="1"/>
          <w:color w:val="auto"/>
        </w:rPr>
      </w:pPr>
    </w:p>
    <w:p>
      <w:pPr>
        <w:ind w:right="120" w:firstLine="825"/>
        <w:spacing w:after="0" w:line="239" w:lineRule="auto"/>
        <w:tabs>
          <w:tab w:leader="none" w:pos="2358"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Permitted Transfers</w:t>
      </w:r>
      <w:r>
        <w:rPr>
          <w:rFonts w:ascii="Arial" w:cs="Arial" w:eastAsia="Arial" w:hAnsi="Arial"/>
          <w:sz w:val="17"/>
          <w:szCs w:val="17"/>
          <w:color w:val="auto"/>
        </w:rPr>
        <w:t>. If Tenant desires to assign, sublease, hypothecate or otherwise transfer this Lease or sublet</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other than pursuant to a Permitted Assignment or Shared Space Arrangement (each as defined below), then at least 15 days, but not more than 45 business days, before the date Tenant desires the assignment or sublease to be effective (the “</w:t>
      </w:r>
      <w:r>
        <w:rPr>
          <w:rFonts w:ascii="Arial" w:cs="Arial" w:eastAsia="Arial" w:hAnsi="Arial"/>
          <w:sz w:val="17"/>
          <w:szCs w:val="17"/>
          <w:b w:val="1"/>
          <w:bCs w:val="1"/>
          <w:color w:val="auto"/>
        </w:rPr>
        <w:t>Assignment Date</w:t>
      </w:r>
      <w:r>
        <w:rPr>
          <w:rFonts w:ascii="Arial" w:cs="Arial" w:eastAsia="Arial" w:hAnsi="Arial"/>
          <w:sz w:val="17"/>
          <w:szCs w:val="17"/>
          <w:color w:val="auto"/>
        </w:rPr>
        <w:t>”), Tenant shall give Landlord a notice (the “</w:t>
      </w:r>
      <w:r>
        <w:rPr>
          <w:rFonts w:ascii="Arial" w:cs="Arial" w:eastAsia="Arial" w:hAnsi="Arial"/>
          <w:sz w:val="17"/>
          <w:szCs w:val="17"/>
          <w:b w:val="1"/>
          <w:bCs w:val="1"/>
          <w:color w:val="auto"/>
        </w:rPr>
        <w:t>Assignment Notice</w:t>
      </w:r>
      <w:r>
        <w:rPr>
          <w:rFonts w:ascii="Arial" w:cs="Arial" w:eastAsia="Arial" w:hAnsi="Arial"/>
          <w:sz w:val="17"/>
          <w:szCs w:val="17"/>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then-current form, and such other information as Landlord may deem reasonably necessary or appropriate to its consideration whether to grant its consent. Landlord may, by giving written notice to Tenant within 15 days after receipt of the Assignment Notice: (i) grant such consent (provided that Landlord shall further have the right to review and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448310</wp:posOffset>
            </wp:positionV>
            <wp:extent cx="715581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5" w:lineRule="auto"/>
        <w:rPr>
          <w:sz w:val="20"/>
          <w:szCs w:val="20"/>
          <w:color w:val="auto"/>
        </w:rPr>
      </w:pPr>
      <w:r>
        <w:rPr>
          <w:rFonts w:ascii="Arial" w:cs="Arial" w:eastAsia="Arial" w:hAnsi="Arial"/>
          <w:sz w:val="17"/>
          <w:szCs w:val="17"/>
          <w:color w:val="auto"/>
        </w:rPr>
        <w:t>or disapprove the proposed form of sublease prior to the effective date of any such subletting), (ii) refuse such consent, in its reasonable discretion; or (iii) with respect to any proposed assignment or transfer of this Lease, or with respect to any proposed subletting for substantially the remainder of the Term of more than of the Premises, terminate this Lease with respect to the space described in the Assignment Notice as of the Assignment Date (an “</w:t>
      </w:r>
      <w:r>
        <w:rPr>
          <w:rFonts w:ascii="Arial" w:cs="Arial" w:eastAsia="Arial" w:hAnsi="Arial"/>
          <w:sz w:val="17"/>
          <w:szCs w:val="17"/>
          <w:b w:val="1"/>
          <w:bCs w:val="1"/>
          <w:color w:val="auto"/>
        </w:rPr>
        <w:t>Assignment Termination</w:t>
      </w:r>
      <w:r>
        <w:rPr>
          <w:rFonts w:ascii="Arial" w:cs="Arial" w:eastAsia="Arial" w:hAnsi="Arial"/>
          <w:sz w:val="17"/>
          <w:szCs w:val="17"/>
          <w:color w:val="auto"/>
        </w:rPr>
        <w:t>”).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materially lessen the value of the leasehold improvements in the Premises, or would require materially increased services by Landlord;</w:t>
      </w:r>
    </w:p>
    <w:p>
      <w:pPr>
        <w:spacing w:after="0" w:line="2" w:lineRule="exact"/>
        <w:rPr>
          <w:sz w:val="20"/>
          <w:szCs w:val="20"/>
          <w:color w:val="auto"/>
        </w:rPr>
      </w:pPr>
    </w:p>
    <w:p>
      <w:pPr>
        <w:ind w:right="180" w:firstLine="2"/>
        <w:spacing w:after="0" w:line="235" w:lineRule="auto"/>
        <w:tabs>
          <w:tab w:leader="none" w:pos="59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Landlord’s reasonable judgment,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(iii) attract protestors to the Building or the Project, or (iv) lessen the attractiveness of the Building or the Project to any tenants or prospective tenants, purchasers or lenders;</w:t>
      </w:r>
    </w:p>
    <w:p>
      <w:pPr>
        <w:spacing w:after="0" w:line="1" w:lineRule="exact"/>
        <w:rPr>
          <w:rFonts w:ascii="Arial" w:cs="Arial" w:eastAsia="Arial" w:hAnsi="Arial"/>
          <w:sz w:val="17"/>
          <w:szCs w:val="17"/>
          <w:color w:val="auto"/>
        </w:rPr>
      </w:pPr>
    </w:p>
    <w:p>
      <w:pPr>
        <w:ind w:right="200" w:firstLine="1"/>
        <w:spacing w:after="0" w:line="250" w:lineRule="auto"/>
        <w:tabs>
          <w:tab w:leader="none" w:pos="56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(6) Landlord has experienced previous defaults by or is in litigation with the proposed assignee or subtenant; (7) the use of the Premises by the proposed assignee or subtenant will violate any applicable Legal Requirement; (8) the proposed assignee or subtenant is an entity with whom Landlord is then-currently actively negotiating to lease space in the Project; or (9) the assignment or sublease is prohibited by Landlord’s lender.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w:t>
      </w:r>
    </w:p>
    <w:p>
      <w:pPr>
        <w:jc w:val="both"/>
        <w:ind w:right="120"/>
        <w:spacing w:after="0" w:line="236" w:lineRule="auto"/>
        <w:rPr>
          <w:rFonts w:ascii="Arial" w:cs="Arial" w:eastAsia="Arial" w:hAnsi="Arial"/>
          <w:sz w:val="16"/>
          <w:szCs w:val="16"/>
          <w:color w:val="auto"/>
        </w:rPr>
      </w:pPr>
      <w:r>
        <w:rPr>
          <w:rFonts w:ascii="Arial" w:cs="Arial" w:eastAsia="Arial" w:hAnsi="Arial"/>
          <w:sz w:val="17"/>
          <w:szCs w:val="17"/>
          <w:color w:val="auto"/>
        </w:rPr>
        <w:t>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7"/>
          <w:szCs w:val="17"/>
          <w:b w:val="1"/>
          <w:bCs w:val="1"/>
          <w:color w:val="auto"/>
        </w:rPr>
        <w:t>Control Permitted Assignment</w:t>
      </w:r>
      <w:r>
        <w:rPr>
          <w:rFonts w:ascii="Arial" w:cs="Arial" w:eastAsia="Arial" w:hAnsi="Arial"/>
          <w:sz w:val="17"/>
          <w:szCs w:val="17"/>
          <w:color w:val="auto"/>
        </w:rPr>
        <w:t>”) shall not be required, provided that the parties shall be required to execute Landlord’s standard form of consent to assignment in connection with such Control Permitted Assignment. In addition, Tenant shall have the right to assign this Lease, upon 15 days prior written notice to Landlord ((x) unless Tenant is prohibited from providing such notice by applicable Legal Requirements in which case Tenant shall notify Landlord promptly thereafter, and (y) if the transaction is subject to confidentiality requirements, Tenant’s advance notification shall be subject to Landlord’s execution of a non-disclosure agreement reasonably acceptable to Landlord and Tenant) but without obtaining Landlord’s prior written consent, to a corporation or other entity which is a successor-in- 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this Lease, and (ii) the net worth (as determined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of the assignee is not less than the greater of the net worth (as determined in accordance with GAAP) of Tenant as of (A) the Commencement Date, or (B) as of the date of Tenant’s most current quarterly or annual financial statements, and (iii) such assignee shall agree in writing to assume all of the terms, covenants and conditions of this Lease (a “</w:t>
      </w:r>
      <w:r>
        <w:rPr>
          <w:rFonts w:ascii="Arial" w:cs="Arial" w:eastAsia="Arial" w:hAnsi="Arial"/>
          <w:sz w:val="17"/>
          <w:szCs w:val="17"/>
          <w:b w:val="1"/>
          <w:bCs w:val="1"/>
          <w:color w:val="auto"/>
        </w:rPr>
        <w:t>Corporate Permitted Assignment</w:t>
      </w:r>
      <w:r>
        <w:rPr>
          <w:rFonts w:ascii="Arial" w:cs="Arial" w:eastAsia="Arial" w:hAnsi="Arial"/>
          <w:sz w:val="17"/>
          <w:szCs w:val="17"/>
          <w:color w:val="auto"/>
        </w:rPr>
        <w:t>”). Control Permitted Assignments and Corporate Permitted Assignments are hereinafter referred to as “</w:t>
      </w:r>
      <w:r>
        <w:rPr>
          <w:rFonts w:ascii="Arial" w:cs="Arial" w:eastAsia="Arial" w:hAnsi="Arial"/>
          <w:sz w:val="17"/>
          <w:szCs w:val="17"/>
          <w:b w:val="1"/>
          <w:bCs w:val="1"/>
          <w:color w:val="auto"/>
        </w:rPr>
        <w:t>Permitted Assignments</w:t>
      </w:r>
      <w:r>
        <w:rPr>
          <w:rFonts w:ascii="Arial" w:cs="Arial" w:eastAsia="Arial" w:hAnsi="Arial"/>
          <w:sz w:val="17"/>
          <w:szCs w:val="17"/>
          <w:color w:val="auto"/>
        </w:rPr>
        <w:t>.”</w:t>
      </w:r>
    </w:p>
    <w:p>
      <w:pPr>
        <w:spacing w:after="0" w:line="196" w:lineRule="exact"/>
        <w:rPr>
          <w:sz w:val="20"/>
          <w:szCs w:val="20"/>
          <w:color w:val="auto"/>
        </w:rPr>
      </w:pPr>
    </w:p>
    <w:p>
      <w:pPr>
        <w:jc w:val="both"/>
        <w:ind w:right="120" w:firstLine="823"/>
        <w:spacing w:after="0"/>
        <w:rPr>
          <w:sz w:val="20"/>
          <w:szCs w:val="20"/>
          <w:color w:val="auto"/>
        </w:rPr>
      </w:pPr>
      <w:r>
        <w:rPr>
          <w:rFonts w:ascii="Arial" w:cs="Arial" w:eastAsia="Arial" w:hAnsi="Arial"/>
          <w:sz w:val="17"/>
          <w:szCs w:val="17"/>
          <w:color w:val="auto"/>
        </w:rPr>
        <w:t>Notwithstanding anything to the contrary contained in this Lease, Tenant may from time to time enter into license agreements (each, a “</w:t>
      </w:r>
      <w:r>
        <w:rPr>
          <w:rFonts w:ascii="Arial" w:cs="Arial" w:eastAsia="Arial" w:hAnsi="Arial"/>
          <w:sz w:val="17"/>
          <w:szCs w:val="17"/>
          <w:b w:val="1"/>
          <w:bCs w:val="1"/>
          <w:color w:val="auto"/>
        </w:rPr>
        <w:t>Shared Space Arrangement</w:t>
      </w:r>
      <w:r>
        <w:rPr>
          <w:rFonts w:ascii="Arial" w:cs="Arial" w:eastAsia="Arial" w:hAnsi="Arial"/>
          <w:sz w:val="17"/>
          <w:szCs w:val="17"/>
          <w:color w:val="auto"/>
        </w:rPr>
        <w:t>”) with agents, contractors, consultants and other third parties (each, a “</w:t>
      </w:r>
      <w:r>
        <w:rPr>
          <w:rFonts w:ascii="Arial" w:cs="Arial" w:eastAsia="Arial" w:hAnsi="Arial"/>
          <w:sz w:val="17"/>
          <w:szCs w:val="17"/>
          <w:b w:val="1"/>
          <w:bCs w:val="1"/>
          <w:color w:val="auto"/>
        </w:rPr>
        <w:t>Space Occupant</w:t>
      </w:r>
      <w:r>
        <w:rPr>
          <w:rFonts w:ascii="Arial" w:cs="Arial" w:eastAsia="Arial" w:hAnsi="Arial"/>
          <w:sz w:val="17"/>
          <w:szCs w:val="17"/>
          <w:color w:val="auto"/>
        </w:rPr>
        <w:t>”) to use up to of the Premises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455930</wp:posOffset>
            </wp:positionV>
            <wp:extent cx="715581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0" w:right="120"/>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Shared Space Area</w:t>
      </w:r>
      <w:r>
        <w:rPr>
          <w:rFonts w:ascii="Arial" w:cs="Arial" w:eastAsia="Arial" w:hAnsi="Arial"/>
          <w:sz w:val="17"/>
          <w:szCs w:val="17"/>
          <w:color w:val="auto"/>
        </w:rPr>
        <w:t xml:space="preserve">” and such Share Space Arrangements shall not require Landlord’s consent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Lease but Tenant shall be required to provide Landlord with a copy of each such Shared Space Arrangement and, prior to the effective date of each such Shared Space Arrangement and prior to any use of the Premises by such Space Occupant, Tenant and each licensee shall be required to execute Landlord’s consent in the form attached hereto as </w:t>
      </w:r>
      <w:r>
        <w:rPr>
          <w:rFonts w:ascii="Arial" w:cs="Arial" w:eastAsia="Arial" w:hAnsi="Arial"/>
          <w:sz w:val="17"/>
          <w:szCs w:val="17"/>
          <w:b w:val="1"/>
          <w:bCs w:val="1"/>
          <w:color w:val="auto"/>
        </w:rPr>
        <w:t>Exhibit H</w:t>
      </w:r>
      <w:r>
        <w:rPr>
          <w:rFonts w:ascii="Arial" w:cs="Arial" w:eastAsia="Arial" w:hAnsi="Arial"/>
          <w:sz w:val="17"/>
          <w:szCs w:val="17"/>
          <w:color w:val="auto"/>
        </w:rPr>
        <w:t>. The rights set forth in this paragraph are personal to Beam Therapeutics Inc., and any assignee of Beam Therapeutics Inc. pursuant to a Permitted Assignment and, except with respect to such assignee pursuant to a Permitted Assignment, shall not inure to the benefit of any successor, assignee or subtenant of Beam Therapeutics Inc. Tenant shall be fully responsible for the conduct of all Space Occupants and the agents, servants, employees, invitees and contractors of each Space Occupant within the Shared Space Area and the Project, and Tenant’s indemnification obligations set forth in this Lease shall apply with respect to the conduct of such parties within the Shared Space Area and Project.</w:t>
      </w:r>
    </w:p>
    <w:p>
      <w:pPr>
        <w:spacing w:after="0" w:line="177" w:lineRule="exact"/>
        <w:rPr>
          <w:sz w:val="20"/>
          <w:szCs w:val="20"/>
          <w:color w:val="auto"/>
        </w:rPr>
      </w:pPr>
    </w:p>
    <w:p>
      <w:pPr>
        <w:ind w:left="780" w:right="460" w:hanging="776"/>
        <w:spacing w:after="0" w:line="270" w:lineRule="auto"/>
        <w:tabs>
          <w:tab w:leader="none" w:pos="154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Additional Conditions</w:t>
      </w:r>
      <w:r>
        <w:rPr>
          <w:rFonts w:ascii="Arial" w:cs="Arial" w:eastAsia="Arial" w:hAnsi="Arial"/>
          <w:sz w:val="17"/>
          <w:szCs w:val="17"/>
          <w:color w:val="auto"/>
        </w:rPr>
        <w:t>. As a condition to any such assignment or subletting, whether or not Landlord’s consent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may require:</w:t>
      </w:r>
    </w:p>
    <w:p>
      <w:pPr>
        <w:spacing w:after="0" w:line="168" w:lineRule="exact"/>
        <w:rPr>
          <w:sz w:val="20"/>
          <w:szCs w:val="20"/>
          <w:color w:val="auto"/>
        </w:rPr>
      </w:pPr>
    </w:p>
    <w:p>
      <w:pPr>
        <w:ind w:left="920" w:right="160" w:firstLine="761"/>
        <w:spacing w:after="0"/>
        <w:rPr>
          <w:sz w:val="20"/>
          <w:szCs w:val="20"/>
          <w:color w:val="auto"/>
        </w:rPr>
      </w:pPr>
      <w:r>
        <w:rPr>
          <w:rFonts w:ascii="Arial" w:cs="Arial" w:eastAsia="Arial" w:hAnsi="Arial"/>
          <w:sz w:val="17"/>
          <w:szCs w:val="17"/>
          <w:color w:val="auto"/>
        </w:rPr>
        <w:t xml:space="preserve">(i) 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377" w:lineRule="exact"/>
        <w:rPr>
          <w:sz w:val="20"/>
          <w:szCs w:val="20"/>
          <w:color w:val="auto"/>
        </w:rPr>
      </w:pPr>
    </w:p>
    <w:p>
      <w:pPr>
        <w:ind w:left="920" w:right="120" w:firstLine="761"/>
        <w:spacing w:after="0" w:line="236" w:lineRule="auto"/>
        <w:rPr>
          <w:sz w:val="20"/>
          <w:szCs w:val="20"/>
          <w:color w:val="auto"/>
        </w:rPr>
      </w:pPr>
      <w:r>
        <w:rPr>
          <w:rFonts w:ascii="Arial" w:cs="Arial" w:eastAsia="Arial" w:hAnsi="Arial"/>
          <w:sz w:val="17"/>
          <w:szCs w:val="17"/>
          <w:color w:val="auto"/>
        </w:rPr>
        <w:t>(ii) 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78" w:lineRule="exact"/>
        <w:rPr>
          <w:sz w:val="20"/>
          <w:szCs w:val="20"/>
          <w:color w:val="auto"/>
        </w:rPr>
      </w:pPr>
    </w:p>
    <w:p>
      <w:pPr>
        <w:ind w:left="80" w:right="180" w:firstLine="823"/>
        <w:spacing w:after="0" w:line="255" w:lineRule="auto"/>
        <w:tabs>
          <w:tab w:leader="none" w:pos="2436"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No Release of Tenant, Sharing of Excess Rents</w:t>
      </w:r>
      <w:r>
        <w:rPr>
          <w:rFonts w:ascii="Arial" w:cs="Arial" w:eastAsia="Arial" w:hAnsi="Arial"/>
          <w:sz w:val="16"/>
          <w:szCs w:val="16"/>
          <w:color w:val="auto"/>
        </w:rPr>
        <w:t>. Notwithstanding any assignment or subletting, Tenant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or surety of 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free rent consistent with market terms, and any design or construction fees and tenant improvement costs directly related to and required pursuant to the terms of any such sublease (“</w:t>
      </w:r>
      <w:r>
        <w:rPr>
          <w:rFonts w:ascii="Arial" w:cs="Arial" w:eastAsia="Arial" w:hAnsi="Arial"/>
          <w:sz w:val="16"/>
          <w:szCs w:val="16"/>
          <w:b w:val="1"/>
          <w:bCs w:val="1"/>
          <w:color w:val="auto"/>
        </w:rPr>
        <w:t>Excess Rent</w:t>
      </w:r>
      <w:r>
        <w:rPr>
          <w:rFonts w:ascii="Arial" w:cs="Arial" w:eastAsia="Arial" w:hAnsi="Arial"/>
          <w:sz w:val="16"/>
          <w:szCs w:val="16"/>
          <w:color w:val="auto"/>
        </w:rPr>
        <w:t>”), then Tenant shall be bound and obligated to pay Landlord as Additional Rent hereunder 50% of such Excess Rent within 30 days following receipt thereof by Tenant. If Tenant shall sublet the Premises or any part thereof, Tenant hereby immediately and irrevocably assigns to Landlord, as security for Tenant’s obligations under this Lease, all rent from any such subletting, and Landlord as assignee, or a receiver for Tenant appointed on Landlord’s application, may collect such rent and apply it toward Tenant’s obligations under this Lease; except that, until the occurrence of a Default, Tenant shall have the right to collect such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440690</wp:posOffset>
            </wp:positionV>
            <wp:extent cx="715581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80" w:right="280" w:hanging="776"/>
        <w:spacing w:after="0" w:line="244" w:lineRule="auto"/>
        <w:tabs>
          <w:tab w:leader="none" w:pos="154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No Waiver</w:t>
      </w:r>
      <w:r>
        <w:rPr>
          <w:rFonts w:ascii="Arial" w:cs="Arial" w:eastAsia="Arial" w:hAnsi="Arial"/>
          <w:sz w:val="17"/>
          <w:szCs w:val="17"/>
          <w:color w:val="auto"/>
        </w:rPr>
        <w:t>. The consent by Landlord to an assignment or subletting shall not relieve Tenant or any assignees of this 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69" w:lineRule="exact"/>
        <w:rPr>
          <w:rFonts w:ascii="Arial" w:cs="Arial" w:eastAsia="Arial" w:hAnsi="Arial"/>
          <w:sz w:val="17"/>
          <w:szCs w:val="17"/>
          <w:color w:val="auto"/>
        </w:rPr>
      </w:pPr>
    </w:p>
    <w:p>
      <w:pPr>
        <w:ind w:left="80" w:right="140" w:firstLine="827"/>
        <w:spacing w:after="0" w:line="239" w:lineRule="auto"/>
        <w:tabs>
          <w:tab w:leader="none" w:pos="2391" w:val="left"/>
        </w:tabs>
        <w:numPr>
          <w:ilvl w:val="1"/>
          <w:numId w:val="106"/>
        </w:numPr>
        <w:rPr>
          <w:rFonts w:ascii="Arial" w:cs="Arial" w:eastAsia="Arial" w:hAnsi="Arial"/>
          <w:sz w:val="17"/>
          <w:szCs w:val="17"/>
          <w:color w:val="auto"/>
        </w:rPr>
      </w:pPr>
      <w:r>
        <w:rPr>
          <w:rFonts w:ascii="Arial" w:cs="Arial" w:eastAsia="Arial" w:hAnsi="Arial"/>
          <w:sz w:val="17"/>
          <w:szCs w:val="17"/>
          <w:b w:val="1"/>
          <w:bCs w:val="1"/>
          <w:color w:val="auto"/>
        </w:rPr>
        <w:t>Prior Conduct of Proposed Transferee</w:t>
      </w:r>
      <w:r>
        <w:rPr>
          <w:rFonts w:ascii="Arial" w:cs="Arial" w:eastAsia="Arial" w:hAnsi="Arial"/>
          <w:sz w:val="17"/>
          <w:szCs w:val="17"/>
          <w:color w:val="auto"/>
        </w:rPr>
        <w:t>. 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if (i) the proposed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 or 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77" w:lineRule="exact"/>
        <w:rPr>
          <w:sz w:val="20"/>
          <w:szCs w:val="20"/>
          <w:color w:val="auto"/>
        </w:rPr>
      </w:pPr>
    </w:p>
    <w:p>
      <w:pPr>
        <w:ind w:left="780" w:right="260" w:hanging="776"/>
        <w:spacing w:after="0" w:line="238" w:lineRule="auto"/>
        <w:tabs>
          <w:tab w:leader="none" w:pos="1542"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a 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to the best of Tenant’s knowledge,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If Tenant does not respond within 5 days of a second written request for such statement, Tenant’s failure to deliver such statement within such time shall, at the option of Landlord, be conclusive upon Tenant that the Lease is in full force and effect and without modification except as may be represented by Landlord in any certificate prepared by Landlord and delivered to Tenant for execution.</w:t>
      </w:r>
    </w:p>
    <w:p>
      <w:pPr>
        <w:spacing w:after="0" w:line="200" w:lineRule="exact"/>
        <w:rPr>
          <w:sz w:val="20"/>
          <w:szCs w:val="20"/>
          <w:color w:val="auto"/>
        </w:rPr>
      </w:pPr>
    </w:p>
    <w:p>
      <w:pPr>
        <w:jc w:val="both"/>
        <w:ind w:left="80" w:right="120" w:firstLine="823"/>
        <w:spacing w:after="0" w:line="237" w:lineRule="auto"/>
        <w:rPr>
          <w:sz w:val="20"/>
          <w:szCs w:val="20"/>
          <w:color w:val="auto"/>
        </w:rPr>
      </w:pPr>
      <w:r>
        <w:rPr>
          <w:rFonts w:ascii="Arial" w:cs="Arial" w:eastAsia="Arial" w:hAnsi="Arial"/>
          <w:sz w:val="17"/>
          <w:szCs w:val="17"/>
          <w:color w:val="auto"/>
        </w:rPr>
        <w:t>Upon request by Tenant, Landlord will similarly execute an estoppel certificate: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to Landlord’s knowledge, any uncured defaults on the part of Tenant hereunder, or specifying such defaults if any are claimed and (iii) setting forth such further information with respect to the status of this Lease or the Premises as may be reasonably requested thereon. Landlord shall use reasonable efforts to provide such estoppel certificate to Tenant within 15 business days after Tenant’s written request therefor. Any such statement may be relied upon by any prospective assignee or lender of Tenant.</w:t>
      </w:r>
    </w:p>
    <w:p>
      <w:pPr>
        <w:spacing w:after="0" w:line="175" w:lineRule="exact"/>
        <w:rPr>
          <w:sz w:val="20"/>
          <w:szCs w:val="20"/>
          <w:color w:val="auto"/>
        </w:rPr>
      </w:pPr>
    </w:p>
    <w:p>
      <w:pPr>
        <w:ind w:left="780" w:right="360" w:hanging="776"/>
        <w:spacing w:after="0" w:line="302" w:lineRule="auto"/>
        <w:tabs>
          <w:tab w:leader="none" w:pos="154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Quiet Enjoyment</w:t>
      </w:r>
      <w:r>
        <w:rPr>
          <w:rFonts w:ascii="Arial" w:cs="Arial" w:eastAsia="Arial" w:hAnsi="Arial"/>
          <w:sz w:val="16"/>
          <w:szCs w:val="16"/>
          <w:color w:val="auto"/>
        </w:rPr>
        <w:t>. So long as Tenant is not in Default under this Lease, Tenant shall, subject to the terms of this Lease, 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during the Term, have peaceful and quiet enjoyment of the Premises against any person claiming by, through or under Landlord.</w:t>
      </w:r>
    </w:p>
    <w:p>
      <w:pPr>
        <w:spacing w:after="0" w:line="124" w:lineRule="exact"/>
        <w:rPr>
          <w:rFonts w:ascii="Arial" w:cs="Arial" w:eastAsia="Arial" w:hAnsi="Arial"/>
          <w:sz w:val="16"/>
          <w:szCs w:val="16"/>
          <w:color w:val="auto"/>
        </w:rPr>
      </w:pPr>
    </w:p>
    <w:p>
      <w:pPr>
        <w:ind w:left="780" w:right="460" w:hanging="776"/>
        <w:spacing w:after="0" w:line="270" w:lineRule="auto"/>
        <w:tabs>
          <w:tab w:leader="none" w:pos="154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Prorations</w:t>
      </w:r>
      <w:r>
        <w:rPr>
          <w:rFonts w:ascii="Arial" w:cs="Arial" w:eastAsia="Arial" w:hAnsi="Arial"/>
          <w:sz w:val="17"/>
          <w:szCs w:val="17"/>
          <w:color w:val="auto"/>
        </w:rPr>
        <w:t>. All prorations required or permitted to be made hereunder shall be made on the basis of a 360 day year and 30</w:t>
      </w:r>
      <w:r>
        <w:rPr>
          <w:rFonts w:ascii="Arial" w:cs="Arial" w:eastAsia="Arial" w:hAnsi="Arial"/>
          <w:sz w:val="17"/>
          <w:szCs w:val="17"/>
          <w:b w:val="1"/>
          <w:bCs w:val="1"/>
          <w:color w:val="auto"/>
        </w:rPr>
        <w:t xml:space="preserve"> </w:t>
      </w:r>
      <w:r>
        <w:rPr>
          <w:rFonts w:ascii="Arial" w:cs="Arial" w:eastAsia="Arial" w:hAnsi="Arial"/>
          <w:sz w:val="17"/>
          <w:szCs w:val="17"/>
          <w:color w:val="auto"/>
        </w:rPr>
        <w:t>day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431800</wp:posOffset>
            </wp:positionV>
            <wp:extent cx="715581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firstLine="825"/>
        <w:spacing w:after="0"/>
        <w:tabs>
          <w:tab w:leader="none" w:pos="2387"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Rules and Regulations</w:t>
      </w:r>
      <w:r>
        <w:rPr>
          <w:rFonts w:ascii="Arial" w:cs="Arial" w:eastAsia="Arial" w:hAnsi="Arial"/>
          <w:sz w:val="17"/>
          <w:szCs w:val="17"/>
          <w:color w:val="auto"/>
        </w:rPr>
        <w:t>. Tenant shall, at all times during the Term and any extension thereof, comply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reasonable rules and regulations written notice of which has been delivered to Tenant at any time or from time to time established by Landlord covering use of the Premises and the Project. Such rules and regulations may include, without limitation, rules and regulations relating to the use of the Project Amenities and/or rules and regulations which are intended to encourage social distancing, promote and protect health and physical well-being within the Common Areas of the Project and/or intended to limit the spread of Infectious Conditions. The current rules and regulations are attached hereto as </w:t>
      </w:r>
      <w:r>
        <w:rPr>
          <w:rFonts w:ascii="Arial" w:cs="Arial" w:eastAsia="Arial" w:hAnsi="Arial"/>
          <w:sz w:val="17"/>
          <w:szCs w:val="17"/>
          <w:b w:val="1"/>
          <w:bCs w:val="1"/>
          <w:color w:val="auto"/>
        </w:rPr>
        <w:t>Exhibit E</w:t>
      </w:r>
      <w:r>
        <w:rPr>
          <w:rFonts w:ascii="Arial" w:cs="Arial" w:eastAsia="Arial" w:hAnsi="Arial"/>
          <w:sz w:val="17"/>
          <w:szCs w:val="17"/>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73" w:lineRule="exact"/>
        <w:rPr>
          <w:rFonts w:ascii="Arial" w:cs="Arial" w:eastAsia="Arial" w:hAnsi="Arial"/>
          <w:sz w:val="17"/>
          <w:szCs w:val="17"/>
          <w:color w:val="auto"/>
        </w:rPr>
      </w:pPr>
    </w:p>
    <w:p>
      <w:pPr>
        <w:ind w:right="120" w:firstLine="825"/>
        <w:spacing w:after="0" w:line="238" w:lineRule="auto"/>
        <w:tabs>
          <w:tab w:leader="none" w:pos="2387"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Subordination</w:t>
      </w:r>
      <w:r>
        <w:rPr>
          <w:rFonts w:ascii="Arial" w:cs="Arial" w:eastAsia="Arial" w:hAnsi="Arial"/>
          <w:sz w:val="17"/>
          <w:szCs w:val="17"/>
          <w:color w:val="auto"/>
        </w:rPr>
        <w:t>. This Lease and Tenant’s interest and rights hereunder are hereby made and shall be subject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written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7"/>
          <w:szCs w:val="17"/>
          <w:b w:val="1"/>
          <w:bCs w:val="1"/>
          <w:color w:val="auto"/>
        </w:rPr>
        <w:t>Mortgage</w:t>
      </w:r>
      <w:r>
        <w:rPr>
          <w:rFonts w:ascii="Arial" w:cs="Arial" w:eastAsia="Arial" w:hAnsi="Arial"/>
          <w:sz w:val="17"/>
          <w:szCs w:val="17"/>
          <w:color w:val="auto"/>
        </w:rPr>
        <w:t>” whenever used in this Lease shall be deemed to include deeds of trust, security assignments and any other encumbrances, and any reference to the “</w:t>
      </w:r>
      <w:r>
        <w:rPr>
          <w:rFonts w:ascii="Arial" w:cs="Arial" w:eastAsia="Arial" w:hAnsi="Arial"/>
          <w:sz w:val="17"/>
          <w:szCs w:val="17"/>
          <w:b w:val="1"/>
          <w:bCs w:val="1"/>
          <w:color w:val="auto"/>
        </w:rPr>
        <w:t>Holder</w:t>
      </w:r>
      <w:r>
        <w:rPr>
          <w:rFonts w:ascii="Arial" w:cs="Arial" w:eastAsia="Arial" w:hAnsi="Arial"/>
          <w:sz w:val="17"/>
          <w:szCs w:val="17"/>
          <w:color w:val="auto"/>
        </w:rPr>
        <w:t>” of a Mortgage shall be deemed to include the beneficiary under a deed of trust. As of the date of this Lease, there is no existing Mortgage encumbering the Project.</w:t>
      </w:r>
    </w:p>
    <w:p>
      <w:pPr>
        <w:spacing w:after="0" w:line="194" w:lineRule="exact"/>
        <w:rPr>
          <w:sz w:val="20"/>
          <w:szCs w:val="20"/>
          <w:color w:val="auto"/>
        </w:rPr>
      </w:pPr>
    </w:p>
    <w:p>
      <w:pPr>
        <w:jc w:val="both"/>
        <w:ind w:right="120" w:firstLine="824"/>
        <w:spacing w:after="0" w:line="238" w:lineRule="auto"/>
        <w:rPr>
          <w:sz w:val="20"/>
          <w:szCs w:val="20"/>
          <w:color w:val="auto"/>
        </w:rPr>
      </w:pPr>
      <w:r>
        <w:rPr>
          <w:rFonts w:ascii="Arial" w:cs="Arial" w:eastAsia="Arial" w:hAnsi="Arial"/>
          <w:sz w:val="17"/>
          <w:szCs w:val="17"/>
          <w:color w:val="auto"/>
        </w:rPr>
        <w:t>The subordination of this Lease to a future Mortgage shall be conditioned upon the Holder of any such future Mortgage entering into a subordination, non-disturbance and attornment agreement (“</w:t>
      </w:r>
      <w:r>
        <w:rPr>
          <w:rFonts w:ascii="Arial" w:cs="Arial" w:eastAsia="Arial" w:hAnsi="Arial"/>
          <w:sz w:val="17"/>
          <w:szCs w:val="17"/>
          <w:b w:val="1"/>
          <w:bCs w:val="1"/>
          <w:color w:val="auto"/>
        </w:rPr>
        <w:t>SNDA</w:t>
      </w:r>
      <w:r>
        <w:rPr>
          <w:rFonts w:ascii="Arial" w:cs="Arial" w:eastAsia="Arial" w:hAnsi="Arial"/>
          <w:sz w:val="17"/>
          <w:szCs w:val="17"/>
          <w:color w:val="auto"/>
        </w:rPr>
        <w:t>”) with Tenant with respect to this Lease. The SNDA shall be on the form proscribed by the Holder and, to the extent that the execution of an SNDA is done pursuant to this paragraph (as opposed to a requirement of the Holder), then Tenant shall pay the Holder’s fees and costs in connection with obtaining such SNDA; provided, however, that Landlord shall request that Holder make any reasonable changes to the SNDA requested by Tenant.</w:t>
      </w:r>
    </w:p>
    <w:p>
      <w:pPr>
        <w:spacing w:after="0" w:line="173" w:lineRule="exact"/>
        <w:rPr>
          <w:sz w:val="20"/>
          <w:szCs w:val="20"/>
          <w:color w:val="auto"/>
        </w:rPr>
      </w:pPr>
    </w:p>
    <w:p>
      <w:pPr>
        <w:ind w:right="120" w:firstLine="825"/>
        <w:spacing w:after="0" w:line="238" w:lineRule="auto"/>
        <w:tabs>
          <w:tab w:leader="none" w:pos="2387"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Surrender</w:t>
      </w:r>
      <w:r>
        <w:rPr>
          <w:rFonts w:ascii="Arial" w:cs="Arial" w:eastAsia="Arial" w:hAnsi="Arial"/>
          <w:sz w:val="17"/>
          <w:szCs w:val="17"/>
          <w:color w:val="auto"/>
        </w:rPr>
        <w:t>. Upon the expiration of the Term or earlier termination of Tenant’s right of possession,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the Premises to Landlord in the same condition in the condition following the Substantial Completion of the Tenant Improvements,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7"/>
          <w:szCs w:val="17"/>
          <w:b w:val="1"/>
          <w:bCs w:val="1"/>
          <w:color w:val="auto"/>
        </w:rPr>
        <w:t>Tenant</w:t>
      </w:r>
      <w:r>
        <w:rPr>
          <w:rFonts w:ascii="Arial" w:cs="Arial" w:eastAsia="Arial" w:hAnsi="Arial"/>
          <w:sz w:val="17"/>
          <w:szCs w:val="17"/>
          <w:color w:val="auto"/>
        </w:rPr>
        <w:t xml:space="preserve"> </w:t>
      </w:r>
      <w:r>
        <w:rPr>
          <w:rFonts w:ascii="Arial" w:cs="Arial" w:eastAsia="Arial" w:hAnsi="Arial"/>
          <w:sz w:val="17"/>
          <w:szCs w:val="17"/>
          <w:b w:val="1"/>
          <w:bCs w:val="1"/>
          <w:color w:val="auto"/>
        </w:rPr>
        <w:t>HazMat Operations</w:t>
      </w:r>
      <w:r>
        <w:rPr>
          <w:rFonts w:ascii="Arial" w:cs="Arial" w:eastAsia="Arial" w:hAnsi="Arial"/>
          <w:sz w:val="17"/>
          <w:szCs w:val="17"/>
          <w:color w:val="auto"/>
        </w:rPr>
        <w:t>”) and released of all Hazardous Materials Clearances, broom clean, ordinary wear and tear and casualty loss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condemnation covered by </w:t>
      </w:r>
      <w:r>
        <w:rPr>
          <w:rFonts w:ascii="Arial" w:cs="Arial" w:eastAsia="Arial" w:hAnsi="Arial"/>
          <w:sz w:val="17"/>
          <w:szCs w:val="17"/>
          <w:u w:val="single" w:color="auto"/>
          <w:color w:val="auto"/>
        </w:rPr>
        <w:t>Sections 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w:t>
      </w:r>
      <w:r>
        <w:rPr>
          <w:rFonts w:ascii="Arial" w:cs="Arial" w:eastAsia="Arial" w:hAnsi="Arial"/>
          <w:sz w:val="17"/>
          <w:szCs w:val="17"/>
          <w:color w:val="auto"/>
        </w:rPr>
        <w:t xml:space="preserve"> excepted.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7"/>
          <w:szCs w:val="17"/>
          <w:b w:val="1"/>
          <w:bCs w:val="1"/>
          <w:color w:val="auto"/>
        </w:rPr>
        <w:t>Decommissioning and HazMat Closure Plan</w:t>
      </w:r>
      <w:r>
        <w:rPr>
          <w:rFonts w:ascii="Arial" w:cs="Arial" w:eastAsia="Arial" w:hAnsi="Arial"/>
          <w:sz w:val="17"/>
          <w:szCs w:val="17"/>
          <w:color w:val="auto"/>
        </w:rPr>
        <w:t>”). Such Decommissioning and HazMat Closure Plan shall be accompanied by a current listing of (i) all Hazardous Materials licenses and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452120</wp:posOffset>
            </wp:positionV>
            <wp:extent cx="715581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0" w:right="120"/>
        <w:spacing w:after="0" w:line="235" w:lineRule="auto"/>
        <w:rPr>
          <w:sz w:val="20"/>
          <w:szCs w:val="20"/>
          <w:color w:val="auto"/>
        </w:rPr>
      </w:pPr>
      <w:r>
        <w:rPr>
          <w:rFonts w:ascii="Arial" w:cs="Arial" w:eastAsia="Arial" w:hAnsi="Arial"/>
          <w:sz w:val="17"/>
          <w:szCs w:val="17"/>
          <w:color w:val="auto"/>
        </w:rPr>
        <w:t>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Decommissioning and HazMat Closure Plan, upon the request of Landlord, Tenant shall deliver to Landlord or its consultant such additional non-proprietary information concerning Tenant HazMat Operations as Landlord shall reasonably request. On or before such surrender, Tenant shall deliver to Landlord evidence that the approved Decommissioning and HazMat Closure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reasonable, actual out-of-pocket third party expense incurred by</w:t>
      </w:r>
    </w:p>
    <w:tbl>
      <w:tblPr>
        <w:tblLayout w:type="fixed"/>
        <w:tblInd w:w="80" w:type="dxa"/>
        <w:tblCellMar>
          <w:top w:w="0" w:type="dxa"/>
          <w:left w:w="0" w:type="dxa"/>
          <w:bottom w:w="0" w:type="dxa"/>
          <w:right w:w="0" w:type="dxa"/>
        </w:tblCellMar>
      </w:tblPr>
      <w:tr>
        <w:trPr>
          <w:trHeight w:val="194"/>
        </w:trPr>
        <w:tc>
          <w:tcPr>
            <w:tcW w:w="720" w:type="dxa"/>
            <w:vAlign w:val="bottom"/>
          </w:tcPr>
          <w:p>
            <w:pPr>
              <w:spacing w:after="0" w:line="194" w:lineRule="exact"/>
              <w:rPr>
                <w:sz w:val="20"/>
                <w:szCs w:val="20"/>
                <w:color w:val="auto"/>
              </w:rPr>
            </w:pPr>
            <w:r>
              <w:rPr>
                <w:rFonts w:ascii="Arial" w:cs="Arial" w:eastAsia="Arial" w:hAnsi="Arial"/>
                <w:sz w:val="17"/>
                <w:szCs w:val="17"/>
                <w:color w:val="auto"/>
              </w:rPr>
              <w:t>Landlord</w:t>
            </w:r>
          </w:p>
        </w:tc>
        <w:tc>
          <w:tcPr>
            <w:tcW w:w="1200" w:type="dxa"/>
            <w:vAlign w:val="bottom"/>
          </w:tcPr>
          <w:p>
            <w:pPr>
              <w:ind w:left="60"/>
              <w:spacing w:after="0" w:line="194" w:lineRule="exact"/>
              <w:rPr>
                <w:sz w:val="20"/>
                <w:szCs w:val="20"/>
                <w:color w:val="auto"/>
              </w:rPr>
            </w:pPr>
            <w:r>
              <w:rPr>
                <w:rFonts w:ascii="Arial" w:cs="Arial" w:eastAsia="Arial" w:hAnsi="Arial"/>
                <w:sz w:val="17"/>
                <w:szCs w:val="17"/>
                <w:color w:val="auto"/>
              </w:rPr>
              <w:t>for Landlord’s</w:t>
            </w:r>
          </w:p>
        </w:tc>
        <w:tc>
          <w:tcPr>
            <w:tcW w:w="1140" w:type="dxa"/>
            <w:vAlign w:val="bottom"/>
          </w:tcPr>
          <w:p>
            <w:pPr>
              <w:ind w:left="60"/>
              <w:spacing w:after="0" w:line="194" w:lineRule="exact"/>
              <w:rPr>
                <w:sz w:val="20"/>
                <w:szCs w:val="20"/>
                <w:color w:val="auto"/>
              </w:rPr>
            </w:pPr>
            <w:r>
              <w:rPr>
                <w:rFonts w:ascii="Arial" w:cs="Arial" w:eastAsia="Arial" w:hAnsi="Arial"/>
                <w:sz w:val="17"/>
                <w:szCs w:val="17"/>
                <w:color w:val="auto"/>
                <w:w w:val="99"/>
              </w:rPr>
              <w:t>environmental</w:t>
            </w:r>
          </w:p>
        </w:tc>
        <w:tc>
          <w:tcPr>
            <w:tcW w:w="7920" w:type="dxa"/>
            <w:vAlign w:val="bottom"/>
            <w:gridSpan w:val="10"/>
          </w:tcPr>
          <w:p>
            <w:pPr>
              <w:jc w:val="right"/>
              <w:spacing w:after="0" w:line="194" w:lineRule="exact"/>
              <w:rPr>
                <w:sz w:val="20"/>
                <w:szCs w:val="20"/>
                <w:color w:val="auto"/>
              </w:rPr>
            </w:pPr>
            <w:r>
              <w:rPr>
                <w:rFonts w:ascii="Arial" w:cs="Arial" w:eastAsia="Arial" w:hAnsi="Arial"/>
                <w:sz w:val="17"/>
                <w:szCs w:val="17"/>
                <w:color w:val="auto"/>
              </w:rPr>
              <w:t>consultant to review and approve the Decommissioning and HazMat Closure Plan and to visit</w:t>
            </w:r>
          </w:p>
        </w:tc>
      </w:tr>
      <w:tr>
        <w:trPr>
          <w:trHeight w:val="192"/>
        </w:trPr>
        <w:tc>
          <w:tcPr>
            <w:tcW w:w="720" w:type="dxa"/>
            <w:vAlign w:val="bottom"/>
          </w:tcPr>
          <w:p>
            <w:pPr>
              <w:spacing w:after="0" w:line="192" w:lineRule="exact"/>
              <w:rPr>
                <w:sz w:val="20"/>
                <w:szCs w:val="20"/>
                <w:color w:val="auto"/>
              </w:rPr>
            </w:pPr>
            <w:r>
              <w:rPr>
                <w:rFonts w:ascii="Arial" w:cs="Arial" w:eastAsia="Arial" w:hAnsi="Arial"/>
                <w:sz w:val="17"/>
                <w:szCs w:val="17"/>
                <w:color w:val="auto"/>
              </w:rPr>
              <w:t>the</w:t>
            </w:r>
          </w:p>
        </w:tc>
        <w:tc>
          <w:tcPr>
            <w:tcW w:w="1200" w:type="dxa"/>
            <w:vAlign w:val="bottom"/>
          </w:tcPr>
          <w:p>
            <w:pPr>
              <w:ind w:left="120"/>
              <w:spacing w:after="0" w:line="192" w:lineRule="exact"/>
              <w:rPr>
                <w:sz w:val="20"/>
                <w:szCs w:val="20"/>
                <w:color w:val="auto"/>
              </w:rPr>
            </w:pPr>
            <w:r>
              <w:rPr>
                <w:rFonts w:ascii="Arial" w:cs="Arial" w:eastAsia="Arial" w:hAnsi="Arial"/>
                <w:sz w:val="17"/>
                <w:szCs w:val="17"/>
                <w:color w:val="auto"/>
              </w:rPr>
              <w:t>Premises</w:t>
            </w:r>
          </w:p>
        </w:tc>
        <w:tc>
          <w:tcPr>
            <w:tcW w:w="1140" w:type="dxa"/>
            <w:vAlign w:val="bottom"/>
          </w:tcPr>
          <w:p>
            <w:pPr>
              <w:ind w:left="240"/>
              <w:spacing w:after="0" w:line="192" w:lineRule="exact"/>
              <w:rPr>
                <w:sz w:val="20"/>
                <w:szCs w:val="20"/>
                <w:color w:val="auto"/>
              </w:rPr>
            </w:pPr>
            <w:r>
              <w:rPr>
                <w:rFonts w:ascii="Arial" w:cs="Arial" w:eastAsia="Arial" w:hAnsi="Arial"/>
                <w:sz w:val="17"/>
                <w:szCs w:val="17"/>
                <w:color w:val="auto"/>
              </w:rPr>
              <w:t>and</w:t>
            </w:r>
          </w:p>
        </w:tc>
        <w:tc>
          <w:tcPr>
            <w:tcW w:w="560" w:type="dxa"/>
            <w:vAlign w:val="bottom"/>
          </w:tcPr>
          <w:p>
            <w:pPr>
              <w:spacing w:after="0" w:line="192" w:lineRule="exact"/>
              <w:rPr>
                <w:sz w:val="20"/>
                <w:szCs w:val="20"/>
                <w:color w:val="auto"/>
              </w:rPr>
            </w:pPr>
            <w:r>
              <w:rPr>
                <w:rFonts w:ascii="Arial" w:cs="Arial" w:eastAsia="Arial" w:hAnsi="Arial"/>
                <w:sz w:val="17"/>
                <w:szCs w:val="17"/>
                <w:color w:val="auto"/>
              </w:rPr>
              <w:t>verify</w:t>
            </w:r>
          </w:p>
        </w:tc>
        <w:tc>
          <w:tcPr>
            <w:tcW w:w="1180" w:type="dxa"/>
            <w:vAlign w:val="bottom"/>
          </w:tcPr>
          <w:p>
            <w:pPr>
              <w:ind w:left="160"/>
              <w:spacing w:after="0" w:line="192" w:lineRule="exact"/>
              <w:rPr>
                <w:sz w:val="20"/>
                <w:szCs w:val="20"/>
                <w:color w:val="auto"/>
              </w:rPr>
            </w:pPr>
            <w:r>
              <w:rPr>
                <w:rFonts w:ascii="Arial" w:cs="Arial" w:eastAsia="Arial" w:hAnsi="Arial"/>
                <w:sz w:val="17"/>
                <w:szCs w:val="17"/>
                <w:color w:val="auto"/>
              </w:rPr>
              <w:t>satisfactory</w:t>
            </w:r>
          </w:p>
        </w:tc>
        <w:tc>
          <w:tcPr>
            <w:tcW w:w="1280" w:type="dxa"/>
            <w:vAlign w:val="bottom"/>
          </w:tcPr>
          <w:p>
            <w:pPr>
              <w:ind w:left="140"/>
              <w:spacing w:after="0" w:line="192" w:lineRule="exact"/>
              <w:rPr>
                <w:sz w:val="20"/>
                <w:szCs w:val="20"/>
                <w:color w:val="auto"/>
              </w:rPr>
            </w:pPr>
            <w:r>
              <w:rPr>
                <w:rFonts w:ascii="Arial" w:cs="Arial" w:eastAsia="Arial" w:hAnsi="Arial"/>
                <w:sz w:val="17"/>
                <w:szCs w:val="17"/>
                <w:color w:val="auto"/>
              </w:rPr>
              <w:t>completion</w:t>
            </w:r>
          </w:p>
        </w:tc>
        <w:tc>
          <w:tcPr>
            <w:tcW w:w="600" w:type="dxa"/>
            <w:vAlign w:val="bottom"/>
          </w:tcPr>
          <w:p>
            <w:pPr>
              <w:ind w:left="300"/>
              <w:spacing w:after="0" w:line="192" w:lineRule="exact"/>
              <w:rPr>
                <w:sz w:val="20"/>
                <w:szCs w:val="20"/>
                <w:color w:val="auto"/>
              </w:rPr>
            </w:pPr>
            <w:r>
              <w:rPr>
                <w:rFonts w:ascii="Arial" w:cs="Arial" w:eastAsia="Arial" w:hAnsi="Arial"/>
                <w:sz w:val="17"/>
                <w:szCs w:val="17"/>
                <w:color w:val="auto"/>
              </w:rPr>
              <w:t>of</w:t>
            </w:r>
          </w:p>
        </w:tc>
        <w:tc>
          <w:tcPr>
            <w:tcW w:w="680" w:type="dxa"/>
            <w:vAlign w:val="bottom"/>
          </w:tcPr>
          <w:p>
            <w:pPr>
              <w:ind w:left="140"/>
              <w:spacing w:after="0" w:line="192" w:lineRule="exact"/>
              <w:rPr>
                <w:sz w:val="20"/>
                <w:szCs w:val="20"/>
                <w:color w:val="auto"/>
              </w:rPr>
            </w:pPr>
            <w:r>
              <w:rPr>
                <w:rFonts w:ascii="Arial" w:cs="Arial" w:eastAsia="Arial" w:hAnsi="Arial"/>
                <w:sz w:val="17"/>
                <w:szCs w:val="17"/>
                <w:color w:val="auto"/>
              </w:rPr>
              <w:t>the</w:t>
            </w:r>
          </w:p>
        </w:tc>
        <w:tc>
          <w:tcPr>
            <w:tcW w:w="1320" w:type="dxa"/>
            <w:vAlign w:val="bottom"/>
          </w:tcPr>
          <w:p>
            <w:pPr>
              <w:jc w:val="right"/>
              <w:ind w:right="455"/>
              <w:spacing w:after="0" w:line="192" w:lineRule="exact"/>
              <w:rPr>
                <w:sz w:val="20"/>
                <w:szCs w:val="20"/>
                <w:color w:val="auto"/>
              </w:rPr>
            </w:pPr>
            <w:r>
              <w:rPr>
                <w:rFonts w:ascii="Arial" w:cs="Arial" w:eastAsia="Arial" w:hAnsi="Arial"/>
                <w:sz w:val="17"/>
                <w:szCs w:val="17"/>
                <w:color w:val="auto"/>
              </w:rPr>
              <w:t>same,</w:t>
            </w:r>
          </w:p>
        </w:tc>
        <w:tc>
          <w:tcPr>
            <w:tcW w:w="780" w:type="dxa"/>
            <w:vAlign w:val="bottom"/>
          </w:tcPr>
          <w:p>
            <w:pPr>
              <w:ind w:left="60"/>
              <w:spacing w:after="0" w:line="192" w:lineRule="exact"/>
              <w:rPr>
                <w:sz w:val="20"/>
                <w:szCs w:val="20"/>
                <w:color w:val="auto"/>
              </w:rPr>
            </w:pPr>
            <w:r>
              <w:rPr>
                <w:rFonts w:ascii="Arial" w:cs="Arial" w:eastAsia="Arial" w:hAnsi="Arial"/>
                <w:sz w:val="17"/>
                <w:szCs w:val="17"/>
                <w:color w:val="auto"/>
              </w:rPr>
              <w:t>which</w:t>
            </w:r>
          </w:p>
        </w:tc>
        <w:tc>
          <w:tcPr>
            <w:tcW w:w="580" w:type="dxa"/>
            <w:vAlign w:val="bottom"/>
          </w:tcPr>
          <w:p>
            <w:pPr>
              <w:ind w:left="20"/>
              <w:spacing w:after="0" w:line="192" w:lineRule="exact"/>
              <w:rPr>
                <w:sz w:val="20"/>
                <w:szCs w:val="20"/>
                <w:color w:val="auto"/>
              </w:rPr>
            </w:pPr>
            <w:r>
              <w:rPr>
                <w:rFonts w:ascii="Arial" w:cs="Arial" w:eastAsia="Arial" w:hAnsi="Arial"/>
                <w:sz w:val="17"/>
                <w:szCs w:val="17"/>
                <w:color w:val="auto"/>
              </w:rPr>
              <w:t>cost</w:t>
            </w:r>
          </w:p>
        </w:tc>
        <w:tc>
          <w:tcPr>
            <w:tcW w:w="600" w:type="dxa"/>
            <w:vAlign w:val="bottom"/>
          </w:tcPr>
          <w:p>
            <w:pPr>
              <w:ind w:left="40"/>
              <w:spacing w:after="0" w:line="192" w:lineRule="exact"/>
              <w:rPr>
                <w:sz w:val="20"/>
                <w:szCs w:val="20"/>
                <w:color w:val="auto"/>
              </w:rPr>
            </w:pPr>
            <w:r>
              <w:rPr>
                <w:rFonts w:ascii="Arial" w:cs="Arial" w:eastAsia="Arial" w:hAnsi="Arial"/>
                <w:sz w:val="17"/>
                <w:szCs w:val="17"/>
                <w:color w:val="auto"/>
              </w:rPr>
              <w:t>shall</w:t>
            </w:r>
          </w:p>
        </w:tc>
        <w:tc>
          <w:tcPr>
            <w:tcW w:w="340" w:type="dxa"/>
            <w:vAlign w:val="bottom"/>
          </w:tcPr>
          <w:p>
            <w:pPr>
              <w:jc w:val="right"/>
              <w:spacing w:after="0" w:line="192" w:lineRule="exact"/>
              <w:rPr>
                <w:sz w:val="20"/>
                <w:szCs w:val="20"/>
                <w:color w:val="auto"/>
              </w:rPr>
            </w:pPr>
            <w:r>
              <w:rPr>
                <w:rFonts w:ascii="Arial" w:cs="Arial" w:eastAsia="Arial" w:hAnsi="Arial"/>
                <w:sz w:val="17"/>
                <w:szCs w:val="17"/>
                <w:color w:val="auto"/>
              </w:rPr>
              <w:t>not</w:t>
            </w:r>
          </w:p>
        </w:tc>
      </w:tr>
      <w:tr>
        <w:trPr>
          <w:trHeight w:val="192"/>
        </w:trPr>
        <w:tc>
          <w:tcPr>
            <w:tcW w:w="720" w:type="dxa"/>
            <w:vAlign w:val="bottom"/>
          </w:tcPr>
          <w:p>
            <w:pPr>
              <w:spacing w:after="0" w:line="192" w:lineRule="exact"/>
              <w:rPr>
                <w:sz w:val="20"/>
                <w:szCs w:val="20"/>
                <w:color w:val="auto"/>
              </w:rPr>
            </w:pPr>
            <w:r>
              <w:rPr>
                <w:rFonts w:ascii="Arial" w:cs="Arial" w:eastAsia="Arial" w:hAnsi="Arial"/>
                <w:sz w:val="17"/>
                <w:szCs w:val="17"/>
                <w:color w:val="auto"/>
              </w:rPr>
              <w:t>exceed</w:t>
            </w: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jc w:val="right"/>
              <w:spacing w:after="0" w:line="192" w:lineRule="exact"/>
              <w:rPr>
                <w:sz w:val="20"/>
                <w:szCs w:val="20"/>
                <w:color w:val="auto"/>
              </w:rPr>
            </w:pPr>
            <w:r>
              <w:rPr>
                <w:rFonts w:ascii="Arial" w:cs="Arial" w:eastAsia="Arial" w:hAnsi="Arial"/>
                <w:sz w:val="17"/>
                <w:szCs w:val="17"/>
                <w:color w:val="auto"/>
              </w:rPr>
              <w:t>.</w:t>
            </w:r>
          </w:p>
        </w:tc>
        <w:tc>
          <w:tcPr>
            <w:tcW w:w="780" w:type="dxa"/>
            <w:vAlign w:val="bottom"/>
          </w:tcPr>
          <w:p>
            <w:pPr>
              <w:ind w:left="100"/>
              <w:spacing w:after="0" w:line="192" w:lineRule="exact"/>
              <w:rPr>
                <w:sz w:val="20"/>
                <w:szCs w:val="20"/>
                <w:color w:val="auto"/>
              </w:rPr>
            </w:pPr>
            <w:r>
              <w:rPr>
                <w:rFonts w:ascii="Arial" w:cs="Arial" w:eastAsia="Arial" w:hAnsi="Arial"/>
                <w:sz w:val="17"/>
                <w:szCs w:val="17"/>
                <w:color w:val="auto"/>
                <w:w w:val="99"/>
              </w:rPr>
              <w:t>Landlord</w:t>
            </w:r>
          </w:p>
        </w:tc>
        <w:tc>
          <w:tcPr>
            <w:tcW w:w="580" w:type="dxa"/>
            <w:vAlign w:val="bottom"/>
          </w:tcPr>
          <w:p>
            <w:pPr>
              <w:ind w:left="180"/>
              <w:spacing w:after="0" w:line="192" w:lineRule="exact"/>
              <w:rPr>
                <w:sz w:val="20"/>
                <w:szCs w:val="20"/>
                <w:color w:val="auto"/>
              </w:rPr>
            </w:pPr>
            <w:r>
              <w:rPr>
                <w:rFonts w:ascii="Arial" w:cs="Arial" w:eastAsia="Arial" w:hAnsi="Arial"/>
                <w:sz w:val="17"/>
                <w:szCs w:val="17"/>
                <w:color w:val="auto"/>
              </w:rPr>
              <w:t>shall</w:t>
            </w:r>
          </w:p>
        </w:tc>
        <w:tc>
          <w:tcPr>
            <w:tcW w:w="600" w:type="dxa"/>
            <w:vAlign w:val="bottom"/>
          </w:tcPr>
          <w:p>
            <w:pPr>
              <w:ind w:left="140"/>
              <w:spacing w:after="0" w:line="192" w:lineRule="exact"/>
              <w:rPr>
                <w:sz w:val="20"/>
                <w:szCs w:val="20"/>
                <w:color w:val="auto"/>
              </w:rPr>
            </w:pPr>
            <w:r>
              <w:rPr>
                <w:rFonts w:ascii="Arial" w:cs="Arial" w:eastAsia="Arial" w:hAnsi="Arial"/>
                <w:sz w:val="17"/>
                <w:szCs w:val="17"/>
                <w:color w:val="auto"/>
              </w:rPr>
              <w:t>have</w:t>
            </w:r>
          </w:p>
        </w:tc>
        <w:tc>
          <w:tcPr>
            <w:tcW w:w="340" w:type="dxa"/>
            <w:vAlign w:val="bottom"/>
          </w:tcPr>
          <w:p>
            <w:pPr>
              <w:jc w:val="right"/>
              <w:spacing w:after="0" w:line="192" w:lineRule="exact"/>
              <w:rPr>
                <w:sz w:val="20"/>
                <w:szCs w:val="20"/>
                <w:color w:val="auto"/>
              </w:rPr>
            </w:pPr>
            <w:r>
              <w:rPr>
                <w:rFonts w:ascii="Arial" w:cs="Arial" w:eastAsia="Arial" w:hAnsi="Arial"/>
                <w:sz w:val="17"/>
                <w:szCs w:val="17"/>
                <w:color w:val="auto"/>
              </w:rPr>
              <w:t>the</w:t>
            </w:r>
          </w:p>
        </w:tc>
      </w:tr>
    </w:tbl>
    <w:p>
      <w:pPr>
        <w:jc w:val="both"/>
        <w:ind w:left="80" w:right="120"/>
        <w:spacing w:after="0" w:line="245" w:lineRule="auto"/>
        <w:rPr>
          <w:sz w:val="20"/>
          <w:szCs w:val="20"/>
          <w:color w:val="auto"/>
        </w:rPr>
      </w:pPr>
      <w:r>
        <w:rPr>
          <w:rFonts w:ascii="Arial" w:cs="Arial" w:eastAsia="Arial" w:hAnsi="Arial"/>
          <w:sz w:val="17"/>
          <w:szCs w:val="17"/>
          <w:color w:val="auto"/>
        </w:rPr>
        <w:t>unrestricted right to deliver such Decommissioning and HazMat Closure Plan and any report by Landlord’s environmental consultant with respect to the surrender of the Premises to third parties.</w:t>
      </w:r>
    </w:p>
    <w:p>
      <w:pPr>
        <w:spacing w:after="0" w:line="189" w:lineRule="exact"/>
        <w:rPr>
          <w:sz w:val="20"/>
          <w:szCs w:val="20"/>
          <w:color w:val="auto"/>
        </w:rPr>
      </w:pPr>
    </w:p>
    <w:p>
      <w:pPr>
        <w:jc w:val="both"/>
        <w:ind w:left="80" w:right="120" w:firstLine="823"/>
        <w:spacing w:after="0" w:line="237" w:lineRule="auto"/>
        <w:rPr>
          <w:sz w:val="20"/>
          <w:szCs w:val="20"/>
          <w:color w:val="auto"/>
        </w:rPr>
      </w:pPr>
      <w:r>
        <w:rPr>
          <w:rFonts w:ascii="Arial" w:cs="Arial" w:eastAsia="Arial" w:hAnsi="Arial"/>
          <w:sz w:val="17"/>
          <w:szCs w:val="17"/>
          <w:color w:val="auto"/>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actual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1" w:lineRule="exact"/>
        <w:rPr>
          <w:sz w:val="20"/>
          <w:szCs w:val="20"/>
          <w:color w:val="auto"/>
        </w:rPr>
      </w:pPr>
    </w:p>
    <w:p>
      <w:pPr>
        <w:jc w:val="both"/>
        <w:ind w:left="80" w:right="140" w:firstLine="821"/>
        <w:spacing w:after="0" w:line="237" w:lineRule="auto"/>
        <w:rPr>
          <w:sz w:val="20"/>
          <w:szCs w:val="20"/>
          <w:color w:val="auto"/>
        </w:rPr>
      </w:pPr>
      <w:r>
        <w:rPr>
          <w:rFonts w:ascii="Arial" w:cs="Arial" w:eastAsia="Arial" w:hAnsi="Arial"/>
          <w:sz w:val="17"/>
          <w:szCs w:val="17"/>
          <w:color w:val="auto"/>
        </w:rPr>
        <w:t xml:space="preserve">Upon the expiration or earlier termination of the Term, Tenant shall immediately return to Landlord all keys and/or access cards to parking, the Building and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72" w:lineRule="exact"/>
        <w:rPr>
          <w:sz w:val="20"/>
          <w:szCs w:val="20"/>
          <w:color w:val="auto"/>
        </w:rPr>
      </w:pPr>
    </w:p>
    <w:p>
      <w:pPr>
        <w:jc w:val="both"/>
        <w:ind w:left="780" w:right="300" w:hanging="776"/>
        <w:spacing w:after="0" w:line="267" w:lineRule="auto"/>
        <w:tabs>
          <w:tab w:leader="none" w:pos="1542"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Waiver of Jury Trial</w:t>
      </w:r>
      <w:r>
        <w:rPr>
          <w:rFonts w:ascii="Arial" w:cs="Arial" w:eastAsia="Arial" w:hAnsi="Arial"/>
          <w:sz w:val="16"/>
          <w:szCs w:val="16"/>
          <w:color w:val="auto"/>
        </w:rPr>
        <w:t>. TO THE EXTENT PERMITTED BY LAW, TENANT AND LANDLORD WAIVE ANY RIGHT TO TRIAL</w:t>
      </w:r>
      <w:r>
        <w:rPr>
          <w:rFonts w:ascii="Arial" w:cs="Arial" w:eastAsia="Arial" w:hAnsi="Arial"/>
          <w:sz w:val="16"/>
          <w:szCs w:val="16"/>
          <w:b w:val="1"/>
          <w:bCs w:val="1"/>
          <w:color w:val="auto"/>
        </w:rPr>
        <w:t xml:space="preserve"> </w:t>
      </w:r>
      <w:r>
        <w:rPr>
          <w:rFonts w:ascii="Arial" w:cs="Arial" w:eastAsia="Arial" w:hAnsi="Arial"/>
          <w:sz w:val="16"/>
          <w:szCs w:val="16"/>
          <w:color w:val="auto"/>
        </w:rPr>
        <w:t>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52" w:lineRule="exact"/>
        <w:rPr>
          <w:rFonts w:ascii="Arial" w:cs="Arial" w:eastAsia="Arial" w:hAnsi="Arial"/>
          <w:sz w:val="16"/>
          <w:szCs w:val="16"/>
          <w:color w:val="auto"/>
        </w:rPr>
      </w:pPr>
    </w:p>
    <w:p>
      <w:pPr>
        <w:ind w:left="1760" w:hanging="847"/>
        <w:spacing w:after="0"/>
        <w:tabs>
          <w:tab w:leader="none" w:pos="1760" w:val="left"/>
        </w:tabs>
        <w:numPr>
          <w:ilvl w:val="2"/>
          <w:numId w:val="111"/>
        </w:numPr>
        <w:rPr>
          <w:rFonts w:ascii="Arial" w:cs="Arial" w:eastAsia="Arial" w:hAnsi="Arial"/>
          <w:sz w:val="17"/>
          <w:szCs w:val="17"/>
          <w:color w:val="auto"/>
        </w:rPr>
      </w:pPr>
      <w:r>
        <w:rPr>
          <w:rFonts w:ascii="Arial" w:cs="Arial" w:eastAsia="Arial" w:hAnsi="Arial"/>
          <w:sz w:val="17"/>
          <w:szCs w:val="17"/>
          <w:b w:val="1"/>
          <w:bCs w:val="1"/>
          <w:color w:val="auto"/>
        </w:rPr>
        <w:t>Environmental Requirements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jc w:val="both"/>
        <w:ind w:left="80" w:right="120" w:firstLine="825"/>
        <w:spacing w:after="0" w:line="252" w:lineRule="auto"/>
        <w:tabs>
          <w:tab w:leader="none" w:pos="1184" w:val="left"/>
        </w:tabs>
        <w:numPr>
          <w:ilvl w:val="1"/>
          <w:numId w:val="111"/>
        </w:numPr>
        <w:rPr>
          <w:rFonts w:ascii="Arial" w:cs="Arial" w:eastAsia="Arial" w:hAnsi="Arial"/>
          <w:sz w:val="17"/>
          <w:szCs w:val="17"/>
          <w:color w:val="auto"/>
        </w:rPr>
      </w:pPr>
      <w:r>
        <w:rPr>
          <w:rFonts w:ascii="Arial" w:cs="Arial" w:eastAsia="Arial" w:hAnsi="Arial"/>
          <w:sz w:val="17"/>
          <w:szCs w:val="17"/>
          <w:b w:val="1"/>
          <w:bCs w:val="1"/>
          <w:color w:val="auto"/>
        </w:rPr>
        <w:t>Prohibition/Compliance/Indemnity</w:t>
      </w:r>
      <w:r>
        <w:rPr>
          <w:rFonts w:ascii="Arial" w:cs="Arial" w:eastAsia="Arial" w:hAnsi="Arial"/>
          <w:sz w:val="17"/>
          <w:szCs w:val="17"/>
          <w:color w:val="auto"/>
        </w:rPr>
        <w:t>. Tenant shall not cause or permit any Hazardous Materials (as hereinafter defined)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brought upon, kept, used, stored, handled, treated, generated in or about, or released or disposed of from, the Premises or the Project in violation of applicable Environmental Requirements (as hereinafter defined) by Tenant or any Tenant Party. If Tenant breaches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449580</wp:posOffset>
            </wp:positionV>
            <wp:extent cx="715581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0" w:right="120"/>
        <w:spacing w:after="0" w:line="235" w:lineRule="auto"/>
        <w:rPr>
          <w:sz w:val="20"/>
          <w:szCs w:val="20"/>
          <w:color w:val="auto"/>
        </w:rPr>
      </w:pPr>
      <w:r>
        <w:rPr>
          <w:rFonts w:ascii="Arial" w:cs="Arial" w:eastAsia="Arial" w:hAnsi="Arial"/>
          <w:sz w:val="17"/>
          <w:szCs w:val="17"/>
          <w:color w:val="auto"/>
        </w:rPr>
        <w:t>the obligation stated in the preceding sentence, or if the presence of Hazardous Materials in the Premises during the Term or during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7"/>
          <w:szCs w:val="17"/>
          <w:b w:val="1"/>
          <w:bCs w:val="1"/>
          <w:color w:val="auto"/>
        </w:rPr>
        <w:t>Environmental Claims</w:t>
      </w:r>
      <w:r>
        <w:rPr>
          <w:rFonts w:ascii="Arial" w:cs="Arial" w:eastAsia="Arial" w:hAnsi="Arial"/>
          <w:sz w:val="17"/>
          <w:szCs w:val="17"/>
          <w:color w:val="auto"/>
        </w:rPr>
        <w:t xml:space="preserve">”)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30</w:t>
      </w:r>
      <w:r>
        <w:rPr>
          <w:rFonts w:ascii="Arial" w:cs="Arial" w:eastAsia="Arial" w:hAnsi="Arial"/>
          <w:sz w:val="17"/>
          <w:szCs w:val="17"/>
          <w:color w:val="auto"/>
        </w:rPr>
        <w:t>, Tenant shall not be responsible for, and the indemnification and hold harmless obligations set forth in this paragraph shall not apply to (i) contamination in the Premises which Tenant can prove existed in the Premises prior to the Commencement Date, (ii) the presence of any Hazardous Materials in the Premises which Tenant can prove migrated from outside the Premises into the Premises, or (iii) contamination caused by Landlord or any Landlord’s employees, agents and contractors, unless in any case, the presence of such Hazardous Materials (x) is the result of a breach by Tenant of any of its obligations under this Lease, or</w:t>
      </w:r>
    </w:p>
    <w:p>
      <w:pPr>
        <w:spacing w:after="0" w:line="7" w:lineRule="exact"/>
        <w:rPr>
          <w:sz w:val="20"/>
          <w:szCs w:val="20"/>
          <w:color w:val="auto"/>
        </w:rPr>
      </w:pPr>
    </w:p>
    <w:p>
      <w:pPr>
        <w:ind w:left="330" w:hanging="330"/>
        <w:spacing w:after="0"/>
        <w:tabs>
          <w:tab w:leader="none" w:pos="33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was caused, contributed to or exacerbated by Tenant or any Tenant Party.</w:t>
      </w:r>
    </w:p>
    <w:p>
      <w:pPr>
        <w:spacing w:after="0" w:line="180" w:lineRule="exact"/>
        <w:rPr>
          <w:rFonts w:ascii="Arial" w:cs="Arial" w:eastAsia="Arial" w:hAnsi="Arial"/>
          <w:sz w:val="17"/>
          <w:szCs w:val="17"/>
          <w:color w:val="auto"/>
        </w:rPr>
      </w:pPr>
    </w:p>
    <w:p>
      <w:pPr>
        <w:ind w:left="10" w:right="140" w:firstLine="825"/>
        <w:spacing w:after="0" w:line="238" w:lineRule="auto"/>
        <w:tabs>
          <w:tab w:leader="none" w:pos="2368" w:val="left"/>
        </w:tabs>
        <w:numPr>
          <w:ilvl w:val="1"/>
          <w:numId w:val="112"/>
        </w:numPr>
        <w:rPr>
          <w:rFonts w:ascii="Arial" w:cs="Arial" w:eastAsia="Arial" w:hAnsi="Arial"/>
          <w:sz w:val="17"/>
          <w:szCs w:val="17"/>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 Landlord acknowledges that it is not the intent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to prohibit Tenant from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for the 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Rent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7"/>
          <w:szCs w:val="17"/>
          <w:b w:val="1"/>
          <w:bCs w:val="1"/>
          <w:color w:val="auto"/>
        </w:rPr>
        <w:t>Hazardous</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 List</w:t>
      </w:r>
      <w:r>
        <w:rPr>
          <w:rFonts w:ascii="Arial" w:cs="Arial" w:eastAsia="Arial" w:hAnsi="Arial"/>
          <w:sz w:val="17"/>
          <w:szCs w:val="17"/>
          <w:color w:val="auto"/>
        </w:rPr>
        <w:t>”). Upon Landlord’s request, or any time that Tenant is required to deliver a Hazardous Materials List to any Governmental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(e.g., the fire department) in connection with Tenant’s use or occupancy of the Premises, Tenant shall deliver to Landlord a copy of such Hazardous Materials List. Notwithstanding the foregoing, the Hazardous Materials List shall not be required to include Hazardous Materials contained in products customarily used by tenants in de minimis quantities for ordinary cleaning and office purposes. Tenant shall deliver to Landlord true and correct copies of the following documents (the “</w:t>
      </w:r>
      <w:r>
        <w:rPr>
          <w:rFonts w:ascii="Arial" w:cs="Arial" w:eastAsia="Arial" w:hAnsi="Arial"/>
          <w:sz w:val="17"/>
          <w:szCs w:val="17"/>
          <w:b w:val="1"/>
          <w:bCs w:val="1"/>
          <w:color w:val="auto"/>
        </w:rPr>
        <w:t>Haz Mat Documents</w:t>
      </w:r>
      <w:r>
        <w:rPr>
          <w:rFonts w:ascii="Arial" w:cs="Arial" w:eastAsia="Arial" w:hAnsi="Arial"/>
          <w:sz w:val="17"/>
          <w:szCs w:val="17"/>
          <w:color w:val="auto"/>
        </w:rPr>
        <w:t>”) relating to the use, storage, handling, treatment, generation, release or disposal of Hazardous Materials prior to the Rent Commencement Date, or if unavailable at that time, concurrent with the receipt from or submission to a Governmental Authority: permits; approvals; reports and correspondence; storage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448310</wp:posOffset>
            </wp:positionV>
            <wp:extent cx="715581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10"/>
          </w:cols>
          <w:pgMar w:left="450"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0" w:right="120"/>
        <w:spacing w:after="0" w:line="237" w:lineRule="auto"/>
        <w:rPr>
          <w:sz w:val="20"/>
          <w:szCs w:val="20"/>
          <w:color w:val="auto"/>
        </w:rPr>
      </w:pPr>
      <w:r>
        <w:rPr>
          <w:rFonts w:ascii="Arial" w:cs="Arial" w:eastAsia="Arial" w:hAnsi="Arial"/>
          <w:sz w:val="17"/>
          <w:szCs w:val="17"/>
          <w:color w:val="auto"/>
        </w:rPr>
        <w:t xml:space="preserve">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Decommissioning and HazMat Closure Plan (to the extent surrender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73" w:lineRule="exact"/>
        <w:rPr>
          <w:sz w:val="20"/>
          <w:szCs w:val="20"/>
          <w:color w:val="auto"/>
        </w:rPr>
      </w:pPr>
    </w:p>
    <w:p>
      <w:pPr>
        <w:ind w:left="780" w:right="320" w:hanging="776"/>
        <w:spacing w:after="0"/>
        <w:tabs>
          <w:tab w:leader="none" w:pos="1542"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Tenant Representation and Warranty</w:t>
      </w:r>
      <w:r>
        <w:rPr>
          <w:rFonts w:ascii="Arial" w:cs="Arial" w:eastAsia="Arial" w:hAnsi="Arial"/>
          <w:sz w:val="17"/>
          <w:szCs w:val="17"/>
          <w:color w:val="auto"/>
        </w:rPr>
        <w:t>. Tenant hereby represents and warrants to Landlord that (i) neither Tenant nor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73" w:lineRule="exact"/>
        <w:rPr>
          <w:rFonts w:ascii="Arial" w:cs="Arial" w:eastAsia="Arial" w:hAnsi="Arial"/>
          <w:sz w:val="17"/>
          <w:szCs w:val="17"/>
          <w:color w:val="auto"/>
        </w:rPr>
      </w:pPr>
    </w:p>
    <w:p>
      <w:pPr>
        <w:ind w:left="80" w:right="120" w:firstLine="825"/>
        <w:spacing w:after="0" w:line="237" w:lineRule="auto"/>
        <w:tabs>
          <w:tab w:leader="none" w:pos="2438"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Testing</w:t>
      </w:r>
      <w:r>
        <w:rPr>
          <w:rFonts w:ascii="Arial" w:cs="Arial" w:eastAsia="Arial" w:hAnsi="Arial"/>
          <w:sz w:val="17"/>
          <w:szCs w:val="17"/>
          <w:color w:val="auto"/>
        </w:rPr>
        <w:t>. Landlord shall have the right to conduct annual tests of the Premises to determine whether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contamination of the Premises or the Project has occurred as a result of Tenant’s use. Tenant shall be required to pay the cost of such annual test of the Premises if there is violation of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or if contamination for which Tenant is responsible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reasonable non-proprietary information concerning the use of Hazardous Materials in or about the Premises by Tenant or any Tenant Party. If contamination has occurred for which Tenant is liable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for which Tenant is responsible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in accordance with all Environmental Requirements. Landlord’s receipt of or satisfaction with any environmental assessment in no way waives any rights which Landlord may have against Tenant.</w:t>
      </w:r>
    </w:p>
    <w:p>
      <w:pPr>
        <w:spacing w:after="0" w:line="183" w:lineRule="exact"/>
        <w:rPr>
          <w:rFonts w:ascii="Arial" w:cs="Arial" w:eastAsia="Arial" w:hAnsi="Arial"/>
          <w:sz w:val="17"/>
          <w:szCs w:val="17"/>
          <w:color w:val="auto"/>
        </w:rPr>
      </w:pPr>
    </w:p>
    <w:p>
      <w:pPr>
        <w:ind w:left="1760" w:hanging="847"/>
        <w:spacing w:after="0"/>
        <w:tabs>
          <w:tab w:leader="none" w:pos="1760"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Intentionally Omitted</w:t>
      </w:r>
      <w:r>
        <w:rPr>
          <w:rFonts w:ascii="Arial" w:cs="Arial" w:eastAsia="Arial" w:hAnsi="Arial"/>
          <w:sz w:val="17"/>
          <w:szCs w:val="17"/>
          <w:color w:val="auto"/>
        </w:rPr>
        <w:t>.</w:t>
      </w:r>
    </w:p>
    <w:p>
      <w:pPr>
        <w:spacing w:after="0" w:line="201" w:lineRule="exact"/>
        <w:rPr>
          <w:sz w:val="20"/>
          <w:szCs w:val="20"/>
          <w:color w:val="auto"/>
        </w:rPr>
      </w:pPr>
    </w:p>
    <w:p>
      <w:pPr>
        <w:ind w:left="780" w:right="240" w:hanging="776"/>
        <w:spacing w:after="0" w:line="241" w:lineRule="auto"/>
        <w:tabs>
          <w:tab w:leader="none" w:pos="1542" w:val="left"/>
        </w:tabs>
        <w:numPr>
          <w:ilvl w:val="0"/>
          <w:numId w:val="114"/>
        </w:numPr>
        <w:rPr>
          <w:rFonts w:ascii="Arial" w:cs="Arial" w:eastAsia="Arial" w:hAnsi="Arial"/>
          <w:sz w:val="17"/>
          <w:szCs w:val="17"/>
          <w:color w:val="auto"/>
        </w:rPr>
      </w:pPr>
      <w:r>
        <w:rPr>
          <w:rFonts w:ascii="Arial" w:cs="Arial" w:eastAsia="Arial" w:hAnsi="Arial"/>
          <w:sz w:val="17"/>
          <w:szCs w:val="17"/>
          <w:b w:val="1"/>
          <w:bCs w:val="1"/>
          <w:color w:val="auto"/>
        </w:rPr>
        <w:t>Storage Tanks</w:t>
      </w:r>
      <w:r>
        <w:rPr>
          <w:rFonts w:ascii="Arial" w:cs="Arial" w:eastAsia="Arial" w:hAnsi="Arial"/>
          <w:sz w:val="17"/>
          <w:szCs w:val="17"/>
          <w:color w:val="auto"/>
        </w:rPr>
        <w:t>. If storage tanks storing Hazardous Materials located on the Premises or the Project are used by Tenant or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placed on the Premises or the Project by Tenant, Tenant shall install, use, monitor, operate, maintain, upgrade and manage such storage tanks, maintain appropriate records, obtain and maintain appropriate insurance, implement reporting procedures, properly close any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 Notwithstanding anything to the contrary contained herein, Tenant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447040</wp:posOffset>
            </wp:positionV>
            <wp:extent cx="715581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9" w:lineRule="auto"/>
        <w:rPr>
          <w:sz w:val="20"/>
          <w:szCs w:val="20"/>
          <w:color w:val="auto"/>
        </w:rPr>
      </w:pPr>
      <w:r>
        <w:rPr>
          <w:rFonts w:ascii="Arial" w:cs="Arial" w:eastAsia="Arial" w:hAnsi="Arial"/>
          <w:sz w:val="17"/>
          <w:szCs w:val="17"/>
          <w:color w:val="auto"/>
        </w:rPr>
        <w:t>have no right to use or install any underground storage tanks at the Project. Notwithstanding anything to the contrary contained herein, subject to the terms and conditions of this Lease and the Work Letter, Tenant may install and maintain fire water containment tanks at locations on the Property reasonably approved by Landlord. Landlord may require Tenant to remove such fire water containment tanks and restore such areas of the Property prior to the expiration or earlier termination of the Term.</w:t>
      </w:r>
    </w:p>
    <w:p>
      <w:pPr>
        <w:spacing w:after="0" w:line="172" w:lineRule="exact"/>
        <w:rPr>
          <w:sz w:val="20"/>
          <w:szCs w:val="20"/>
          <w:color w:val="auto"/>
        </w:rPr>
      </w:pPr>
    </w:p>
    <w:p>
      <w:pPr>
        <w:ind w:right="280" w:firstLine="825"/>
        <w:spacing w:after="0" w:line="242" w:lineRule="auto"/>
        <w:tabs>
          <w:tab w:leader="none" w:pos="2358"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Tenant’s Obligations</w:t>
      </w:r>
      <w:r>
        <w:rPr>
          <w:rFonts w:ascii="Arial" w:cs="Arial" w:eastAsia="Arial" w:hAnsi="Arial"/>
          <w:sz w:val="17"/>
          <w:szCs w:val="17"/>
          <w:color w:val="auto"/>
        </w:rPr>
        <w:t>. Tenant’s obligations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earlier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spacing w:after="0" w:line="171" w:lineRule="exact"/>
        <w:rPr>
          <w:rFonts w:ascii="Arial" w:cs="Arial" w:eastAsia="Arial" w:hAnsi="Arial"/>
          <w:sz w:val="17"/>
          <w:szCs w:val="17"/>
          <w:color w:val="auto"/>
        </w:rPr>
      </w:pPr>
    </w:p>
    <w:p>
      <w:pPr>
        <w:ind w:right="120" w:firstLine="825"/>
        <w:spacing w:after="0" w:line="238" w:lineRule="auto"/>
        <w:tabs>
          <w:tab w:leader="none" w:pos="2358"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Environmental Requirements</w:t>
      </w:r>
      <w:r>
        <w:rPr>
          <w:rFonts w:ascii="Arial" w:cs="Arial" w:eastAsia="Arial" w:hAnsi="Arial"/>
          <w:sz w:val="17"/>
          <w:szCs w:val="17"/>
          <w:color w:val="auto"/>
        </w:rPr>
        <w:t>” means all applicable present and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statutes, 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7"/>
          <w:szCs w:val="17"/>
          <w:b w:val="1"/>
          <w:bCs w:val="1"/>
          <w:color w:val="auto"/>
        </w:rPr>
        <w:t>Hazardous</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means and includes any substance, material, waste, pollutant, or contaminant listed or defined as hazardous or toxic, or regulated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7"/>
          <w:szCs w:val="17"/>
          <w:b w:val="1"/>
          <w:bCs w:val="1"/>
          <w:color w:val="auto"/>
        </w:rPr>
        <w:t>operator</w:t>
      </w:r>
      <w:r>
        <w:rPr>
          <w:rFonts w:ascii="Arial" w:cs="Arial" w:eastAsia="Arial" w:hAnsi="Arial"/>
          <w:sz w:val="17"/>
          <w:szCs w:val="17"/>
          <w:color w:val="auto"/>
        </w:rPr>
        <w:t>” of Tenant’s “</w:t>
      </w:r>
      <w:r>
        <w:rPr>
          <w:rFonts w:ascii="Arial" w:cs="Arial" w:eastAsia="Arial" w:hAnsi="Arial"/>
          <w:sz w:val="17"/>
          <w:szCs w:val="17"/>
          <w:b w:val="1"/>
          <w:bCs w:val="1"/>
          <w:color w:val="auto"/>
        </w:rPr>
        <w:t>facility</w:t>
      </w:r>
      <w:r>
        <w:rPr>
          <w:rFonts w:ascii="Arial" w:cs="Arial" w:eastAsia="Arial" w:hAnsi="Arial"/>
          <w:sz w:val="17"/>
          <w:szCs w:val="17"/>
          <w:color w:val="auto"/>
        </w:rPr>
        <w:t>” and the “</w:t>
      </w:r>
      <w:r>
        <w:rPr>
          <w:rFonts w:ascii="Arial" w:cs="Arial" w:eastAsia="Arial" w:hAnsi="Arial"/>
          <w:sz w:val="17"/>
          <w:szCs w:val="17"/>
          <w:b w:val="1"/>
          <w:bCs w:val="1"/>
          <w:color w:val="auto"/>
        </w:rPr>
        <w:t>owner</w:t>
      </w:r>
      <w:r>
        <w:rPr>
          <w:rFonts w:ascii="Arial" w:cs="Arial" w:eastAsia="Arial" w:hAnsi="Arial"/>
          <w:sz w:val="17"/>
          <w:szCs w:val="17"/>
          <w:color w:val="auto"/>
        </w:rPr>
        <w:t>” of all Hazardous Materials brought on the Premises by Tenant or any Tenant Party, and the wastes, by-products, or residues generated, resulting, or produced therefrom.</w:t>
      </w:r>
    </w:p>
    <w:p>
      <w:pPr>
        <w:spacing w:after="0" w:line="180" w:lineRule="exact"/>
        <w:rPr>
          <w:sz w:val="20"/>
          <w:szCs w:val="20"/>
          <w:color w:val="auto"/>
        </w:rPr>
      </w:pPr>
    </w:p>
    <w:p>
      <w:pPr>
        <w:ind w:right="140" w:firstLine="825"/>
        <w:spacing w:after="0" w:line="239" w:lineRule="auto"/>
        <w:tabs>
          <w:tab w:leader="none" w:pos="2387"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Tenant’s Remedies/Limitation of Liability</w:t>
      </w:r>
      <w:r>
        <w:rPr>
          <w:rFonts w:ascii="Arial" w:cs="Arial" w:eastAsia="Arial" w:hAnsi="Arial"/>
          <w:sz w:val="17"/>
          <w:szCs w:val="17"/>
          <w:color w:val="auto"/>
        </w:rPr>
        <w:t>. Landlord shall not be in default hereunder unless Landlord fails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perform any of its 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written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97" w:lineRule="exact"/>
        <w:rPr>
          <w:sz w:val="20"/>
          <w:szCs w:val="20"/>
          <w:color w:val="auto"/>
        </w:rPr>
      </w:pPr>
    </w:p>
    <w:p>
      <w:pPr>
        <w:jc w:val="both"/>
        <w:ind w:right="120" w:firstLine="823"/>
        <w:spacing w:after="0" w:line="237" w:lineRule="auto"/>
        <w:rPr>
          <w:sz w:val="20"/>
          <w:szCs w:val="20"/>
          <w:color w:val="auto"/>
        </w:rPr>
      </w:pPr>
      <w:r>
        <w:rPr>
          <w:rFonts w:ascii="Arial" w:cs="Arial" w:eastAsia="Arial" w:hAnsi="Arial"/>
          <w:sz w:val="17"/>
          <w:szCs w:val="17"/>
          <w:color w:val="auto"/>
        </w:rPr>
        <w:t>Notwithstanding the foregoing, if any claimed Landlord default hereunder will immediately, materially and adversely affect Tenant’s ability to conduct its business in the Premises (a “</w:t>
      </w:r>
      <w:r>
        <w:rPr>
          <w:rFonts w:ascii="Arial" w:cs="Arial" w:eastAsia="Arial" w:hAnsi="Arial"/>
          <w:sz w:val="17"/>
          <w:szCs w:val="17"/>
          <w:b w:val="1"/>
          <w:bCs w:val="1"/>
          <w:color w:val="auto"/>
        </w:rPr>
        <w:t>Material Landlord Default</w:t>
      </w:r>
      <w:r>
        <w:rPr>
          <w:rFonts w:ascii="Arial" w:cs="Arial" w:eastAsia="Arial" w:hAnsi="Arial"/>
          <w:sz w:val="17"/>
          <w:szCs w:val="17"/>
          <w:color w:val="auto"/>
        </w:rPr>
        <w:t>”), Tenant shall, as soon as reasonably possible, give Landlord written notice of such claim which notice shall specifically state that a Material Landlord Default exists and telephonic notice to Tenant’s principal contact with Landlord. Landlord shall then have 2 business days to commence cure of such claimed Material Landlord Default and shall diligently prosecute such cure to completion. If such claimed Material Landlord Default is not a default by Landlord hereunder, Landlord shall be entitled to recover from Tenant, as Additional Rent, any costs incurred by Landlord in connection with such cure in excess of the costs, if any, that Landlord would otherwise have been liable to pay hereunder. If Landlord fails to commence cure of any claimed Material Landlord Default as provided above, Tenant may commence and prosecute such cure to completion, and shall be entitled to recover the costs of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455930</wp:posOffset>
            </wp:positionV>
            <wp:extent cx="715581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36" w:lineRule="auto"/>
        <w:rPr>
          <w:sz w:val="20"/>
          <w:szCs w:val="20"/>
          <w:color w:val="auto"/>
        </w:rPr>
      </w:pPr>
      <w:r>
        <w:rPr>
          <w:rFonts w:ascii="Arial" w:cs="Arial" w:eastAsia="Arial" w:hAnsi="Arial"/>
          <w:sz w:val="17"/>
          <w:szCs w:val="17"/>
          <w:color w:val="auto"/>
        </w:rPr>
        <w:t>(but not any consequential or other damages) from Landlord by way of reimbursement from Landlord with no right to offset against Rent, to the extent of Landlord’s obligation to cure such claimed Material Landlord Default hereunder, subject to the limitations set forth in this Lease. Landlord shall have the right not to reimburse Tenant as provided for in the preceding sentence and instead dispute Tenant’s entitlement to reimbursement, Tenant’s right to perform such repairs and/or maintenance and/or the amount being requested by Tenant. If Landlord elects, in the exercise of its good faith reasonable discretion, to dispute any of the foregoing matters, Landlord shall notify Tenant in writing of the nature of such dispute within 30 days after receipt of Tenant’s written request for reimbursement. Landlord and Tenant shall meet and discuss the dispute and if Landlord and Tenant fail to reach a resolution of the dispute within 15 days after their meeting, the dispute shall be resolved by arbitration by a single arbitrator with the qualifications and experience appropriate to resolve the matter and appointed pursuant to and acting in accordance with the rules of the American Arbitration Association. If the arbitrator decides in favor of Tenant, then Landlord shall promptly pay the amount of any award to Tenant. If either party is determined by the arbitrator to be the prevailing party, then such party shall be entitled to have its reasonable attorneys’ fees and costs in connection with such arbitration paid by the other party. If Landlord has not paid to Tenant in full the amount of any such award plus any attorneys’ fees and costs awarded by the arbitrator within 30 days of the date of the arbitrator’s decision, then Tenant shall have the right to set off against the next monthly payments of Base Rent the amount of the award.</w:t>
      </w:r>
    </w:p>
    <w:p>
      <w:pPr>
        <w:spacing w:after="0" w:line="197" w:lineRule="exact"/>
        <w:rPr>
          <w:sz w:val="20"/>
          <w:szCs w:val="20"/>
          <w:color w:val="auto"/>
        </w:rPr>
      </w:pPr>
    </w:p>
    <w:p>
      <w:pPr>
        <w:jc w:val="both"/>
        <w:ind w:right="140" w:firstLine="822"/>
        <w:spacing w:after="0" w:line="239" w:lineRule="auto"/>
        <w:rPr>
          <w:sz w:val="20"/>
          <w:szCs w:val="20"/>
          <w:color w:val="auto"/>
        </w:rPr>
      </w:pPr>
      <w:r>
        <w:rPr>
          <w:rFonts w:ascii="Arial" w:cs="Arial" w:eastAsia="Arial" w:hAnsi="Arial"/>
          <w:sz w:val="17"/>
          <w:szCs w:val="17"/>
          <w:color w:val="auto"/>
        </w:rPr>
        <w:t>All obligations of Landlord under this Lease will be binding upon Landlord only during the period of its ownership of the Premises and not thereafter. The term “</w:t>
      </w:r>
      <w:r>
        <w:rPr>
          <w:rFonts w:ascii="Arial" w:cs="Arial" w:eastAsia="Arial" w:hAnsi="Arial"/>
          <w:sz w:val="17"/>
          <w:szCs w:val="17"/>
          <w:b w:val="1"/>
          <w:bCs w:val="1"/>
          <w:color w:val="auto"/>
        </w:rPr>
        <w:t>Landlord</w:t>
      </w:r>
      <w:r>
        <w:rPr>
          <w:rFonts w:ascii="Arial" w:cs="Arial" w:eastAsia="Arial" w:hAnsi="Arial"/>
          <w:sz w:val="17"/>
          <w:szCs w:val="17"/>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72" w:lineRule="exact"/>
        <w:rPr>
          <w:sz w:val="20"/>
          <w:szCs w:val="20"/>
          <w:color w:val="auto"/>
        </w:rPr>
      </w:pPr>
    </w:p>
    <w:p>
      <w:pPr>
        <w:ind w:right="100" w:firstLine="825"/>
        <w:spacing w:after="0" w:line="237" w:lineRule="auto"/>
        <w:tabs>
          <w:tab w:leader="none" w:pos="2387"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Inspection and Access</w:t>
      </w:r>
      <w:r>
        <w:rPr>
          <w:rFonts w:ascii="Arial" w:cs="Arial" w:eastAsia="Arial" w:hAnsi="Arial"/>
          <w:sz w:val="17"/>
          <w:szCs w:val="17"/>
          <w:color w:val="auto"/>
        </w:rPr>
        <w:t>. Landlord and its agents, representatives, and contractors may enter the Premises at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reasonable time to inspect the 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stating that the Project is available for sale, or in the last 12 months of the Term, that the Premises are available to let. Landlord shall use reasonable efforts to minimize interference with Tenant’s business operations at the Premises in connection with its entry into the Premises under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Landlord may grant and amend easements, make public dedications, designate Common Areas and create restrictions on or about the Project (excluding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easement, dedication, designation or restriction materially, adversely affects Tenant’s use or occupancy of the Premises for the Permitted Use, materially increases Tenant’s obligations under this Lease, or materially diminishes Tenant’s rights under the Lease.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 Notwithstanding the foregoing, Tenant shall have the right to designate (on plans provided by Tenant to Landlord, which may be reasonably updated by Tenant from time to time upon notice to Landlord) certain areas of the Premises as limited access areas required to protect the health of persons or security of confidential and proprietary information, which limited access areas shall not be entered into by Landlord or Landlord’s representatives without a Tenant representative, except in the case of an emergency. Landlord shall use reasonable efforts to comply with Tenant’s reasonable security, confidentiality and safety requirements with respect to entering restricted portions of the Premises; provided, however, that Tenant has notified Landlord of such security, confidentiality and safety requirements reasonably prior to Landlord’s entry into the Premises and provided further that in no event shall Tenant bar or prohibit access by Landlord and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448945</wp:posOffset>
            </wp:positionV>
            <wp:extent cx="715581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agents and contractors for the performance of the obligations of Landlord or the exercise of the rights of Landlord under this Lease.</w:t>
      </w:r>
    </w:p>
    <w:p>
      <w:pPr>
        <w:spacing w:after="0" w:line="181" w:lineRule="exact"/>
        <w:rPr>
          <w:sz w:val="20"/>
          <w:szCs w:val="20"/>
          <w:color w:val="auto"/>
        </w:rPr>
      </w:pPr>
    </w:p>
    <w:p>
      <w:pPr>
        <w:ind w:left="780" w:right="260" w:hanging="776"/>
        <w:spacing w:after="0" w:line="241" w:lineRule="auto"/>
        <w:tabs>
          <w:tab w:leader="none" w:pos="1542"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Security</w:t>
      </w:r>
      <w:r>
        <w:rPr>
          <w:rFonts w:ascii="Arial" w:cs="Arial" w:eastAsia="Arial" w:hAnsi="Arial"/>
          <w:sz w:val="17"/>
          <w:szCs w:val="17"/>
          <w:color w:val="auto"/>
        </w:rPr>
        <w:t>. Tenant acknowledges and agrees that security devices and services, if any, while intended to deter crime may not in</w:t>
      </w:r>
      <w:r>
        <w:rPr>
          <w:rFonts w:ascii="Arial" w:cs="Arial" w:eastAsia="Arial" w:hAnsi="Arial"/>
          <w:sz w:val="17"/>
          <w:szCs w:val="17"/>
          <w:b w:val="1"/>
          <w:bCs w:val="1"/>
          <w:color w:val="auto"/>
        </w:rPr>
        <w:t xml:space="preserve"> </w:t>
      </w:r>
      <w:r>
        <w:rPr>
          <w:rFonts w:ascii="Arial" w:cs="Arial" w:eastAsia="Arial" w:hAnsi="Arial"/>
          <w:sz w:val="17"/>
          <w:szCs w:val="17"/>
          <w:color w:val="auto"/>
        </w:rPr>
        <w:t>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71" w:lineRule="exact"/>
        <w:rPr>
          <w:rFonts w:ascii="Arial" w:cs="Arial" w:eastAsia="Arial" w:hAnsi="Arial"/>
          <w:sz w:val="17"/>
          <w:szCs w:val="17"/>
          <w:color w:val="auto"/>
        </w:rPr>
      </w:pPr>
    </w:p>
    <w:p>
      <w:pPr>
        <w:ind w:left="80" w:right="140" w:firstLine="825"/>
        <w:spacing w:after="0" w:line="239" w:lineRule="auto"/>
        <w:tabs>
          <w:tab w:leader="none" w:pos="2467" w:val="left"/>
        </w:tabs>
        <w:numPr>
          <w:ilvl w:val="1"/>
          <w:numId w:val="118"/>
        </w:numPr>
        <w:rPr>
          <w:rFonts w:ascii="Arial" w:cs="Arial" w:eastAsia="Arial" w:hAnsi="Arial"/>
          <w:sz w:val="17"/>
          <w:szCs w:val="17"/>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 Except for the payment of Rent and any other amounts payable under this Lease, neither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nor Tenant shall be held responsible or liable for delays in the performance of its obligations hereunder when caused by, related to, or arising out of acts of God, sinkholes or subsidence, strikes, lockouts, or other labor disputes, embargoes, quarantines, extreme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local, regional or national epidemic or pandemic (including COVID-19),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7"/>
          <w:szCs w:val="17"/>
          <w:b w:val="1"/>
          <w:bCs w:val="1"/>
          <w:color w:val="auto"/>
        </w:rPr>
        <w:t>Force Majeure</w:t>
      </w:r>
      <w:r>
        <w:rPr>
          <w:rFonts w:ascii="Arial" w:cs="Arial" w:eastAsia="Arial" w:hAnsi="Arial"/>
          <w:sz w:val="17"/>
          <w:szCs w:val="17"/>
          <w:color w:val="auto"/>
        </w:rPr>
        <w:t>”). Financial disability or hardship, regardless of the cause of the same, shall never constitute a Force Majeure event.</w:t>
      </w:r>
    </w:p>
    <w:p>
      <w:pPr>
        <w:spacing w:after="0" w:line="177" w:lineRule="exact"/>
        <w:rPr>
          <w:rFonts w:ascii="Arial" w:cs="Arial" w:eastAsia="Arial" w:hAnsi="Arial"/>
          <w:sz w:val="17"/>
          <w:szCs w:val="17"/>
          <w:color w:val="auto"/>
        </w:rPr>
      </w:pPr>
    </w:p>
    <w:p>
      <w:pPr>
        <w:ind w:left="80" w:right="380" w:firstLine="824"/>
        <w:spacing w:after="0" w:line="247" w:lineRule="auto"/>
        <w:tabs>
          <w:tab w:leader="none" w:pos="2465" w:val="left"/>
        </w:tabs>
        <w:numPr>
          <w:ilvl w:val="1"/>
          <w:numId w:val="118"/>
        </w:numPr>
        <w:rPr>
          <w:rFonts w:ascii="Arial" w:cs="Arial" w:eastAsia="Arial" w:hAnsi="Arial"/>
          <w:sz w:val="17"/>
          <w:szCs w:val="17"/>
          <w:color w:val="auto"/>
        </w:rPr>
      </w:pPr>
      <w:r>
        <w:rPr>
          <w:rFonts w:ascii="Arial" w:cs="Arial" w:eastAsia="Arial" w:hAnsi="Arial"/>
          <w:sz w:val="17"/>
          <w:szCs w:val="17"/>
          <w:b w:val="1"/>
          <w:bCs w:val="1"/>
          <w:color w:val="auto"/>
        </w:rPr>
        <w:t>Brokers</w:t>
      </w:r>
      <w:r>
        <w:rPr>
          <w:rFonts w:ascii="Arial" w:cs="Arial" w:eastAsia="Arial" w:hAnsi="Arial"/>
          <w:sz w:val="17"/>
          <w:szCs w:val="17"/>
          <w:color w:val="auto"/>
        </w:rPr>
        <w:t>. Landlord and Tenant each represents and warrants that it has not dealt with any broker, agent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this transaction and that no Broker brought about this transaction, other</w:t>
      </w:r>
    </w:p>
    <w:p>
      <w:pPr>
        <w:spacing w:after="0" w:line="1" w:lineRule="exact"/>
        <w:rPr>
          <w:sz w:val="20"/>
          <w:szCs w:val="20"/>
          <w:color w:val="auto"/>
        </w:rPr>
      </w:pPr>
    </w:p>
    <w:p>
      <w:pPr>
        <w:ind w:left="80" w:right="260"/>
        <w:spacing w:after="0"/>
        <w:rPr>
          <w:sz w:val="20"/>
          <w:szCs w:val="20"/>
          <w:color w:val="auto"/>
        </w:rPr>
      </w:pPr>
      <w:r>
        <w:rPr>
          <w:rFonts w:ascii="Arial" w:cs="Arial" w:eastAsia="Arial" w:hAnsi="Arial"/>
          <w:sz w:val="17"/>
          <w:szCs w:val="17"/>
          <w:color w:val="auto"/>
        </w:rPr>
        <w:t>than Landlord and Tenant each hereby agree to indemnify and hold the other harmless from and against any claims by any Broker, other than Jones Lang LaSalle, claiming a commission or other form of compensation by virtue of having dealt with Tenant or Landlord, as applicable, with regard to this leasing transaction.</w:t>
      </w:r>
    </w:p>
    <w:p>
      <w:pPr>
        <w:spacing w:after="0" w:line="173" w:lineRule="exact"/>
        <w:rPr>
          <w:sz w:val="20"/>
          <w:szCs w:val="20"/>
          <w:color w:val="auto"/>
        </w:rPr>
      </w:pPr>
    </w:p>
    <w:p>
      <w:pPr>
        <w:ind w:left="780" w:right="340" w:hanging="776"/>
        <w:spacing w:after="0" w:line="237" w:lineRule="auto"/>
        <w:tabs>
          <w:tab w:leader="none" w:pos="1542"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Limitation on Liability</w:t>
      </w:r>
      <w:r>
        <w:rPr>
          <w:rFonts w:ascii="Arial" w:cs="Arial" w:eastAsia="Arial" w:hAnsi="Arial"/>
          <w:sz w:val="17"/>
          <w:szCs w:val="17"/>
          <w:color w:val="auto"/>
        </w:rPr>
        <w:t>. NOTWITHSTANDING ANYTHING SET FORTH HEREIN OR IN ANY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452755</wp:posOffset>
            </wp:positionV>
            <wp:extent cx="715581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640"/>
        <w:spacing w:after="0" w:line="245" w:lineRule="auto"/>
        <w:rPr>
          <w:sz w:val="20"/>
          <w:szCs w:val="20"/>
          <w:color w:val="auto"/>
        </w:rPr>
      </w:pPr>
      <w:r>
        <w:rPr>
          <w:rFonts w:ascii="Arial" w:cs="Arial" w:eastAsia="Arial" w:hAnsi="Arial"/>
          <w:sz w:val="17"/>
          <w:szCs w:val="17"/>
          <w:color w:val="auto"/>
        </w:rPr>
        <w:t>EMPLOYEES, AGENTS OR CONTRACTORS BE LIABLE FOR INJURY TO TENANT’S BUSINESS OR FOR ANY LOSS OF INCOME OR PROFIT THEREFROM.</w:t>
      </w:r>
    </w:p>
    <w:p>
      <w:pPr>
        <w:spacing w:after="0" w:line="189" w:lineRule="exact"/>
        <w:rPr>
          <w:sz w:val="20"/>
          <w:szCs w:val="20"/>
          <w:color w:val="auto"/>
        </w:rPr>
      </w:pPr>
    </w:p>
    <w:p>
      <w:pPr>
        <w:jc w:val="both"/>
        <w:ind w:left="80" w:right="120" w:firstLine="823"/>
        <w:spacing w:after="0"/>
        <w:rPr>
          <w:sz w:val="20"/>
          <w:szCs w:val="20"/>
          <w:color w:val="auto"/>
        </w:rPr>
      </w:pPr>
      <w:r>
        <w:rPr>
          <w:rFonts w:ascii="Arial" w:cs="Arial" w:eastAsia="Arial" w:hAnsi="Arial"/>
          <w:sz w:val="17"/>
          <w:szCs w:val="17"/>
          <w:color w:val="auto"/>
        </w:rPr>
        <w:t>NOTWITHSTANDING ANYTING TO THE CONTRARY CONTAINED IN THIS LEASE, IN NO EVENT SHALL PERSONAL LIABILITY FOR TENANT’S OBLIGATIONS UNDER THIS LEASE BE ASSERTED AGAINST ANY OF TENANT’S OFFICERS, DIRECTORS, EMPLOYEES OR AGENTS.</w:t>
      </w:r>
    </w:p>
    <w:p>
      <w:pPr>
        <w:spacing w:after="0" w:line="193" w:lineRule="exact"/>
        <w:rPr>
          <w:sz w:val="20"/>
          <w:szCs w:val="20"/>
          <w:color w:val="auto"/>
        </w:rPr>
      </w:pPr>
    </w:p>
    <w:p>
      <w:pPr>
        <w:jc w:val="both"/>
        <w:ind w:left="80" w:right="120" w:firstLine="824"/>
        <w:spacing w:after="0" w:line="237" w:lineRule="auto"/>
        <w:rPr>
          <w:sz w:val="20"/>
          <w:szCs w:val="20"/>
          <w:color w:val="auto"/>
        </w:rPr>
      </w:pPr>
      <w:r>
        <w:rPr>
          <w:rFonts w:ascii="Arial" w:cs="Arial" w:eastAsia="Arial" w:hAnsi="Arial"/>
          <w:sz w:val="17"/>
          <w:szCs w:val="17"/>
          <w:color w:val="auto"/>
        </w:rPr>
        <w:t>Tenant acknowledges and agrees that measures and/or services implemented at the Project, if any, intended to encourage social distancing, promote and protect health and physical well-being and/or intended to limit the spread of Infectious Conditions, may not prevent the spread of such Infectious Conditions. Neither Landlord nor any Landlord Indemnified Parties shall have any liability and Tenant waives any claims against Landlord and the Landlord Indemnified Parties with respect to any loss, damage or injury in connection with (x) the implementation, or failure of Landlord or any Landlord Indemnified Parties to implement, any measures and/or services at the Project intended to encourage social distancing, promote and protect health and physical well-being and/or intended to limit the spread of Infectious Conditions, or (y) the failure of any measures and/or services implemented at the Project, if any, to limit the spread of any Infections Conditions.</w:t>
      </w:r>
    </w:p>
    <w:p>
      <w:pPr>
        <w:spacing w:after="0" w:line="175" w:lineRule="exact"/>
        <w:rPr>
          <w:sz w:val="20"/>
          <w:szCs w:val="20"/>
          <w:color w:val="auto"/>
        </w:rPr>
      </w:pPr>
    </w:p>
    <w:p>
      <w:pPr>
        <w:ind w:left="780" w:right="320" w:hanging="776"/>
        <w:spacing w:after="0" w:line="244" w:lineRule="auto"/>
        <w:tabs>
          <w:tab w:leader="none" w:pos="154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provision of this Lease is illegal, invalid or unenforceable under present or future laws, then and</w:t>
      </w:r>
      <w:r>
        <w:rPr>
          <w:rFonts w:ascii="Arial" w:cs="Arial" w:eastAsia="Arial" w:hAnsi="Arial"/>
          <w:sz w:val="17"/>
          <w:szCs w:val="17"/>
          <w:b w:val="1"/>
          <w:bCs w:val="1"/>
          <w:color w:val="auto"/>
        </w:rPr>
        <w:t xml:space="preserve"> </w:t>
      </w:r>
      <w:r>
        <w:rPr>
          <w:rFonts w:ascii="Arial" w:cs="Arial" w:eastAsia="Arial" w:hAnsi="Arial"/>
          <w:sz w:val="17"/>
          <w:szCs w:val="17"/>
          <w:color w:val="auto"/>
        </w:rPr>
        <w:t>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69" w:lineRule="exact"/>
        <w:rPr>
          <w:rFonts w:ascii="Arial" w:cs="Arial" w:eastAsia="Arial" w:hAnsi="Arial"/>
          <w:sz w:val="17"/>
          <w:szCs w:val="17"/>
          <w:color w:val="auto"/>
        </w:rPr>
      </w:pPr>
    </w:p>
    <w:p>
      <w:pPr>
        <w:ind w:left="780" w:right="340" w:hanging="776"/>
        <w:spacing w:after="0"/>
        <w:tabs>
          <w:tab w:leader="none" w:pos="1542"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Signs; Exterior Appearance</w:t>
      </w:r>
      <w:r>
        <w:rPr>
          <w:rFonts w:ascii="Arial" w:cs="Arial" w:eastAsia="Arial" w:hAnsi="Arial"/>
          <w:sz w:val="17"/>
          <w:szCs w:val="17"/>
          <w:color w:val="auto"/>
        </w:rPr>
        <w:t>. Tenant shall not, without the prior written consent of Landlord, which may be granted or</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in Landlord’s reasonable discretion: (i) attach any awnings, exterior lights, decorations, balloons, flags, pennants, banners, painting or other projection to any outside wall of the Building, (ii) use any curtains, blinds, shades or screens other than Landlord’s standard window coverings, (iii) coat or otherwise sunscreen the interior or exterior of any windows with something other than a UV coating reasonably acceptable to Landlord,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w:t>
      </w:r>
    </w:p>
    <w:p>
      <w:pPr>
        <w:spacing w:after="0" w:line="194" w:lineRule="exact"/>
        <w:rPr>
          <w:sz w:val="20"/>
          <w:szCs w:val="20"/>
          <w:color w:val="auto"/>
        </w:rPr>
      </w:pPr>
    </w:p>
    <w:p>
      <w:pPr>
        <w:jc w:val="both"/>
        <w:ind w:left="80" w:right="120" w:firstLine="824"/>
        <w:spacing w:after="0" w:line="237" w:lineRule="auto"/>
        <w:rPr>
          <w:sz w:val="20"/>
          <w:szCs w:val="20"/>
          <w:color w:val="auto"/>
        </w:rPr>
      </w:pPr>
      <w:r>
        <w:rPr>
          <w:rFonts w:ascii="Arial" w:cs="Arial" w:eastAsia="Arial" w:hAnsi="Arial"/>
          <w:sz w:val="17"/>
          <w:szCs w:val="17"/>
          <w:color w:val="auto"/>
        </w:rPr>
        <w:t>Tenant shall also have the exclusive right to display, at Tenant’s cost and expense, a sign bearing Tenant’s name and/or logo on the façade of the Building in a location mutually acceptable to Landlord and Tenant (the “</w:t>
      </w:r>
      <w:r>
        <w:rPr>
          <w:rFonts w:ascii="Arial" w:cs="Arial" w:eastAsia="Arial" w:hAnsi="Arial"/>
          <w:sz w:val="17"/>
          <w:szCs w:val="17"/>
          <w:b w:val="1"/>
          <w:bCs w:val="1"/>
          <w:color w:val="auto"/>
        </w:rPr>
        <w:t>Building Sign</w:t>
      </w:r>
      <w:r>
        <w:rPr>
          <w:rFonts w:ascii="Arial" w:cs="Arial" w:eastAsia="Arial" w:hAnsi="Arial"/>
          <w:sz w:val="17"/>
          <w:szCs w:val="17"/>
          <w:color w:val="auto"/>
        </w:rPr>
        <w:t xml:space="preserve">”). Subject to compliance with applicable Legal Requirements, Landlord hereby approves of Tenant’s signage design for the Building Sign reflected on </w:t>
      </w:r>
      <w:r>
        <w:rPr>
          <w:rFonts w:ascii="Arial" w:cs="Arial" w:eastAsia="Arial" w:hAnsi="Arial"/>
          <w:sz w:val="17"/>
          <w:szCs w:val="17"/>
          <w:b w:val="1"/>
          <w:bCs w:val="1"/>
          <w:color w:val="auto"/>
        </w:rPr>
        <w:t>Exhibit J</w:t>
      </w:r>
      <w:r>
        <w:rPr>
          <w:rFonts w:ascii="Arial" w:cs="Arial" w:eastAsia="Arial" w:hAnsi="Arial"/>
          <w:sz w:val="17"/>
          <w:szCs w:val="17"/>
          <w:color w:val="auto"/>
        </w:rPr>
        <w:t>. Tenant shall be responsible, at Tenant’s sole cost and expense, for the maintenance of Tenant’s signage on the Building Sign, for the removal of Tenant’s signage on the Building Sign at the expiration or earlier termination of this Lease and for the repair all damage resulting from such removal. So long as this Lease is not in the future amended such that the Premises is reduced to consist of less than of the rentable square footage of the Building, then (i) Tenant may assign its rights under this paragraph with respect to the Building Sign in connection with an assignment by Tenant of this Lease, and (ii) Landlord shall not grant any other tenant the right to place signage on the Building façade.</w:t>
      </w:r>
    </w:p>
    <w:p>
      <w:pPr>
        <w:spacing w:after="0" w:line="173" w:lineRule="exact"/>
        <w:rPr>
          <w:sz w:val="20"/>
          <w:szCs w:val="20"/>
          <w:color w:val="auto"/>
        </w:rPr>
      </w:pPr>
    </w:p>
    <w:p>
      <w:pPr>
        <w:ind w:left="1540" w:hanging="1536"/>
        <w:spacing w:after="0"/>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Right to Extend Term</w:t>
      </w:r>
      <w:r>
        <w:rPr>
          <w:rFonts w:ascii="Arial" w:cs="Arial" w:eastAsia="Arial" w:hAnsi="Arial"/>
          <w:sz w:val="17"/>
          <w:szCs w:val="17"/>
          <w:color w:val="auto"/>
        </w:rPr>
        <w:t>. Tenant shall have the right to extend the Term of this Lease upon the following terms and conditions:</w:t>
      </w:r>
    </w:p>
    <w:p>
      <w:pPr>
        <w:spacing w:after="0" w:line="200" w:lineRule="exact"/>
        <w:rPr>
          <w:rFonts w:ascii="Arial" w:cs="Arial" w:eastAsia="Arial" w:hAnsi="Arial"/>
          <w:sz w:val="17"/>
          <w:szCs w:val="17"/>
          <w:color w:val="auto"/>
        </w:rPr>
      </w:pPr>
    </w:p>
    <w:p>
      <w:pPr>
        <w:ind w:left="80" w:right="120" w:firstLine="825"/>
        <w:spacing w:after="0" w:line="252" w:lineRule="auto"/>
        <w:tabs>
          <w:tab w:leader="none" w:pos="2438" w:val="left"/>
        </w:tabs>
        <w:numPr>
          <w:ilvl w:val="1"/>
          <w:numId w:val="121"/>
        </w:numPr>
        <w:rPr>
          <w:rFonts w:ascii="Arial" w:cs="Arial" w:eastAsia="Arial" w:hAnsi="Arial"/>
          <w:sz w:val="17"/>
          <w:szCs w:val="17"/>
          <w:color w:val="auto"/>
        </w:rPr>
      </w:pPr>
      <w:r>
        <w:rPr>
          <w:rFonts w:ascii="Arial" w:cs="Arial" w:eastAsia="Arial" w:hAnsi="Arial"/>
          <w:sz w:val="17"/>
          <w:szCs w:val="17"/>
          <w:b w:val="1"/>
          <w:bCs w:val="1"/>
          <w:color w:val="auto"/>
        </w:rPr>
        <w:t>Extension Rights</w:t>
      </w:r>
      <w:r>
        <w:rPr>
          <w:rFonts w:ascii="Arial" w:cs="Arial" w:eastAsia="Arial" w:hAnsi="Arial"/>
          <w:sz w:val="17"/>
          <w:szCs w:val="17"/>
          <w:color w:val="auto"/>
        </w:rPr>
        <w:t>. Tenant shall have 2 consecutive rights (each, an “</w:t>
      </w:r>
      <w:r>
        <w:rPr>
          <w:rFonts w:ascii="Arial" w:cs="Arial" w:eastAsia="Arial" w:hAnsi="Arial"/>
          <w:sz w:val="17"/>
          <w:szCs w:val="17"/>
          <w:b w:val="1"/>
          <w:bCs w:val="1"/>
          <w:color w:val="auto"/>
        </w:rPr>
        <w:t>Extension Right</w:t>
      </w:r>
      <w:r>
        <w:rPr>
          <w:rFonts w:ascii="Arial" w:cs="Arial" w:eastAsia="Arial" w:hAnsi="Arial"/>
          <w:sz w:val="17"/>
          <w:szCs w:val="17"/>
          <w:color w:val="auto"/>
        </w:rPr>
        <w:t>”) to extend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for 5 years each (each, an “</w:t>
      </w:r>
      <w:r>
        <w:rPr>
          <w:rFonts w:ascii="Arial" w:cs="Arial" w:eastAsia="Arial" w:hAnsi="Arial"/>
          <w:sz w:val="17"/>
          <w:szCs w:val="17"/>
          <w:b w:val="1"/>
          <w:bCs w:val="1"/>
          <w:color w:val="auto"/>
        </w:rPr>
        <w:t>Extension Term</w:t>
      </w:r>
      <w:r>
        <w:rPr>
          <w:rFonts w:ascii="Arial" w:cs="Arial" w:eastAsia="Arial" w:hAnsi="Arial"/>
          <w:sz w:val="17"/>
          <w:szCs w:val="17"/>
          <w:color w:val="auto"/>
        </w:rPr>
        <w:t>”) on the same terms and conditions as this Lease (other than with respect to Base Rent and the Work Letter) by giving Landlord written notice (“</w:t>
      </w:r>
      <w:r>
        <w:rPr>
          <w:rFonts w:ascii="Arial" w:cs="Arial" w:eastAsia="Arial" w:hAnsi="Arial"/>
          <w:sz w:val="17"/>
          <w:szCs w:val="17"/>
          <w:b w:val="1"/>
          <w:bCs w:val="1"/>
          <w:color w:val="auto"/>
        </w:rPr>
        <w:t>Exercise Notice</w:t>
      </w:r>
      <w:r>
        <w:rPr>
          <w:rFonts w:ascii="Arial" w:cs="Arial" w:eastAsia="Arial" w:hAnsi="Arial"/>
          <w:sz w:val="17"/>
          <w:szCs w:val="17"/>
          <w:color w:val="auto"/>
        </w:rPr>
        <w:t>”) of its election to exercise each Extension Right at least months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441960</wp:posOffset>
            </wp:positionV>
            <wp:extent cx="715581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 xml:space="preserve">Page </w:t>
      </w:r>
      <w:r>
        <w:rPr>
          <w:rFonts w:ascii="Arial" w:cs="Arial" w:eastAsia="Arial" w:hAnsi="Arial"/>
          <w:sz w:val="16"/>
          <w:szCs w:val="16"/>
          <w:color w:val="auto"/>
        </w:rPr>
        <w:t>37</w:t>
      </w:r>
    </w:p>
    <w:p>
      <w:pPr>
        <w:sectPr>
          <w:pgSz w:w="11900" w:h="16838" w:orient="portrait"/>
          <w:cols w:equalWidth="0" w:num="1">
            <w:col w:w="11100"/>
          </w:cols>
          <w:pgMar w:left="46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Exercise Date</w:t>
      </w:r>
      <w:r>
        <w:rPr>
          <w:rFonts w:ascii="Arial" w:cs="Arial" w:eastAsia="Arial" w:hAnsi="Arial"/>
          <w:sz w:val="17"/>
          <w:szCs w:val="17"/>
          <w:color w:val="auto"/>
        </w:rPr>
        <w:t>”), and no earlier than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this Lease or the expiration of the prior Extension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months prior, to the expiration of the Base Term of</w:t>
      </w:r>
    </w:p>
    <w:p>
      <w:pPr>
        <w:spacing w:after="0" w:line="391" w:lineRule="exact"/>
        <w:rPr>
          <w:sz w:val="20"/>
          <w:szCs w:val="20"/>
          <w:color w:val="auto"/>
        </w:rPr>
      </w:pPr>
    </w:p>
    <w:p>
      <w:pPr>
        <w:sectPr>
          <w:pgSz w:w="11900" w:h="16838" w:orient="portrait"/>
          <w:cols w:equalWidth="0" w:num="2">
            <w:col w:w="6260" w:space="720"/>
            <w:col w:w="4120"/>
          </w:cols>
          <w:pgMar w:left="460" w:top="118" w:right="339" w:bottom="1440" w:gutter="0" w:footer="0" w:header="0"/>
          <w:type w:val="continuous"/>
        </w:sectPr>
      </w:pPr>
    </w:p>
    <w:p>
      <w:pPr>
        <w:spacing w:after="0" w:line="12" w:lineRule="exact"/>
        <w:rPr>
          <w:sz w:val="20"/>
          <w:szCs w:val="20"/>
          <w:color w:val="auto"/>
        </w:rPr>
      </w:pPr>
    </w:p>
    <w:p>
      <w:pPr>
        <w:jc w:val="both"/>
        <w:ind w:right="120" w:firstLine="823"/>
        <w:spacing w:after="0"/>
        <w:rPr>
          <w:sz w:val="20"/>
          <w:szCs w:val="20"/>
          <w:color w:val="auto"/>
        </w:rPr>
      </w:pPr>
      <w:r>
        <w:rPr>
          <w:rFonts w:ascii="Arial" w:cs="Arial" w:eastAsia="Arial" w:hAnsi="Arial"/>
          <w:sz w:val="17"/>
          <w:szCs w:val="17"/>
          <w:color w:val="auto"/>
        </w:rPr>
        <w:t>Upon the commencement of the first Extension Term and on each annual anniversary of the commencement of the first Extension Term, Base Rent shall be adjusted by multiplying the Base Rent payable immediately before such adjustment by the Rent Adjustment Percentage and adding the resulting amount to the Base Rent payable immediately before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Tenant shall exercise the second Extension Right, if at all, as follows: (i) Tenant shall deliver written notice to Landlord (the “</w:t>
      </w:r>
      <w:r>
        <w:rPr>
          <w:rFonts w:ascii="Arial" w:cs="Arial" w:eastAsia="Arial" w:hAnsi="Arial"/>
          <w:sz w:val="17"/>
          <w:szCs w:val="17"/>
          <w:b w:val="1"/>
          <w:bCs w:val="1"/>
          <w:color w:val="auto"/>
        </w:rPr>
        <w:t>Interest</w:t>
      </w:r>
    </w:p>
    <w:p>
      <w:pPr>
        <w:spacing w:after="0" w:line="12" w:lineRule="exact"/>
        <w:rPr>
          <w:sz w:val="20"/>
          <w:szCs w:val="20"/>
          <w:color w:val="auto"/>
        </w:rPr>
      </w:pPr>
    </w:p>
    <w:p>
      <w:pPr>
        <w:spacing w:after="0"/>
        <w:tabs>
          <w:tab w:leader="none" w:pos="6980" w:val="left"/>
        </w:tabs>
        <w:rPr>
          <w:sz w:val="20"/>
          <w:szCs w:val="20"/>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not more than</w:t>
      </w:r>
      <w:r>
        <w:rPr>
          <w:sz w:val="20"/>
          <w:szCs w:val="20"/>
          <w:color w:val="auto"/>
        </w:rPr>
        <w:tab/>
      </w:r>
      <w:r>
        <w:rPr>
          <w:rFonts w:ascii="Arial" w:cs="Arial" w:eastAsia="Arial" w:hAnsi="Arial"/>
          <w:sz w:val="16"/>
          <w:szCs w:val="16"/>
          <w:color w:val="auto"/>
        </w:rPr>
        <w:t>months nor less</w:t>
      </w:r>
    </w:p>
    <w:p>
      <w:pPr>
        <w:spacing w:after="0" w:line="235" w:lineRule="auto"/>
        <w:tabs>
          <w:tab w:leader="none" w:pos="5520" w:val="left"/>
        </w:tabs>
        <w:rPr>
          <w:sz w:val="20"/>
          <w:szCs w:val="20"/>
          <w:color w:val="auto"/>
        </w:rPr>
      </w:pPr>
      <w:r>
        <w:rPr>
          <w:rFonts w:ascii="Arial" w:cs="Arial" w:eastAsia="Arial" w:hAnsi="Arial"/>
          <w:sz w:val="17"/>
          <w:szCs w:val="17"/>
          <w:color w:val="auto"/>
        </w:rPr>
        <w:t>than</w:t>
      </w:r>
      <w:r>
        <w:rPr>
          <w:sz w:val="20"/>
          <w:szCs w:val="20"/>
          <w:color w:val="auto"/>
        </w:rPr>
        <w:tab/>
      </w:r>
      <w:r>
        <w:rPr>
          <w:rFonts w:ascii="Arial" w:cs="Arial" w:eastAsia="Arial" w:hAnsi="Arial"/>
          <w:sz w:val="17"/>
          <w:szCs w:val="17"/>
          <w:color w:val="auto"/>
        </w:rPr>
        <w:t>months prior to the expiration of the first Extension Term stating that</w:t>
      </w:r>
    </w:p>
    <w:p>
      <w:pPr>
        <w:ind w:right="120"/>
        <w:spacing w:after="0" w:line="253" w:lineRule="auto"/>
        <w:rPr>
          <w:sz w:val="20"/>
          <w:szCs w:val="20"/>
          <w:color w:val="auto"/>
        </w:rPr>
      </w:pPr>
      <w:r>
        <w:rPr>
          <w:rFonts w:ascii="Arial" w:cs="Arial" w:eastAsia="Arial" w:hAnsi="Arial"/>
          <w:sz w:val="16"/>
          <w:szCs w:val="16"/>
          <w:color w:val="auto"/>
        </w:rPr>
        <w:t>Tenant may be interested in exercising its second Extension Right; (ii) Landlord shall deliver written notice (the “</w:t>
      </w:r>
      <w:r>
        <w:rPr>
          <w:rFonts w:ascii="Arial" w:cs="Arial" w:eastAsia="Arial" w:hAnsi="Arial"/>
          <w:sz w:val="16"/>
          <w:szCs w:val="16"/>
          <w:b w:val="1"/>
          <w:bCs w:val="1"/>
          <w:color w:val="auto"/>
        </w:rPr>
        <w:t>Option Rent Notice</w:t>
      </w:r>
      <w:r>
        <w:rPr>
          <w:rFonts w:ascii="Arial" w:cs="Arial" w:eastAsia="Arial" w:hAnsi="Arial"/>
          <w:sz w:val="16"/>
          <w:szCs w:val="16"/>
          <w:color w:val="auto"/>
        </w:rPr>
        <w:t>”) to Tenant within days after Landlord’s receipt of the Interest Notice setting forth Landlord’s good faith determination of the Market Rate during the second Extension Term; and (iii) if Tenant wishes to exercise its second Extension Right, Tenant shall, on or before the Exercise Date, exercise such second Extension Right by delivering an Exercise Notice to Landlord. Concurrently with Tenant’s delivery of an Exercise Notice to Landlord, Tenant may object, in writing (the “</w:t>
      </w:r>
      <w:r>
        <w:rPr>
          <w:rFonts w:ascii="Arial" w:cs="Arial" w:eastAsia="Arial" w:hAnsi="Arial"/>
          <w:sz w:val="16"/>
          <w:szCs w:val="16"/>
          <w:b w:val="1"/>
          <w:bCs w:val="1"/>
          <w:color w:val="auto"/>
        </w:rPr>
        <w:t>Objection Notice</w:t>
      </w:r>
      <w:r>
        <w:rPr>
          <w:rFonts w:ascii="Arial" w:cs="Arial" w:eastAsia="Arial" w:hAnsi="Arial"/>
          <w:sz w:val="16"/>
          <w:szCs w:val="16"/>
          <w:color w:val="auto"/>
        </w:rPr>
        <w:t xml:space="preserve">”), to Landlord’s determination of the Market Rate set forth in the Option Rent Notice, in which event such Market Rate shall be determined by arbitration pursuant to </w:t>
      </w:r>
      <w:r>
        <w:rPr>
          <w:rFonts w:ascii="Arial" w:cs="Arial" w:eastAsia="Arial" w:hAnsi="Arial"/>
          <w:sz w:val="16"/>
          <w:szCs w:val="16"/>
          <w:u w:val="single" w:color="auto"/>
          <w:color w:val="auto"/>
        </w:rPr>
        <w:t>Section 39(b)</w:t>
      </w:r>
      <w:r>
        <w:rPr>
          <w:rFonts w:ascii="Arial" w:cs="Arial" w:eastAsia="Arial" w:hAnsi="Arial"/>
          <w:sz w:val="16"/>
          <w:szCs w:val="16"/>
          <w:color w:val="auto"/>
        </w:rPr>
        <w:t xml:space="preserve"> below. If Tenant does not deliver an Objection Notice pursuant to the immediately preceding sentence, Tenant shall be deemed to have accepted the Market Rate set forth in the Option Rent Notice. Tenant acknowledges and agrees that, if Tenant has delivered an Exercise Notice to Landlord pursuant to this </w:t>
      </w:r>
      <w:r>
        <w:rPr>
          <w:rFonts w:ascii="Arial" w:cs="Arial" w:eastAsia="Arial" w:hAnsi="Arial"/>
          <w:sz w:val="16"/>
          <w:szCs w:val="16"/>
          <w:u w:val="single" w:color="auto"/>
          <w:color w:val="auto"/>
        </w:rPr>
        <w:t>Section 39(a)</w:t>
      </w:r>
      <w:r>
        <w:rPr>
          <w:rFonts w:ascii="Arial" w:cs="Arial" w:eastAsia="Arial" w:hAnsi="Arial"/>
          <w:sz w:val="16"/>
          <w:szCs w:val="16"/>
          <w:color w:val="auto"/>
        </w:rPr>
        <w:t>, Tenant shall have no right thereafter to rescind such Exercise Notice or elect not to extend the term of this Lease for the Extension Term subject to the Exercise Notice.</w:t>
      </w:r>
    </w:p>
    <w:p>
      <w:pPr>
        <w:spacing w:after="0" w:line="164" w:lineRule="exact"/>
        <w:rPr>
          <w:sz w:val="20"/>
          <w:szCs w:val="20"/>
          <w:color w:val="auto"/>
        </w:rPr>
      </w:pPr>
    </w:p>
    <w:p>
      <w:pPr>
        <w:ind w:left="1680" w:hanging="847"/>
        <w:spacing w:after="0"/>
        <w:tabs>
          <w:tab w:leader="none" w:pos="168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w:t>
      </w:r>
    </w:p>
    <w:p>
      <w:pPr>
        <w:spacing w:after="0" w:line="221" w:lineRule="exact"/>
        <w:rPr>
          <w:sz w:val="20"/>
          <w:szCs w:val="20"/>
          <w:color w:val="auto"/>
        </w:rPr>
      </w:pPr>
    </w:p>
    <w:p>
      <w:pPr>
        <w:ind w:left="840" w:right="120" w:firstLine="761"/>
        <w:spacing w:after="0" w:line="237" w:lineRule="auto"/>
        <w:rPr>
          <w:sz w:val="20"/>
          <w:szCs w:val="20"/>
          <w:color w:val="auto"/>
        </w:rPr>
      </w:pPr>
      <w:r>
        <w:rPr>
          <w:rFonts w:ascii="Arial" w:cs="Arial" w:eastAsia="Arial" w:hAnsi="Arial"/>
          <w:sz w:val="17"/>
          <w:szCs w:val="17"/>
          <w:color w:val="auto"/>
        </w:rPr>
        <w:t>(i) 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7"/>
          <w:szCs w:val="17"/>
          <w:b w:val="1"/>
          <w:bCs w:val="1"/>
          <w:color w:val="auto"/>
        </w:rPr>
        <w:t>Extension Proposal</w:t>
      </w:r>
      <w:r>
        <w:rPr>
          <w:rFonts w:ascii="Arial" w:cs="Arial" w:eastAsia="Arial" w:hAnsi="Arial"/>
          <w:sz w:val="17"/>
          <w:szCs w:val="17"/>
          <w:color w:val="auto"/>
        </w:rPr>
        <w:t>”). If either party fails to timely submit an Extension Proposal, the other party’s submitted proposal shall determine the Base Rent and escalations for the second Extension Term. If both parties submit Extension Proposals, then Landlord and Tenant shall meet within 7 business days after delivery of the last Extension Proposal and make a good faith attempt to mutually appoint a single Arbitrator (and defined below) to determine the Market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449580</wp:posOffset>
            </wp:positionV>
            <wp:extent cx="715581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920" w:right="120"/>
        <w:spacing w:after="0" w:line="237" w:lineRule="auto"/>
        <w:rPr>
          <w:sz w:val="20"/>
          <w:szCs w:val="20"/>
          <w:color w:val="auto"/>
        </w:rPr>
      </w:pPr>
      <w:r>
        <w:rPr>
          <w:rFonts w:ascii="Arial" w:cs="Arial" w:eastAsia="Arial" w:hAnsi="Arial"/>
          <w:sz w:val="17"/>
          <w:szCs w:val="17"/>
          <w:color w:val="auto"/>
        </w:rPr>
        <w:t>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second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95" w:lineRule="exact"/>
        <w:rPr>
          <w:sz w:val="20"/>
          <w:szCs w:val="20"/>
          <w:color w:val="auto"/>
        </w:rPr>
      </w:pPr>
    </w:p>
    <w:p>
      <w:pPr>
        <w:ind w:left="920" w:right="220" w:firstLine="761"/>
        <w:spacing w:after="0" w:line="253" w:lineRule="auto"/>
        <w:rPr>
          <w:sz w:val="20"/>
          <w:szCs w:val="20"/>
          <w:color w:val="auto"/>
        </w:rPr>
      </w:pPr>
      <w:r>
        <w:rPr>
          <w:rFonts w:ascii="Arial" w:cs="Arial" w:eastAsia="Arial" w:hAnsi="Arial"/>
          <w:sz w:val="16"/>
          <w:szCs w:val="16"/>
          <w:color w:val="auto"/>
        </w:rPr>
        <w:t>(ii) The decision of the Arbitrator(s) shall be made within 30 days after the appointment of a single Arbitrator or the third Arbitrator, as applicable. If there is a single Arbitrator, the decision of the single Arbitrator shall be final and binding upon the parties. If there are 3 Arbitrators,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second Extension Term, then Tenant shall pay Landlord Base Rent in an amount equal to the Base Rent in effect immediately prior to the second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second Extension Term.</w:t>
      </w:r>
    </w:p>
    <w:p>
      <w:pPr>
        <w:spacing w:after="0" w:line="164" w:lineRule="exact"/>
        <w:rPr>
          <w:sz w:val="20"/>
          <w:szCs w:val="20"/>
          <w:color w:val="auto"/>
        </w:rPr>
      </w:pPr>
    </w:p>
    <w:p>
      <w:pPr>
        <w:ind w:left="920" w:right="220" w:firstLine="761"/>
        <w:spacing w:after="0" w:line="241" w:lineRule="auto"/>
        <w:rPr>
          <w:sz w:val="20"/>
          <w:szCs w:val="20"/>
          <w:color w:val="auto"/>
        </w:rPr>
      </w:pPr>
      <w:r>
        <w:rPr>
          <w:rFonts w:ascii="Arial" w:cs="Arial" w:eastAsia="Arial" w:hAnsi="Arial"/>
          <w:sz w:val="17"/>
          <w:szCs w:val="17"/>
          <w:color w:val="auto"/>
        </w:rPr>
        <w:t>(iii) An “</w:t>
      </w:r>
      <w:r>
        <w:rPr>
          <w:rFonts w:ascii="Arial" w:cs="Arial" w:eastAsia="Arial" w:hAnsi="Arial"/>
          <w:sz w:val="17"/>
          <w:szCs w:val="17"/>
          <w:b w:val="1"/>
          <w:bCs w:val="1"/>
          <w:color w:val="auto"/>
        </w:rPr>
        <w:t>Arbitrator</w:t>
      </w:r>
      <w:r>
        <w:rPr>
          <w:rFonts w:ascii="Arial" w:cs="Arial" w:eastAsia="Arial" w:hAnsi="Arial"/>
          <w:sz w:val="17"/>
          <w:szCs w:val="17"/>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life sciences, high tech industrial and improved office real estate in the greater Raleigh/Durham metropolitan area, or (B) a licensed commercial real estate broker with not less than 15 years’ experience representing landlords and/or tenants in the leasing of life sciences space or high tech space in the greater Raleigh/Durham metropolitan area, (ii) devoting substantially all of their time to professional appraisal or brokerage work, as applicable, at the time of appointment and (iii) be in all respects impartial and disinterested.</w:t>
      </w:r>
    </w:p>
    <w:p>
      <w:pPr>
        <w:spacing w:after="0" w:line="172" w:lineRule="exact"/>
        <w:rPr>
          <w:sz w:val="20"/>
          <w:szCs w:val="20"/>
          <w:color w:val="auto"/>
        </w:rPr>
      </w:pPr>
    </w:p>
    <w:p>
      <w:pPr>
        <w:jc w:val="both"/>
        <w:ind w:left="780" w:right="340" w:hanging="776"/>
        <w:spacing w:after="0" w:line="252" w:lineRule="auto"/>
        <w:tabs>
          <w:tab w:leader="none" w:pos="154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Rights Personal</w:t>
      </w:r>
      <w:r>
        <w:rPr>
          <w:rFonts w:ascii="Arial" w:cs="Arial" w:eastAsia="Arial" w:hAnsi="Arial"/>
          <w:sz w:val="17"/>
          <w:szCs w:val="17"/>
          <w:color w:val="auto"/>
        </w:rPr>
        <w:t>. Extension Rights are personal to Tenant and are not assignable without Landlord’s consent, which may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or withheld in Landlord’s sole discretion separate and apart from any consent by Landlord to an assignment of Tenant’s interest in this Lease, except that they may be assigned in connection with any Permitted Assignment of this Lease.</w:t>
      </w:r>
    </w:p>
    <w:p>
      <w:pPr>
        <w:spacing w:after="0" w:line="163" w:lineRule="exact"/>
        <w:rPr>
          <w:rFonts w:ascii="Arial" w:cs="Arial" w:eastAsia="Arial" w:hAnsi="Arial"/>
          <w:sz w:val="17"/>
          <w:szCs w:val="17"/>
          <w:color w:val="auto"/>
        </w:rPr>
      </w:pPr>
    </w:p>
    <w:p>
      <w:pPr>
        <w:ind w:left="780" w:right="460" w:hanging="776"/>
        <w:spacing w:after="0" w:line="270" w:lineRule="auto"/>
        <w:tabs>
          <w:tab w:leader="none" w:pos="154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Exceptions</w:t>
      </w:r>
      <w:r>
        <w:rPr>
          <w:rFonts w:ascii="Arial" w:cs="Arial" w:eastAsia="Arial" w:hAnsi="Arial"/>
          <w:sz w:val="17"/>
          <w:szCs w:val="17"/>
          <w:color w:val="auto"/>
        </w:rPr>
        <w:t>. Notwithstanding anything set forth above to the contrary, Extension Rights shall, at Landlord’s option, not be in</w:t>
      </w:r>
      <w:r>
        <w:rPr>
          <w:rFonts w:ascii="Arial" w:cs="Arial" w:eastAsia="Arial" w:hAnsi="Arial"/>
          <w:sz w:val="17"/>
          <w:szCs w:val="17"/>
          <w:b w:val="1"/>
          <w:bCs w:val="1"/>
          <w:color w:val="auto"/>
        </w:rPr>
        <w:t xml:space="preserve"> </w:t>
      </w:r>
      <w:r>
        <w:rPr>
          <w:rFonts w:ascii="Arial" w:cs="Arial" w:eastAsia="Arial" w:hAnsi="Arial"/>
          <w:sz w:val="17"/>
          <w:szCs w:val="17"/>
          <w:color w:val="auto"/>
        </w:rPr>
        <w:t>effect and Tenant may not exercise any of the Extension Rights:</w:t>
      </w:r>
    </w:p>
    <w:p>
      <w:pPr>
        <w:sectPr>
          <w:pgSz w:w="11900" w:h="16838" w:orient="portrait"/>
          <w:cols w:equalWidth="0" w:num="1">
            <w:col w:w="11180"/>
          </w:cols>
          <w:pgMar w:left="380" w:top="118" w:right="339" w:bottom="1440" w:gutter="0" w:footer="0" w:header="0"/>
        </w:sectPr>
      </w:pPr>
    </w:p>
    <w:p>
      <w:pPr>
        <w:spacing w:after="0" w:line="16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during any period of time that Tenant is in Default under any provision of this Lease; or</w:t>
      </w:r>
    </w:p>
    <w:p>
      <w:pPr>
        <w:spacing w:after="0" w:line="211" w:lineRule="exact"/>
        <w:rPr>
          <w:sz w:val="20"/>
          <w:szCs w:val="20"/>
          <w:color w:val="auto"/>
        </w:rPr>
      </w:pPr>
    </w:p>
    <w:p>
      <w:pPr>
        <w:sectPr>
          <w:pgSz w:w="11900" w:h="16838" w:orient="portrait"/>
          <w:cols w:equalWidth="0" w:num="2">
            <w:col w:w="960" w:space="720"/>
            <w:col w:w="9500"/>
          </w:cols>
          <w:pgMar w:left="380" w:top="118" w:right="339" w:bottom="1440" w:gutter="0" w:footer="0" w:header="0"/>
          <w:type w:val="continuous"/>
        </w:sectPr>
      </w:pPr>
    </w:p>
    <w:p>
      <w:pPr>
        <w:spacing w:after="0" w:line="1" w:lineRule="exact"/>
        <w:rPr>
          <w:sz w:val="20"/>
          <w:szCs w:val="20"/>
          <w:color w:val="auto"/>
        </w:rPr>
      </w:pPr>
    </w:p>
    <w:p>
      <w:pPr>
        <w:ind w:left="920" w:right="140" w:firstLine="761"/>
        <w:spacing w:after="0"/>
        <w:rPr>
          <w:sz w:val="20"/>
          <w:szCs w:val="20"/>
          <w:color w:val="auto"/>
        </w:rPr>
      </w:pPr>
      <w:r>
        <w:rPr>
          <w:rFonts w:ascii="Arial" w:cs="Arial" w:eastAsia="Arial" w:hAnsi="Arial"/>
          <w:sz w:val="17"/>
          <w:szCs w:val="17"/>
          <w:color w:val="auto"/>
        </w:rPr>
        <w:t>(ii) if Tenant has been in Default under any provision of this Lease 3 or more times, whether or not the Defaults are cured, during the 12 month period immediately prior to the date that Tenant intends to exercise an Extension Right, whether or not the Defaults are cured.</w:t>
      </w:r>
    </w:p>
    <w:p>
      <w:pPr>
        <w:sectPr>
          <w:pgSz w:w="11900" w:h="16838" w:orient="portrait"/>
          <w:cols w:equalWidth="0" w:num="1">
            <w:col w:w="11180"/>
          </w:cols>
          <w:pgMar w:left="380" w:top="118" w:right="339" w:bottom="1440" w:gutter="0" w:footer="0" w:header="0"/>
          <w:type w:val="continuous"/>
        </w:sectPr>
      </w:pPr>
    </w:p>
    <w:p>
      <w:pPr>
        <w:spacing w:after="0" w:line="173" w:lineRule="exact"/>
        <w:rPr>
          <w:sz w:val="20"/>
          <w:szCs w:val="20"/>
          <w:color w:val="auto"/>
        </w:rPr>
      </w:pPr>
    </w:p>
    <w:p>
      <w:pPr>
        <w:ind w:left="780" w:right="300" w:hanging="776"/>
        <w:spacing w:after="0" w:line="270" w:lineRule="auto"/>
        <w:tabs>
          <w:tab w:leader="none" w:pos="1542"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No Extensions</w:t>
      </w:r>
      <w:r>
        <w:rPr>
          <w:rFonts w:ascii="Arial" w:cs="Arial" w:eastAsia="Arial" w:hAnsi="Arial"/>
          <w:sz w:val="17"/>
          <w:szCs w:val="17"/>
          <w:color w:val="auto"/>
        </w:rPr>
        <w:t>. The period of time within which any Extension Rights may be exercised shall not be extended or enlarged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Tenant’s inability to exercise the Extension Rights.</w:t>
      </w:r>
    </w:p>
    <w:p>
      <w:pPr>
        <w:spacing w:after="0" w:line="147" w:lineRule="exact"/>
        <w:rPr>
          <w:rFonts w:ascii="Arial" w:cs="Arial" w:eastAsia="Arial" w:hAnsi="Arial"/>
          <w:sz w:val="17"/>
          <w:szCs w:val="17"/>
          <w:color w:val="auto"/>
        </w:rPr>
      </w:pPr>
    </w:p>
    <w:p>
      <w:pPr>
        <w:ind w:left="780" w:right="500" w:hanging="776"/>
        <w:spacing w:after="0" w:line="252" w:lineRule="auto"/>
        <w:tabs>
          <w:tab w:leader="none" w:pos="1542"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The Extension Rights shall, at Landlord’s option, terminate and be of no further force or effect even after</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due and timely exercise of an Extension Right, if, after such exercise, but prior to the commencement date of an Extension Term, (i) Tenant fails to timely cure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441960</wp:posOffset>
            </wp:positionV>
            <wp:extent cx="715581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default by Tenant under this Lease beyond any applicable notice and cure periods; or (ii) Tenant has Defaulted 3 or more times during the period from the date of the exercise of an Extension Right to the date of the commencement of the Extension Term, whether or not such Defaults are cured.</w:t>
      </w:r>
    </w:p>
    <w:p>
      <w:pPr>
        <w:spacing w:after="0" w:line="173" w:lineRule="exact"/>
        <w:rPr>
          <w:sz w:val="20"/>
          <w:szCs w:val="20"/>
          <w:color w:val="auto"/>
        </w:rPr>
      </w:pPr>
    </w:p>
    <w:p>
      <w:pPr>
        <w:ind w:left="1680" w:hanging="847"/>
        <w:spacing w:after="0"/>
        <w:tabs>
          <w:tab w:leader="none" w:pos="1680" w:val="left"/>
        </w:tabs>
        <w:numPr>
          <w:ilvl w:val="1"/>
          <w:numId w:val="125"/>
        </w:numPr>
        <w:rPr>
          <w:rFonts w:ascii="Arial" w:cs="Arial" w:eastAsia="Arial" w:hAnsi="Arial"/>
          <w:sz w:val="17"/>
          <w:szCs w:val="17"/>
          <w:color w:val="auto"/>
        </w:rPr>
      </w:pPr>
      <w:r>
        <w:rPr>
          <w:rFonts w:ascii="Arial" w:cs="Arial" w:eastAsia="Arial" w:hAnsi="Arial"/>
          <w:sz w:val="17"/>
          <w:szCs w:val="17"/>
          <w:b w:val="1"/>
          <w:bCs w:val="1"/>
          <w:color w:val="auto"/>
        </w:rPr>
        <w:t>5/9 Laboratory Amenities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jc w:val="both"/>
        <w:ind w:right="380" w:firstLine="825"/>
        <w:spacing w:after="0" w:line="247" w:lineRule="auto"/>
        <w:tabs>
          <w:tab w:leader="none" w:pos="2358"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Generally</w:t>
      </w:r>
      <w:r>
        <w:rPr>
          <w:rFonts w:ascii="Arial" w:cs="Arial" w:eastAsia="Arial" w:hAnsi="Arial"/>
          <w:sz w:val="17"/>
          <w:szCs w:val="17"/>
          <w:color w:val="auto"/>
        </w:rPr>
        <w:t>. That certain project known as 5-9 Laboratory Drive, Research Triangle Park, North Carolina (the “</w:t>
      </w:r>
      <w:r>
        <w:rPr>
          <w:rFonts w:ascii="Arial" w:cs="Arial" w:eastAsia="Arial" w:hAnsi="Arial"/>
          <w:sz w:val="17"/>
          <w:szCs w:val="17"/>
          <w:b w:val="1"/>
          <w:bCs w:val="1"/>
          <w:color w:val="auto"/>
        </w:rPr>
        <w:t>5-9 Lab Project</w:t>
      </w:r>
      <w:r>
        <w:rPr>
          <w:rFonts w:ascii="Arial" w:cs="Arial" w:eastAsia="Arial" w:hAnsi="Arial"/>
          <w:sz w:val="17"/>
          <w:szCs w:val="17"/>
          <w:color w:val="auto"/>
        </w:rPr>
        <w:t>”) is owned by an affiliate of Landlord (the “</w:t>
      </w:r>
      <w:r>
        <w:rPr>
          <w:rFonts w:ascii="Arial" w:cs="Arial" w:eastAsia="Arial" w:hAnsi="Arial"/>
          <w:sz w:val="17"/>
          <w:szCs w:val="17"/>
          <w:b w:val="1"/>
          <w:bCs w:val="1"/>
          <w:color w:val="auto"/>
        </w:rPr>
        <w:t>5-9 Lab Landlord</w:t>
      </w:r>
      <w:r>
        <w:rPr>
          <w:rFonts w:ascii="Arial" w:cs="Arial" w:eastAsia="Arial" w:hAnsi="Arial"/>
          <w:sz w:val="17"/>
          <w:szCs w:val="17"/>
          <w:color w:val="auto"/>
        </w:rPr>
        <w:t>”). As of the date of this Lease, these exists a fitness center at the 5-9</w:t>
      </w:r>
      <w:r>
        <w:rPr>
          <w:rFonts w:ascii="Arial" w:cs="Arial" w:eastAsia="Arial" w:hAnsi="Arial"/>
          <w:sz w:val="17"/>
          <w:szCs w:val="17"/>
          <w:b w:val="1"/>
          <w:bCs w:val="1"/>
          <w:color w:val="auto"/>
        </w:rPr>
        <w:t xml:space="preserve"> </w:t>
      </w:r>
      <w:r>
        <w:rPr>
          <w:rFonts w:ascii="Arial" w:cs="Arial" w:eastAsia="Arial" w:hAnsi="Arial"/>
          <w:sz w:val="17"/>
          <w:szCs w:val="17"/>
          <w:color w:val="auto"/>
        </w:rPr>
        <w:t>Lab Project (the “</w:t>
      </w:r>
      <w:r>
        <w:rPr>
          <w:rFonts w:ascii="Arial" w:cs="Arial" w:eastAsia="Arial" w:hAnsi="Arial"/>
          <w:sz w:val="17"/>
          <w:szCs w:val="17"/>
          <w:b w:val="1"/>
          <w:bCs w:val="1"/>
          <w:color w:val="auto"/>
        </w:rPr>
        <w:t>5-9 Lab Fitness Center</w:t>
      </w:r>
      <w:r>
        <w:rPr>
          <w:rFonts w:ascii="Arial" w:cs="Arial" w:eastAsia="Arial" w:hAnsi="Arial"/>
          <w:sz w:val="17"/>
          <w:szCs w:val="17"/>
          <w:color w:val="auto"/>
        </w:rPr>
        <w:t>”) and, it is anticipated that as of the Rent Commencement Date, a food amenity will existing at the 5-9 Lab Project (“</w:t>
      </w:r>
      <w:r>
        <w:rPr>
          <w:rFonts w:ascii="Arial" w:cs="Arial" w:eastAsia="Arial" w:hAnsi="Arial"/>
          <w:sz w:val="17"/>
          <w:szCs w:val="17"/>
          <w:b w:val="1"/>
          <w:bCs w:val="1"/>
          <w:color w:val="auto"/>
        </w:rPr>
        <w:t>5-9 Lab Food Amenity</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ind w:right="120" w:firstLine="825"/>
        <w:spacing w:after="0" w:line="242" w:lineRule="auto"/>
        <w:tabs>
          <w:tab w:leader="none" w:pos="2358"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License</w:t>
      </w:r>
      <w:r>
        <w:rPr>
          <w:rFonts w:ascii="Arial" w:cs="Arial" w:eastAsia="Arial" w:hAnsi="Arial"/>
          <w:sz w:val="17"/>
          <w:szCs w:val="17"/>
          <w:color w:val="auto"/>
        </w:rPr>
        <w:t>. So long as the 5-9 Lab Project and the Project continue to be owned by affiliates of Alexandria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Equities, Inc., to the extent that the Project Amenities Availability Date has not occurred with respect to the Food Amenity and Fitness Center as of the Rent Commencement then, through Project Amenities Availability Date, Tenant shall have the non-exclusive right (i) to use the then-existing 5-9 Lab Food Amenity, and (ii) subject to sufficient capacity being available, to up to 25 passes to the 5-9 Lab Fitness Center. Notwithstanding anything to the contrary contained herein, Tenant shall have no further rights to use the 5-9 Lab Food Amenity or the 5-9 Lab Fitness Center following the Project Amenities Availability Date.</w:t>
      </w:r>
    </w:p>
    <w:p>
      <w:pPr>
        <w:spacing w:after="0" w:line="171" w:lineRule="exact"/>
        <w:rPr>
          <w:rFonts w:ascii="Arial" w:cs="Arial" w:eastAsia="Arial" w:hAnsi="Arial"/>
          <w:sz w:val="17"/>
          <w:szCs w:val="17"/>
          <w:color w:val="auto"/>
        </w:rPr>
      </w:pPr>
    </w:p>
    <w:p>
      <w:pPr>
        <w:ind w:right="140" w:firstLine="825"/>
        <w:spacing w:after="0" w:line="256" w:lineRule="auto"/>
        <w:tabs>
          <w:tab w:leader="none" w:pos="2348"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be solely responsible for paying for any and all purchases made at the 5-9</w:t>
      </w:r>
      <w:r>
        <w:rPr>
          <w:rFonts w:ascii="Arial" w:cs="Arial" w:eastAsia="Arial" w:hAnsi="Arial"/>
          <w:sz w:val="16"/>
          <w:szCs w:val="16"/>
          <w:b w:val="1"/>
          <w:bCs w:val="1"/>
          <w:color w:val="auto"/>
        </w:rPr>
        <w:t xml:space="preserve"> </w:t>
      </w:r>
      <w:r>
        <w:rPr>
          <w:rFonts w:ascii="Arial" w:cs="Arial" w:eastAsia="Arial" w:hAnsi="Arial"/>
          <w:sz w:val="16"/>
          <w:szCs w:val="16"/>
          <w:color w:val="auto"/>
        </w:rPr>
        <w:t>Lab Food Amenity and for any ancillary services provided in connection with Tenant’s use of the 5-9 Lab Fitness Center (i.e., personal training, fitness classes, etc.). Tenant shall use the 5-9 Lab Food Amenity or the 5-9 Lab Fitness Center in compliance with all applicable Legal Requirements and any rules and regulations imposed by the 5-9 Lab Landlord, or Landlord from time to time and in a manner that will not interfere with the rights of other users. The use of the 5-9 Lab Fitness Center by employees of Tenant shall be in accordance with the terms and conditions of the standard licenses, indemnification and waiver agreement required by the 5-9 Lab Landlord or any operator of the 5-9 Lab Fitness Center to be executed by all persons wishing to use such 5-9 Lab Fitness Center. 5 Lab Landlord shall have no any liability or obligation for the breach of any rules or regulations by other users with respect to the 5-9 Lab Food Amenity or the 5-9 Lab Fitness Center. Tenant shall not make any alterations, additions, or improvements of any kind to any of the 5-9 Lab Food Amenity, the 5-9 Lab Fitness Center or the 5-9 Lab Project.</w:t>
      </w:r>
    </w:p>
    <w:p>
      <w:pPr>
        <w:spacing w:after="0" w:line="183" w:lineRule="exact"/>
        <w:rPr>
          <w:sz w:val="20"/>
          <w:szCs w:val="20"/>
          <w:color w:val="auto"/>
        </w:rPr>
      </w:pPr>
    </w:p>
    <w:p>
      <w:pPr>
        <w:jc w:val="both"/>
        <w:ind w:right="140" w:firstLine="822"/>
        <w:spacing w:after="0" w:line="239" w:lineRule="auto"/>
        <w:rPr>
          <w:sz w:val="20"/>
          <w:szCs w:val="20"/>
          <w:color w:val="auto"/>
        </w:rPr>
      </w:pPr>
      <w:r>
        <w:rPr>
          <w:rFonts w:ascii="Arial" w:cs="Arial" w:eastAsia="Arial" w:hAnsi="Arial"/>
          <w:sz w:val="17"/>
          <w:szCs w:val="17"/>
          <w:color w:val="auto"/>
        </w:rPr>
        <w:t xml:space="preserve">Provided the same shall not affect Landlord’s obligations with respect to the Food Amenity and Fitness Center as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Lease, Tenant acknowledges and agrees that the 5-9 Lab Landlord shall have the right at any time and from time to time to reconfigure, relocate, modify or remove the 5 -9 Lab Food Amenity or the 5-9 Lab Fitness Center, and/or to revise, expand or discontinue any of the services (if any) provided in connection with the 5-9 Lab Food Amenity or the 5-9 Lab Fitness Center.</w:t>
      </w:r>
    </w:p>
    <w:p>
      <w:pPr>
        <w:spacing w:after="0" w:line="172" w:lineRule="exact"/>
        <w:rPr>
          <w:sz w:val="20"/>
          <w:szCs w:val="20"/>
          <w:color w:val="auto"/>
        </w:rPr>
      </w:pPr>
    </w:p>
    <w:p>
      <w:pPr>
        <w:ind w:right="120" w:firstLine="825"/>
        <w:spacing w:after="0" w:line="239" w:lineRule="auto"/>
        <w:tabs>
          <w:tab w:leader="none" w:pos="2358"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Waiver of Liability and Indemnification</w:t>
      </w:r>
      <w:r>
        <w:rPr>
          <w:rFonts w:ascii="Arial" w:cs="Arial" w:eastAsia="Arial" w:hAnsi="Arial"/>
          <w:sz w:val="17"/>
          <w:szCs w:val="17"/>
          <w:color w:val="auto"/>
        </w:rPr>
        <w:t>. Tenant warrants that it will use reasonable care to prevent damage to</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and injury to persons while on 5-9 Laboratory Project. Tenant waives any claims it or any Tenant Parties may have against Landlord, the 5-9 Laboratory Landlord, Alexandria Real Estate Equities, Inc., and all affiliates of Landlord, the 5-9 Laboratory Landlord and Alexandria Real Estate Equities, Inc. (collectively, the “</w:t>
      </w:r>
      <w:r>
        <w:rPr>
          <w:rFonts w:ascii="Arial" w:cs="Arial" w:eastAsia="Arial" w:hAnsi="Arial"/>
          <w:sz w:val="17"/>
          <w:szCs w:val="17"/>
          <w:b w:val="1"/>
          <w:bCs w:val="1"/>
          <w:color w:val="auto"/>
        </w:rPr>
        <w:t>ARE Parties</w:t>
      </w:r>
      <w:r>
        <w:rPr>
          <w:rFonts w:ascii="Arial" w:cs="Arial" w:eastAsia="Arial" w:hAnsi="Arial"/>
          <w:sz w:val="17"/>
          <w:szCs w:val="17"/>
          <w:color w:val="auto"/>
        </w:rPr>
        <w:t>”) relating to, arising out of or in connection with the use by Tenant and/or any Tenant Parties of the 5-9 Lab Food Amenity or the 5-9 Lab Fitness Center and any entry by Tenant and/or any Tenant Parties onto 5-9 Laboratory Project, and Tenant releases and exculpates all ARE Parties from any liability relating to, arising out of or in connection with the 5-9 Lab Food Amenity or the 5-9 Lab Fitness Center and any entry by Tenant and/or any Tenant Parties onto 5-9 Laboratory Project. Tenant hereby agrees to indemnify, defend, and hold harmless the ARE Parties from any claim of damage to property or injury to person relating to, arising out of or in connection with (i) the use of the 5-9 Lab Food Amenity or the 5-9 Lab Fitness Center by Tenant or any Tenant Parties, and (ii) any entry by Tenant and/or any Tenant Parties onto 5-9 Laboratory Project, except to the extent caused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448310</wp:posOffset>
            </wp:positionV>
            <wp:extent cx="715581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00"/>
          </w:cols>
          <w:pgMar w:left="46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240"/>
        <w:spacing w:after="0" w:line="245" w:lineRule="auto"/>
        <w:rPr>
          <w:sz w:val="20"/>
          <w:szCs w:val="20"/>
          <w:color w:val="auto"/>
        </w:rPr>
      </w:pPr>
      <w:r>
        <w:rPr>
          <w:rFonts w:ascii="Arial" w:cs="Arial" w:eastAsia="Arial" w:hAnsi="Arial"/>
          <w:sz w:val="17"/>
          <w:szCs w:val="17"/>
          <w:color w:val="auto"/>
        </w:rPr>
        <w:t xml:space="preserve">by the willful misconduct or negligence of any ARE Party. The provisions of this </w:t>
      </w:r>
      <w:r>
        <w:rPr>
          <w:rFonts w:ascii="Arial" w:cs="Arial" w:eastAsia="Arial" w:hAnsi="Arial"/>
          <w:sz w:val="17"/>
          <w:szCs w:val="17"/>
          <w:u w:val="single" w:color="auto"/>
          <w:color w:val="auto"/>
        </w:rPr>
        <w:t>Section 40(d)</w:t>
      </w:r>
      <w:r>
        <w:rPr>
          <w:rFonts w:ascii="Arial" w:cs="Arial" w:eastAsia="Arial" w:hAnsi="Arial"/>
          <w:sz w:val="17"/>
          <w:szCs w:val="17"/>
          <w:color w:val="auto"/>
        </w:rPr>
        <w:t xml:space="preserve"> shall survive the expiration or earlier termination of this Lease.</w:t>
      </w:r>
    </w:p>
    <w:p>
      <w:pPr>
        <w:spacing w:after="0" w:line="169" w:lineRule="exact"/>
        <w:rPr>
          <w:sz w:val="20"/>
          <w:szCs w:val="20"/>
          <w:color w:val="auto"/>
        </w:rPr>
      </w:pPr>
    </w:p>
    <w:p>
      <w:pPr>
        <w:ind w:left="80" w:right="280" w:firstLine="825"/>
        <w:spacing w:after="0" w:line="247" w:lineRule="auto"/>
        <w:tabs>
          <w:tab w:leader="none" w:pos="2438"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As of the Rent Commencement Date, Tenant shall cause the 5-9 Laboratory Landlord to be named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additional insured under the commercial general liability policy of insurance that Tenant is required to maintain pursuant to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of this Lease. The requirements under this </w:t>
      </w:r>
      <w:r>
        <w:rPr>
          <w:rFonts w:ascii="Arial" w:cs="Arial" w:eastAsia="Arial" w:hAnsi="Arial"/>
          <w:sz w:val="17"/>
          <w:szCs w:val="17"/>
          <w:u w:val="single" w:color="auto"/>
          <w:color w:val="auto"/>
        </w:rPr>
        <w:t>Section 40(e)</w:t>
      </w:r>
      <w:r>
        <w:rPr>
          <w:rFonts w:ascii="Arial" w:cs="Arial" w:eastAsia="Arial" w:hAnsi="Arial"/>
          <w:sz w:val="17"/>
          <w:szCs w:val="17"/>
          <w:color w:val="auto"/>
        </w:rPr>
        <w:t xml:space="preserve"> shall terminate as of the date that Tenant no longer has access to the 5-9 Lab Food Amenity or the 5-9 Lab Fitness Center pursuant to </w:t>
      </w:r>
      <w:r>
        <w:rPr>
          <w:rFonts w:ascii="Arial" w:cs="Arial" w:eastAsia="Arial" w:hAnsi="Arial"/>
          <w:sz w:val="17"/>
          <w:szCs w:val="17"/>
          <w:u w:val="single" w:color="auto"/>
          <w:color w:val="auto"/>
        </w:rPr>
        <w:t>Section 40(b)</w:t>
      </w:r>
      <w:r>
        <w:rPr>
          <w:rFonts w:ascii="Arial" w:cs="Arial" w:eastAsia="Arial" w:hAnsi="Arial"/>
          <w:sz w:val="17"/>
          <w:szCs w:val="17"/>
          <w:color w:val="auto"/>
        </w:rPr>
        <w:t>.</w:t>
      </w:r>
    </w:p>
    <w:p>
      <w:pPr>
        <w:spacing w:after="0" w:line="154" w:lineRule="exact"/>
        <w:rPr>
          <w:sz w:val="20"/>
          <w:szCs w:val="20"/>
          <w:color w:val="auto"/>
        </w:rPr>
      </w:pPr>
    </w:p>
    <w:p>
      <w:pPr>
        <w:ind w:left="80" w:right="240" w:firstLine="825"/>
        <w:spacing w:after="0" w:line="242" w:lineRule="auto"/>
        <w:tabs>
          <w:tab w:leader="none" w:pos="2467" w:val="left"/>
        </w:tabs>
        <w:numPr>
          <w:ilvl w:val="0"/>
          <w:numId w:val="129"/>
        </w:numPr>
        <w:rPr>
          <w:rFonts w:ascii="Arial" w:cs="Arial" w:eastAsia="Arial" w:hAnsi="Arial"/>
          <w:sz w:val="17"/>
          <w:szCs w:val="17"/>
          <w:color w:val="auto"/>
        </w:rPr>
      </w:pPr>
      <w:r>
        <w:rPr>
          <w:rFonts w:ascii="Arial" w:cs="Arial" w:eastAsia="Arial" w:hAnsi="Arial"/>
          <w:sz w:val="17"/>
          <w:szCs w:val="17"/>
          <w:b w:val="1"/>
          <w:bCs w:val="1"/>
          <w:u w:val="single" w:color="auto"/>
          <w:color w:val="auto"/>
        </w:rPr>
        <w:t>Roof Equipment</w:t>
      </w:r>
      <w:r>
        <w:rPr>
          <w:rFonts w:ascii="Arial" w:cs="Arial" w:eastAsia="Arial" w:hAnsi="Arial"/>
          <w:sz w:val="17"/>
          <w:szCs w:val="17"/>
          <w:color w:val="auto"/>
        </w:rPr>
        <w:t>. Tenant shall have the right, at its sole cost and expense (but no obligation to pay Base Rent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Operating Expenses), subject to compliance with all Legal Requirements, to install, maintain, and remove on the top of the roof of the Building one or more satellite dishes, communication antennae for the transmission or reception of communication of signals as Tenant may from time to time desire, solar panels or other equipment (which other equipment may, subject to the terms and conditions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the Work Letter include mechanical penthouses including, but not limited to, a chiller plan, boiler plant and/or supplemental HVAC) (all of which having a diameter and height acceptable to Landlord) (collectively, the “</w:t>
      </w:r>
      <w:r>
        <w:rPr>
          <w:rFonts w:ascii="Arial" w:cs="Arial" w:eastAsia="Arial" w:hAnsi="Arial"/>
          <w:sz w:val="17"/>
          <w:szCs w:val="17"/>
          <w:b w:val="1"/>
          <w:bCs w:val="1"/>
          <w:color w:val="auto"/>
        </w:rPr>
        <w:t>Roof Equipment</w:t>
      </w:r>
      <w:r>
        <w:rPr>
          <w:rFonts w:ascii="Arial" w:cs="Arial" w:eastAsia="Arial" w:hAnsi="Arial"/>
          <w:sz w:val="17"/>
          <w:szCs w:val="17"/>
          <w:color w:val="auto"/>
        </w:rPr>
        <w:t>”) on the following terms and conditions:</w:t>
      </w:r>
    </w:p>
    <w:p>
      <w:pPr>
        <w:spacing w:after="0" w:line="172" w:lineRule="exact"/>
        <w:rPr>
          <w:sz w:val="20"/>
          <w:szCs w:val="20"/>
          <w:color w:val="auto"/>
        </w:rPr>
      </w:pPr>
    </w:p>
    <w:p>
      <w:pPr>
        <w:ind w:left="80" w:right="120" w:firstLine="825"/>
        <w:spacing w:after="0" w:line="239" w:lineRule="auto"/>
        <w:tabs>
          <w:tab w:leader="none" w:pos="2438" w:val="left"/>
        </w:tabs>
        <w:numPr>
          <w:ilvl w:val="1"/>
          <w:numId w:val="130"/>
        </w:numPr>
        <w:rPr>
          <w:rFonts w:ascii="Arial" w:cs="Arial" w:eastAsia="Arial" w:hAnsi="Arial"/>
          <w:sz w:val="17"/>
          <w:szCs w:val="17"/>
          <w:color w:val="auto"/>
        </w:rPr>
      </w:pPr>
      <w:r>
        <w:rPr>
          <w:rFonts w:ascii="Arial" w:cs="Arial" w:eastAsia="Arial" w:hAnsi="Arial"/>
          <w:sz w:val="17"/>
          <w:szCs w:val="17"/>
          <w:b w:val="1"/>
          <w:bCs w:val="1"/>
          <w:color w:val="auto"/>
        </w:rPr>
        <w:t>Requirements</w:t>
      </w:r>
      <w:r>
        <w:rPr>
          <w:rFonts w:ascii="Arial" w:cs="Arial" w:eastAsia="Arial" w:hAnsi="Arial"/>
          <w:sz w:val="17"/>
          <w:szCs w:val="17"/>
          <w:color w:val="auto"/>
        </w:rPr>
        <w:t>. Tenant shall submit to Landlord (i) the plans and specifications for the installation of the Roof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Equipment, (ii) copies of all 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Landlord may reasonably withhold its approval if the installation or operation of the Roof Equipment (A) may damage the structural integrity of the Building, (B) may void, terminate, or invalidate any applicable roof warranty, (C) may adversely interfere with any service provided by Landlord for the Building, (D) may reduce the leasable space in the Building, or (E) is not properly screened from the viewing public.</w:t>
      </w:r>
    </w:p>
    <w:p>
      <w:pPr>
        <w:spacing w:after="0" w:line="177" w:lineRule="exact"/>
        <w:rPr>
          <w:rFonts w:ascii="Arial" w:cs="Arial" w:eastAsia="Arial" w:hAnsi="Arial"/>
          <w:sz w:val="17"/>
          <w:szCs w:val="17"/>
          <w:color w:val="auto"/>
        </w:rPr>
      </w:pPr>
    </w:p>
    <w:p>
      <w:pPr>
        <w:ind w:left="780" w:right="280" w:hanging="776"/>
        <w:spacing w:after="0" w:line="238" w:lineRule="auto"/>
        <w:tabs>
          <w:tab w:leader="none" w:pos="1542"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No Damage to Roof</w:t>
      </w:r>
      <w:r>
        <w:rPr>
          <w:rFonts w:ascii="Arial" w:cs="Arial" w:eastAsia="Arial" w:hAnsi="Arial"/>
          <w:sz w:val="17"/>
          <w:szCs w:val="17"/>
          <w:color w:val="auto"/>
        </w:rPr>
        <w:t>. If installation of the Roof Equipment requires Tenant to make any roof cuts or perform any other roofing</w:t>
      </w:r>
      <w:r>
        <w:rPr>
          <w:rFonts w:ascii="Arial" w:cs="Arial" w:eastAsia="Arial" w:hAnsi="Arial"/>
          <w:sz w:val="17"/>
          <w:szCs w:val="17"/>
          <w:b w:val="1"/>
          <w:bCs w:val="1"/>
          <w:color w:val="auto"/>
        </w:rPr>
        <w:t xml:space="preserve"> </w:t>
      </w:r>
      <w:r>
        <w:rPr>
          <w:rFonts w:ascii="Arial" w:cs="Arial" w:eastAsia="Arial" w:hAnsi="Arial"/>
          <w:sz w:val="17"/>
          <w:szCs w:val="17"/>
          <w:color w:val="auto"/>
        </w:rPr>
        <w:t>work, such cuts shall only be made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ten (10) 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spacing w:after="0" w:line="180" w:lineRule="exact"/>
        <w:rPr>
          <w:rFonts w:ascii="Arial" w:cs="Arial" w:eastAsia="Arial" w:hAnsi="Arial"/>
          <w:sz w:val="17"/>
          <w:szCs w:val="17"/>
          <w:color w:val="auto"/>
        </w:rPr>
      </w:pPr>
    </w:p>
    <w:p>
      <w:pPr>
        <w:ind w:left="780" w:right="320" w:hanging="776"/>
        <w:spacing w:after="0" w:line="247" w:lineRule="auto"/>
        <w:tabs>
          <w:tab w:leader="none" w:pos="1542"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Protection</w:t>
      </w:r>
      <w:r>
        <w:rPr>
          <w:rFonts w:ascii="Arial" w:cs="Arial" w:eastAsia="Arial" w:hAnsi="Arial"/>
          <w:sz w:val="17"/>
          <w:szCs w:val="17"/>
          <w:color w:val="auto"/>
        </w:rPr>
        <w:t>. The installation, operation, and removal of the Roof Equipment shall be at Tenant’s sole risk.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indemnify, defend, and 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pacing w:after="0" w:line="166" w:lineRule="exact"/>
        <w:rPr>
          <w:rFonts w:ascii="Arial" w:cs="Arial" w:eastAsia="Arial" w:hAnsi="Arial"/>
          <w:sz w:val="17"/>
          <w:szCs w:val="17"/>
          <w:color w:val="auto"/>
        </w:rPr>
      </w:pPr>
    </w:p>
    <w:p>
      <w:pPr>
        <w:ind w:left="780" w:right="660" w:hanging="776"/>
        <w:spacing w:after="0" w:line="270" w:lineRule="auto"/>
        <w:tabs>
          <w:tab w:leader="none" w:pos="1540"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Removal</w:t>
      </w:r>
      <w:r>
        <w:rPr>
          <w:rFonts w:ascii="Arial" w:cs="Arial" w:eastAsia="Arial" w:hAnsi="Arial"/>
          <w:sz w:val="17"/>
          <w:szCs w:val="17"/>
          <w:color w:val="auto"/>
        </w:rPr>
        <w:t>. At the expiration or earlier termination of this Lease or the discontinuance of the use of the Roof Equipment by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Tenant shall, at its sole cost and expense, remove the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431800</wp:posOffset>
            </wp:positionV>
            <wp:extent cx="715581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0" w:right="120"/>
        <w:spacing w:after="0" w:line="239" w:lineRule="auto"/>
        <w:rPr>
          <w:sz w:val="20"/>
          <w:szCs w:val="20"/>
          <w:color w:val="auto"/>
        </w:rPr>
      </w:pPr>
      <w:r>
        <w:rPr>
          <w:rFonts w:ascii="Arial" w:cs="Arial" w:eastAsia="Arial" w:hAnsi="Arial"/>
          <w:sz w:val="17"/>
          <w:szCs w:val="17"/>
          <w:color w:val="auto"/>
        </w:rPr>
        <w:t>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172" w:lineRule="exact"/>
        <w:rPr>
          <w:sz w:val="20"/>
          <w:szCs w:val="20"/>
          <w:color w:val="auto"/>
        </w:rPr>
      </w:pPr>
    </w:p>
    <w:p>
      <w:pPr>
        <w:ind w:left="780" w:right="380" w:hanging="776"/>
        <w:spacing w:after="0" w:line="270" w:lineRule="auto"/>
        <w:tabs>
          <w:tab w:leader="none" w:pos="154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Access</w:t>
      </w:r>
      <w:r>
        <w:rPr>
          <w:rFonts w:ascii="Arial" w:cs="Arial" w:eastAsia="Arial" w:hAnsi="Arial"/>
          <w:sz w:val="17"/>
          <w:szCs w:val="17"/>
          <w:color w:val="auto"/>
        </w:rPr>
        <w:t>. Landlord grants to Tenant the right of ingress and egress on a 24 hour 7 day per week basis to install, operate,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the Roof Equipment.</w:t>
      </w:r>
    </w:p>
    <w:p>
      <w:pPr>
        <w:spacing w:after="0" w:line="147" w:lineRule="exact"/>
        <w:rPr>
          <w:rFonts w:ascii="Arial" w:cs="Arial" w:eastAsia="Arial" w:hAnsi="Arial"/>
          <w:sz w:val="17"/>
          <w:szCs w:val="17"/>
          <w:color w:val="auto"/>
        </w:rPr>
      </w:pPr>
    </w:p>
    <w:p>
      <w:pPr>
        <w:ind w:left="780" w:right="440" w:hanging="776"/>
        <w:spacing w:after="0" w:line="270" w:lineRule="auto"/>
        <w:tabs>
          <w:tab w:leader="none" w:pos="154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Appearance</w:t>
      </w:r>
      <w:r>
        <w:rPr>
          <w:rFonts w:ascii="Arial" w:cs="Arial" w:eastAsia="Arial" w:hAnsi="Arial"/>
          <w:sz w:val="17"/>
          <w:szCs w:val="17"/>
          <w:color w:val="auto"/>
        </w:rPr>
        <w:t>. If permissible by Legal Requirements, the Roof Equipment shall be painted the same color as the Building so</w:t>
      </w:r>
      <w:r>
        <w:rPr>
          <w:rFonts w:ascii="Arial" w:cs="Arial" w:eastAsia="Arial" w:hAnsi="Arial"/>
          <w:sz w:val="17"/>
          <w:szCs w:val="17"/>
          <w:b w:val="1"/>
          <w:bCs w:val="1"/>
          <w:color w:val="auto"/>
        </w:rPr>
        <w:t xml:space="preserve"> </w:t>
      </w:r>
      <w:r>
        <w:rPr>
          <w:rFonts w:ascii="Arial" w:cs="Arial" w:eastAsia="Arial" w:hAnsi="Arial"/>
          <w:sz w:val="17"/>
          <w:szCs w:val="17"/>
          <w:color w:val="auto"/>
        </w:rPr>
        <w:t>as to render the Roof Equipment virtually invisible from ground level.</w:t>
      </w:r>
    </w:p>
    <w:p>
      <w:pPr>
        <w:spacing w:after="0" w:line="148" w:lineRule="exact"/>
        <w:rPr>
          <w:sz w:val="20"/>
          <w:szCs w:val="20"/>
          <w:color w:val="auto"/>
        </w:rPr>
      </w:pPr>
    </w:p>
    <w:p>
      <w:pPr>
        <w:jc w:val="both"/>
        <w:ind w:left="780" w:right="380" w:hanging="776"/>
        <w:spacing w:after="0" w:line="247" w:lineRule="auto"/>
        <w:tabs>
          <w:tab w:leader="none" w:pos="1542"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No Assignment</w:t>
      </w:r>
      <w:r>
        <w:rPr>
          <w:rFonts w:ascii="Arial" w:cs="Arial" w:eastAsia="Arial" w:hAnsi="Arial"/>
          <w:sz w:val="17"/>
          <w:szCs w:val="17"/>
          <w:color w:val="auto"/>
        </w:rPr>
        <w:t>. Tenant shall not assign, convey, or otherwise transfer to any person or entity any right, title or interest in all</w:t>
      </w:r>
      <w:r>
        <w:rPr>
          <w:rFonts w:ascii="Arial" w:cs="Arial" w:eastAsia="Arial" w:hAnsi="Arial"/>
          <w:sz w:val="17"/>
          <w:szCs w:val="17"/>
          <w:b w:val="1"/>
          <w:bCs w:val="1"/>
          <w:color w:val="auto"/>
        </w:rPr>
        <w:t xml:space="preserve"> </w:t>
      </w:r>
      <w:r>
        <w:rPr>
          <w:rFonts w:ascii="Arial" w:cs="Arial" w:eastAsia="Arial" w:hAnsi="Arial"/>
          <w:sz w:val="17"/>
          <w:szCs w:val="17"/>
          <w:color w:val="auto"/>
        </w:rPr>
        <w:t>or any portion of the Roof Equipment or the use and operation thereof other than in connection with an assignment of Tenant’s interest in this Lease, which, for the avoidance of doubt, would include subleases, licenses, and other agreements to use or occupy all or any portion of the Premises.</w:t>
      </w:r>
    </w:p>
    <w:p>
      <w:pPr>
        <w:spacing w:after="0" w:line="166" w:lineRule="exact"/>
        <w:rPr>
          <w:rFonts w:ascii="Arial" w:cs="Arial" w:eastAsia="Arial" w:hAnsi="Arial"/>
          <w:sz w:val="17"/>
          <w:szCs w:val="17"/>
          <w:color w:val="auto"/>
        </w:rPr>
      </w:pPr>
    </w:p>
    <w:p>
      <w:pPr>
        <w:ind w:left="1760" w:hanging="847"/>
        <w:spacing w:after="0"/>
        <w:tabs>
          <w:tab w:leader="none" w:pos="176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01" w:lineRule="exact"/>
        <w:rPr>
          <w:sz w:val="20"/>
          <w:szCs w:val="20"/>
          <w:color w:val="auto"/>
        </w:rPr>
      </w:pPr>
    </w:p>
    <w:p>
      <w:pPr>
        <w:ind w:left="780" w:right="400" w:hanging="776"/>
        <w:spacing w:after="0" w:line="247" w:lineRule="auto"/>
        <w:tabs>
          <w:tab w:leader="none" w:pos="1542" w:val="left"/>
        </w:tabs>
        <w:numPr>
          <w:ilvl w:val="0"/>
          <w:numId w:val="134"/>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or other communications between the parties shall be in writing and shall be deemed duly given upon</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66" w:lineRule="exact"/>
        <w:rPr>
          <w:rFonts w:ascii="Arial" w:cs="Arial" w:eastAsia="Arial" w:hAnsi="Arial"/>
          <w:sz w:val="17"/>
          <w:szCs w:val="17"/>
          <w:color w:val="auto"/>
        </w:rPr>
      </w:pPr>
    </w:p>
    <w:p>
      <w:pPr>
        <w:ind w:left="80" w:right="540" w:firstLine="825"/>
        <w:spacing w:after="0" w:line="270" w:lineRule="auto"/>
        <w:tabs>
          <w:tab w:leader="none" w:pos="2436" w:val="left"/>
        </w:tabs>
        <w:numPr>
          <w:ilvl w:val="1"/>
          <w:numId w:val="134"/>
        </w:numPr>
        <w:rPr>
          <w:rFonts w:ascii="Arial" w:cs="Arial" w:eastAsia="Arial" w:hAnsi="Arial"/>
          <w:sz w:val="17"/>
          <w:szCs w:val="17"/>
          <w:color w:val="auto"/>
        </w:rPr>
      </w:pPr>
      <w:r>
        <w:rPr>
          <w:rFonts w:ascii="Arial" w:cs="Arial" w:eastAsia="Arial" w:hAnsi="Arial"/>
          <w:sz w:val="17"/>
          <w:szCs w:val="17"/>
          <w:b w:val="1"/>
          <w:bCs w:val="1"/>
          <w:color w:val="auto"/>
        </w:rPr>
        <w:t>Joint and Several Liability</w:t>
      </w:r>
      <w:r>
        <w:rPr>
          <w:rFonts w:ascii="Arial" w:cs="Arial" w:eastAsia="Arial" w:hAnsi="Arial"/>
          <w:sz w:val="17"/>
          <w:szCs w:val="17"/>
          <w:color w:val="auto"/>
        </w:rPr>
        <w:t>. If and when included within the term “</w:t>
      </w:r>
      <w:r>
        <w:rPr>
          <w:rFonts w:ascii="Arial" w:cs="Arial" w:eastAsia="Arial" w:hAnsi="Arial"/>
          <w:sz w:val="17"/>
          <w:szCs w:val="17"/>
          <w:b w:val="1"/>
          <w:bCs w:val="1"/>
          <w:color w:val="auto"/>
        </w:rPr>
        <w:t>Tenant</w:t>
      </w:r>
      <w:r>
        <w:rPr>
          <w:rFonts w:ascii="Arial" w:cs="Arial" w:eastAsia="Arial" w:hAnsi="Arial"/>
          <w:sz w:val="17"/>
          <w:szCs w:val="17"/>
          <w:color w:val="auto"/>
        </w:rPr>
        <w:t>,” as used in this instrument, there is</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one person or entity, each shall be jointly and severally liable for the obligations of Tenant.</w:t>
      </w:r>
    </w:p>
    <w:p>
      <w:pPr>
        <w:spacing w:after="0" w:line="147" w:lineRule="exact"/>
        <w:rPr>
          <w:rFonts w:ascii="Arial" w:cs="Arial" w:eastAsia="Arial" w:hAnsi="Arial"/>
          <w:sz w:val="17"/>
          <w:szCs w:val="17"/>
          <w:color w:val="auto"/>
        </w:rPr>
      </w:pPr>
    </w:p>
    <w:p>
      <w:pPr>
        <w:ind w:left="80" w:right="200" w:firstLine="825"/>
        <w:spacing w:after="0"/>
        <w:tabs>
          <w:tab w:leader="none" w:pos="2428" w:val="left"/>
        </w:tabs>
        <w:numPr>
          <w:ilvl w:val="1"/>
          <w:numId w:val="134"/>
        </w:numPr>
        <w:rPr>
          <w:rFonts w:ascii="Arial" w:cs="Arial" w:eastAsia="Arial" w:hAnsi="Arial"/>
          <w:sz w:val="17"/>
          <w:szCs w:val="17"/>
          <w:color w:val="auto"/>
        </w:rPr>
      </w:pPr>
      <w:r>
        <w:rPr>
          <w:rFonts w:ascii="Arial" w:cs="Arial" w:eastAsia="Arial" w:hAnsi="Arial"/>
          <w:sz w:val="17"/>
          <w:szCs w:val="17"/>
          <w:b w:val="1"/>
          <w:bCs w:val="1"/>
          <w:color w:val="auto"/>
        </w:rPr>
        <w:t>Financial Information</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Upon written request from Landlord, Tenant shall furnish Landlord with true and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copies of (i) Tenant’s most recent audited annual financial statements within 90 days of the end of each of Tenant’s fiscal years during the Term, (ii) Tenant’s most recent unaudited quarterly financial statements within 45 days of the end of each of Tenant’s first three fiscal quarters of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So long as Tenant is a “public company” and its financial information is publicly available, then the foregoing delivery requirements of this </w:t>
      </w:r>
      <w:r>
        <w:rPr>
          <w:rFonts w:ascii="Arial" w:cs="Arial" w:eastAsia="Arial" w:hAnsi="Arial"/>
          <w:sz w:val="17"/>
          <w:szCs w:val="17"/>
          <w:u w:val="single" w:color="auto"/>
          <w:color w:val="auto"/>
        </w:rPr>
        <w:t>Section 43(c)</w:t>
      </w:r>
      <w:r>
        <w:rPr>
          <w:rFonts w:ascii="Arial" w:cs="Arial" w:eastAsia="Arial" w:hAnsi="Arial"/>
          <w:sz w:val="17"/>
          <w:szCs w:val="17"/>
          <w:color w:val="auto"/>
        </w:rPr>
        <w:t xml:space="preserve"> shall not apply.</w:t>
      </w:r>
    </w:p>
    <w:p>
      <w:pPr>
        <w:spacing w:after="0" w:line="148" w:lineRule="exact"/>
        <w:rPr>
          <w:sz w:val="20"/>
          <w:szCs w:val="20"/>
          <w:color w:val="auto"/>
        </w:rPr>
      </w:pPr>
    </w:p>
    <w:p>
      <w:pPr>
        <w:ind w:left="780" w:right="620" w:hanging="776"/>
        <w:spacing w:after="0" w:line="270" w:lineRule="auto"/>
        <w:tabs>
          <w:tab w:leader="none" w:pos="1542"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Recordation</w:t>
      </w:r>
      <w:r>
        <w:rPr>
          <w:rFonts w:ascii="Arial" w:cs="Arial" w:eastAsia="Arial" w:hAnsi="Arial"/>
          <w:sz w:val="17"/>
          <w:szCs w:val="17"/>
          <w:color w:val="auto"/>
        </w:rPr>
        <w:t>. Neither this Lease nor a memorandum of lease shall be filed by or on behalf of Tenant in any public record.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may prepare and file, and upon request by Landlord Tenant will execute, a memorandum of lease.</w:t>
      </w:r>
    </w:p>
    <w:p>
      <w:pPr>
        <w:spacing w:after="0" w:line="147" w:lineRule="exact"/>
        <w:rPr>
          <w:rFonts w:ascii="Arial" w:cs="Arial" w:eastAsia="Arial" w:hAnsi="Arial"/>
          <w:sz w:val="17"/>
          <w:szCs w:val="17"/>
          <w:color w:val="auto"/>
        </w:rPr>
      </w:pPr>
    </w:p>
    <w:p>
      <w:pPr>
        <w:ind w:left="780" w:right="320" w:hanging="776"/>
        <w:spacing w:after="0" w:line="244" w:lineRule="auto"/>
        <w:tabs>
          <w:tab w:leader="none" w:pos="1542"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Interpretation</w:t>
      </w:r>
      <w:r>
        <w:rPr>
          <w:rFonts w:ascii="Arial" w:cs="Arial" w:eastAsia="Arial" w:hAnsi="Arial"/>
          <w:sz w:val="17"/>
          <w:szCs w:val="17"/>
          <w:color w:val="auto"/>
        </w:rPr>
        <w:t>. The normal rule of construction to the effect that any ambiguities are to be resolved against the drafting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445135</wp:posOffset>
            </wp:positionV>
            <wp:extent cx="715581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780" w:right="400" w:hanging="776"/>
        <w:spacing w:after="0" w:line="252" w:lineRule="auto"/>
        <w:tabs>
          <w:tab w:leader="none" w:pos="154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Not Binding Until Executed</w:t>
      </w:r>
      <w:r>
        <w:rPr>
          <w:rFonts w:ascii="Arial" w:cs="Arial" w:eastAsia="Arial" w:hAnsi="Arial"/>
          <w:sz w:val="17"/>
          <w:szCs w:val="17"/>
          <w:color w:val="auto"/>
        </w:rPr>
        <w:t>. The submission by Landlord to Tenant of this Lease shall have no binding force or effect,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constitute an option for the leasing of the Premises, nor confer any right or impose any obligations upon either party until execution of this Lease by both parties.</w:t>
      </w:r>
    </w:p>
    <w:p>
      <w:pPr>
        <w:spacing w:after="0" w:line="163" w:lineRule="exact"/>
        <w:rPr>
          <w:rFonts w:ascii="Arial" w:cs="Arial" w:eastAsia="Arial" w:hAnsi="Arial"/>
          <w:sz w:val="17"/>
          <w:szCs w:val="17"/>
          <w:color w:val="auto"/>
        </w:rPr>
      </w:pPr>
    </w:p>
    <w:p>
      <w:pPr>
        <w:ind w:left="780" w:right="260" w:hanging="776"/>
        <w:spacing w:after="0"/>
        <w:tabs>
          <w:tab w:leader="none" w:pos="1542"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Limitations on Interest</w:t>
      </w:r>
      <w:r>
        <w:rPr>
          <w:rFonts w:ascii="Arial" w:cs="Arial" w:eastAsia="Arial" w:hAnsi="Arial"/>
          <w:sz w:val="17"/>
          <w:szCs w:val="17"/>
          <w:color w:val="auto"/>
        </w:rPr>
        <w:t>. It is expressly the intent of Landlord and Tenant at all times to comply with applicable law governing</w:t>
      </w:r>
      <w:r>
        <w:rPr>
          <w:rFonts w:ascii="Arial" w:cs="Arial" w:eastAsia="Arial" w:hAnsi="Arial"/>
          <w:sz w:val="17"/>
          <w:szCs w:val="17"/>
          <w:b w:val="1"/>
          <w:bCs w:val="1"/>
          <w:color w:val="auto"/>
        </w:rPr>
        <w:t xml:space="preserve"> </w:t>
      </w:r>
      <w:r>
        <w:rPr>
          <w:rFonts w:ascii="Arial" w:cs="Arial" w:eastAsia="Arial" w:hAnsi="Arial"/>
          <w:sz w:val="17"/>
          <w:szCs w:val="17"/>
          <w:color w:val="auto"/>
        </w:rPr>
        <w:t>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3" w:lineRule="exact"/>
        <w:rPr>
          <w:rFonts w:ascii="Arial" w:cs="Arial" w:eastAsia="Arial" w:hAnsi="Arial"/>
          <w:sz w:val="17"/>
          <w:szCs w:val="17"/>
          <w:color w:val="auto"/>
        </w:rPr>
      </w:pPr>
    </w:p>
    <w:p>
      <w:pPr>
        <w:ind w:left="780" w:right="700" w:hanging="776"/>
        <w:spacing w:after="0" w:line="270" w:lineRule="auto"/>
        <w:tabs>
          <w:tab w:leader="none" w:pos="154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Construction and interpretation of this Lease shall be governed by the internal laws of the State of North</w:t>
      </w:r>
      <w:r>
        <w:rPr>
          <w:rFonts w:ascii="Arial" w:cs="Arial" w:eastAsia="Arial" w:hAnsi="Arial"/>
          <w:sz w:val="17"/>
          <w:szCs w:val="17"/>
          <w:b w:val="1"/>
          <w:bCs w:val="1"/>
          <w:color w:val="auto"/>
        </w:rPr>
        <w:t xml:space="preserve"> </w:t>
      </w:r>
      <w:r>
        <w:rPr>
          <w:rFonts w:ascii="Arial" w:cs="Arial" w:eastAsia="Arial" w:hAnsi="Arial"/>
          <w:sz w:val="17"/>
          <w:szCs w:val="17"/>
          <w:color w:val="auto"/>
        </w:rPr>
        <w:t>Carolina, excluding any principles of conflicts of laws.</w:t>
      </w:r>
    </w:p>
    <w:p>
      <w:pPr>
        <w:spacing w:after="0" w:line="148" w:lineRule="exact"/>
        <w:rPr>
          <w:sz w:val="20"/>
          <w:szCs w:val="20"/>
          <w:color w:val="auto"/>
        </w:rPr>
      </w:pPr>
    </w:p>
    <w:p>
      <w:pPr>
        <w:ind w:left="1540" w:hanging="1536"/>
        <w:spacing w:after="0"/>
        <w:tabs>
          <w:tab w:leader="none" w:pos="154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Time</w:t>
      </w:r>
      <w:r>
        <w:rPr>
          <w:rFonts w:ascii="Arial" w:cs="Arial" w:eastAsia="Arial" w:hAnsi="Arial"/>
          <w:sz w:val="17"/>
          <w:szCs w:val="17"/>
          <w:color w:val="auto"/>
        </w:rPr>
        <w:t>. Time is of the essence as to the performance of Tenant’s and Landlord’s obligations under this Lease.</w:t>
      </w:r>
    </w:p>
    <w:p>
      <w:pPr>
        <w:spacing w:after="0" w:line="200" w:lineRule="exact"/>
        <w:rPr>
          <w:rFonts w:ascii="Arial" w:cs="Arial" w:eastAsia="Arial" w:hAnsi="Arial"/>
          <w:sz w:val="17"/>
          <w:szCs w:val="17"/>
          <w:color w:val="auto"/>
        </w:rPr>
      </w:pPr>
    </w:p>
    <w:p>
      <w:pPr>
        <w:ind w:left="1760" w:hanging="847"/>
        <w:spacing w:after="0"/>
        <w:tabs>
          <w:tab w:leader="none" w:pos="1760" w:val="left"/>
        </w:tabs>
        <w:numPr>
          <w:ilvl w:val="2"/>
          <w:numId w:val="137"/>
        </w:numPr>
        <w:rPr>
          <w:rFonts w:ascii="Arial" w:cs="Arial" w:eastAsia="Arial" w:hAnsi="Arial"/>
          <w:sz w:val="17"/>
          <w:szCs w:val="17"/>
          <w:color w:val="auto"/>
        </w:rPr>
      </w:pPr>
      <w:r>
        <w:rPr>
          <w:rFonts w:ascii="Arial" w:cs="Arial" w:eastAsia="Arial" w:hAnsi="Arial"/>
          <w:sz w:val="17"/>
          <w:szCs w:val="17"/>
          <w:b w:val="1"/>
          <w:bCs w:val="1"/>
          <w:color w:val="auto"/>
        </w:rPr>
        <w:t>OFAC</w:t>
      </w:r>
      <w:r>
        <w:rPr>
          <w:rFonts w:ascii="Arial" w:cs="Arial" w:eastAsia="Arial" w:hAnsi="Arial"/>
          <w:sz w:val="17"/>
          <w:szCs w:val="17"/>
          <w:color w:val="auto"/>
        </w:rPr>
        <w:t>. Tenant and, to Tenant’s knowledge, all beneficial owners of Tenant are currently</w:t>
      </w:r>
    </w:p>
    <w:p>
      <w:pPr>
        <w:spacing w:after="0" w:line="16" w:lineRule="exact"/>
        <w:rPr>
          <w:rFonts w:ascii="Arial" w:cs="Arial" w:eastAsia="Arial" w:hAnsi="Arial"/>
          <w:sz w:val="17"/>
          <w:szCs w:val="17"/>
          <w:color w:val="auto"/>
        </w:rPr>
      </w:pPr>
    </w:p>
    <w:p>
      <w:pPr>
        <w:ind w:left="80" w:right="160" w:firstLine="3"/>
        <w:spacing w:after="0" w:line="237" w:lineRule="auto"/>
        <w:tabs>
          <w:tab w:leader="none" w:pos="643"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compliance with and shall at all times during the Term of this Lease remain in compliance with the 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w:t>
      </w:r>
      <w:r>
        <w:rPr>
          <w:rFonts w:ascii="Arial" w:cs="Arial" w:eastAsia="Arial" w:hAnsi="Arial"/>
          <w:sz w:val="17"/>
          <w:szCs w:val="17"/>
          <w:color w:val="auto"/>
        </w:rPr>
        <w:t xml:space="preserve"> </w:t>
      </w:r>
      <w:r>
        <w:rPr>
          <w:rFonts w:ascii="Arial" w:cs="Arial" w:eastAsia="Arial" w:hAnsi="Arial"/>
          <w:sz w:val="17"/>
          <w:szCs w:val="17"/>
          <w:b w:val="1"/>
          <w:bCs w:val="1"/>
          <w:color w:val="auto"/>
        </w:rPr>
        <w:t>Rules</w:t>
      </w:r>
      <w:r>
        <w:rPr>
          <w:rFonts w:ascii="Arial" w:cs="Arial" w:eastAsia="Arial" w:hAnsi="Arial"/>
          <w:sz w:val="17"/>
          <w:szCs w:val="17"/>
          <w:color w:val="auto"/>
        </w:rPr>
        <w:t>”), (b) not listed on, and shall not during the term of this Lease be listed on, the Specially Designated Nationals and Blocked Persons List,</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6" w:lineRule="exact"/>
        <w:rPr>
          <w:rFonts w:ascii="Arial" w:cs="Arial" w:eastAsia="Arial" w:hAnsi="Arial"/>
          <w:sz w:val="17"/>
          <w:szCs w:val="17"/>
          <w:color w:val="auto"/>
        </w:rPr>
      </w:pPr>
    </w:p>
    <w:p>
      <w:pPr>
        <w:ind w:left="80" w:right="360" w:firstLine="825"/>
        <w:spacing w:after="0" w:line="252" w:lineRule="auto"/>
        <w:tabs>
          <w:tab w:leader="none" w:pos="2429" w:val="left"/>
        </w:tabs>
        <w:numPr>
          <w:ilvl w:val="2"/>
          <w:numId w:val="138"/>
        </w:numPr>
        <w:rPr>
          <w:rFonts w:ascii="Arial" w:cs="Arial" w:eastAsia="Arial" w:hAnsi="Arial"/>
          <w:sz w:val="17"/>
          <w:szCs w:val="17"/>
          <w:color w:val="auto"/>
        </w:rPr>
      </w:pPr>
      <w:r>
        <w:rPr>
          <w:rFonts w:ascii="Arial" w:cs="Arial" w:eastAsia="Arial" w:hAnsi="Arial"/>
          <w:sz w:val="17"/>
          <w:szCs w:val="17"/>
          <w:b w:val="1"/>
          <w:bCs w:val="1"/>
          <w:color w:val="auto"/>
        </w:rPr>
        <w:t>Incorporation by Reference</w:t>
      </w:r>
      <w:r>
        <w:rPr>
          <w:rFonts w:ascii="Arial" w:cs="Arial" w:eastAsia="Arial" w:hAnsi="Arial"/>
          <w:sz w:val="17"/>
          <w:szCs w:val="17"/>
          <w:color w:val="auto"/>
        </w:rPr>
        <w:t>. All exhibits and addenda attached hereto are hereby incorporated into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and made a part hereof. If there is any conflict between such exhibits or addenda and the terms of this Lease, such exhibits or addenda shall control (other than the Rules and Regulations attached hereto as Exhibit E, in which case this Lease shall control).</w:t>
      </w:r>
    </w:p>
    <w:p>
      <w:pPr>
        <w:spacing w:after="0" w:line="164" w:lineRule="exact"/>
        <w:rPr>
          <w:sz w:val="20"/>
          <w:szCs w:val="20"/>
          <w:color w:val="auto"/>
        </w:rPr>
      </w:pPr>
    </w:p>
    <w:p>
      <w:pPr>
        <w:ind w:left="780" w:right="280" w:hanging="776"/>
        <w:spacing w:after="0" w:line="244" w:lineRule="auto"/>
        <w:tabs>
          <w:tab w:leader="none" w:pos="1542" w:val="left"/>
        </w:tabs>
        <w:numPr>
          <w:ilvl w:val="0"/>
          <w:numId w:val="139"/>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Lease, including the exhibits attached hereto, constitutes the entire agreement between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69" w:lineRule="exact"/>
        <w:rPr>
          <w:rFonts w:ascii="Arial" w:cs="Arial" w:eastAsia="Arial" w:hAnsi="Arial"/>
          <w:sz w:val="17"/>
          <w:szCs w:val="17"/>
          <w:color w:val="auto"/>
        </w:rPr>
      </w:pPr>
    </w:p>
    <w:p>
      <w:pPr>
        <w:ind w:left="80" w:right="140" w:firstLine="827"/>
        <w:spacing w:after="0" w:line="244" w:lineRule="auto"/>
        <w:tabs>
          <w:tab w:leader="none" w:pos="2488"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No Accord and Satisfaction</w:t>
      </w:r>
      <w:r>
        <w:rPr>
          <w:rFonts w:ascii="Arial" w:cs="Arial" w:eastAsia="Arial" w:hAnsi="Arial"/>
          <w:sz w:val="17"/>
          <w:szCs w:val="17"/>
          <w:color w:val="auto"/>
        </w:rPr>
        <w:t>. No payment by Tenant or receipt by Landlord of a lesser amount than the monthly</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69" w:lineRule="exact"/>
        <w:rPr>
          <w:sz w:val="20"/>
          <w:szCs w:val="20"/>
          <w:color w:val="auto"/>
        </w:rPr>
      </w:pPr>
    </w:p>
    <w:p>
      <w:pPr>
        <w:ind w:left="780" w:right="360" w:hanging="776"/>
        <w:spacing w:after="0" w:line="247" w:lineRule="auto"/>
        <w:tabs>
          <w:tab w:leader="none" w:pos="1542"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Hazardous Activities</w:t>
      </w:r>
      <w:r>
        <w:rPr>
          <w:rFonts w:ascii="Arial" w:cs="Arial" w:eastAsia="Arial" w:hAnsi="Arial"/>
          <w:sz w:val="17"/>
          <w:szCs w:val="17"/>
          <w:color w:val="auto"/>
        </w:rPr>
        <w:t>. Notwithstanding any other provision of this Lease, Landlord, for itself and its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443230</wp:posOffset>
            </wp:positionV>
            <wp:extent cx="715581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140"/>
        <w:spacing w:after="0" w:line="245" w:lineRule="auto"/>
        <w:rPr>
          <w:sz w:val="20"/>
          <w:szCs w:val="20"/>
          <w:color w:val="auto"/>
        </w:rPr>
      </w:pPr>
      <w:r>
        <w:rPr>
          <w:rFonts w:ascii="Arial" w:cs="Arial" w:eastAsia="Arial" w:hAnsi="Arial"/>
          <w:sz w:val="17"/>
          <w:szCs w:val="17"/>
          <w:color w:val="auto"/>
        </w:rPr>
        <w:t>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69" w:lineRule="exact"/>
        <w:rPr>
          <w:sz w:val="20"/>
          <w:szCs w:val="20"/>
          <w:color w:val="auto"/>
        </w:rPr>
      </w:pPr>
    </w:p>
    <w:p>
      <w:pPr>
        <w:ind w:left="780" w:right="280" w:hanging="776"/>
        <w:spacing w:after="0" w:line="242" w:lineRule="auto"/>
        <w:tabs>
          <w:tab w:leader="none" w:pos="1542"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Lease may be executed in 2 or more counterparts, each of which shall be deemed an original, but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171" w:lineRule="exact"/>
        <w:rPr>
          <w:rFonts w:ascii="Arial" w:cs="Arial" w:eastAsia="Arial" w:hAnsi="Arial"/>
          <w:sz w:val="17"/>
          <w:szCs w:val="17"/>
          <w:color w:val="auto"/>
        </w:rPr>
      </w:pPr>
    </w:p>
    <w:p>
      <w:pPr>
        <w:ind w:left="80" w:right="140" w:firstLine="825"/>
        <w:spacing w:after="0" w:line="238" w:lineRule="auto"/>
        <w:tabs>
          <w:tab w:leader="none" w:pos="2441" w:val="left"/>
        </w:tabs>
        <w:numPr>
          <w:ilvl w:val="1"/>
          <w:numId w:val="141"/>
        </w:numPr>
        <w:rPr>
          <w:rFonts w:ascii="Arial" w:cs="Arial" w:eastAsia="Arial" w:hAnsi="Arial"/>
          <w:sz w:val="17"/>
          <w:szCs w:val="17"/>
          <w:color w:val="auto"/>
        </w:rPr>
      </w:pPr>
      <w:r>
        <w:rPr>
          <w:rFonts w:ascii="Arial" w:cs="Arial" w:eastAsia="Arial" w:hAnsi="Arial"/>
          <w:sz w:val="17"/>
          <w:szCs w:val="17"/>
          <w:b w:val="1"/>
          <w:bCs w:val="1"/>
          <w:color w:val="auto"/>
        </w:rPr>
        <w:t>HazMat Storage Area</w:t>
      </w:r>
      <w:r>
        <w:rPr>
          <w:rFonts w:ascii="Arial" w:cs="Arial" w:eastAsia="Arial" w:hAnsi="Arial"/>
          <w:sz w:val="17"/>
          <w:szCs w:val="17"/>
          <w:color w:val="auto"/>
        </w:rPr>
        <w:t>. Notwithstanding anything to the contrary contained in the Lease,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use and occupancy of the Premises, Tenant shall have the right to install a Hazardous Materials storage shed (the “</w:t>
      </w:r>
      <w:r>
        <w:rPr>
          <w:rFonts w:ascii="Arial" w:cs="Arial" w:eastAsia="Arial" w:hAnsi="Arial"/>
          <w:sz w:val="17"/>
          <w:szCs w:val="17"/>
          <w:b w:val="1"/>
          <w:bCs w:val="1"/>
          <w:color w:val="auto"/>
        </w:rPr>
        <w:t>HazMat Storage</w:t>
      </w:r>
      <w:r>
        <w:rPr>
          <w:rFonts w:ascii="Arial" w:cs="Arial" w:eastAsia="Arial" w:hAnsi="Arial"/>
          <w:sz w:val="17"/>
          <w:szCs w:val="17"/>
          <w:color w:val="auto"/>
        </w:rPr>
        <w:t xml:space="preserve"> </w:t>
      </w:r>
      <w:r>
        <w:rPr>
          <w:rFonts w:ascii="Arial" w:cs="Arial" w:eastAsia="Arial" w:hAnsi="Arial"/>
          <w:sz w:val="17"/>
          <w:szCs w:val="17"/>
          <w:b w:val="1"/>
          <w:bCs w:val="1"/>
          <w:color w:val="auto"/>
        </w:rPr>
        <w:t>Shed</w:t>
      </w:r>
      <w:r>
        <w:rPr>
          <w:rFonts w:ascii="Arial" w:cs="Arial" w:eastAsia="Arial" w:hAnsi="Arial"/>
          <w:sz w:val="17"/>
          <w:szCs w:val="17"/>
          <w:color w:val="auto"/>
        </w:rPr>
        <w:t>”) for the storage of Tenant’s Hazardous Materials at the Project in a location mutually acceptable to Landlord and Tenant.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also install, at Tenant’s cost, any related screening required by Legal Requirements and/or any related screening reasonably required by Landlord with respect to the HazMat Storage Shed. Tenant shall have all of the obligations under the Lease with respect to the HazMat Storage Shed as though the HazMat Storage Shed were part of the Premises, excluding the obligation to pay Base Rent or additional Operating Expenses. Tenant shall maintain appropriate records, obtain and maintain appropriate insurance, implement reporting procedures, and take or cause to be taken all other actions necessary or required under applicable Legal Requirements in connection with the use of the HazMat Storage Shed. If the HazMat Storage Shed is located in the parking area serving the Building, then the number of parking spaces which Tenant has the right to use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by the number of parking spaces impacted by the HazMat Storage Shed. Landlord shall have no obligation to make any repairs or other improvements to the HazMat Storage Shed and Tenant shall maintain the same, at Tenant’s sole cost and expense, in substantially the same condition as received during the term as though the same were part of the Premises. Tenant shall, at Tenant’s sole cost and expense, surrender the HazMat Storage Shed at the expiration or earlier termination of the term of the Lease free of any debris and trash and free of any Hazardous Materials in accordance with the requirements of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this Lease.</w:t>
      </w:r>
    </w:p>
    <w:p>
      <w:pPr>
        <w:spacing w:after="0" w:line="173" w:lineRule="exact"/>
        <w:rPr>
          <w:rFonts w:ascii="Arial" w:cs="Arial" w:eastAsia="Arial" w:hAnsi="Arial"/>
          <w:sz w:val="17"/>
          <w:szCs w:val="17"/>
          <w:color w:val="auto"/>
        </w:rPr>
      </w:pPr>
    </w:p>
    <w:p>
      <w:pPr>
        <w:ind w:left="80" w:right="140" w:firstLine="825"/>
        <w:spacing w:after="0" w:line="238" w:lineRule="auto"/>
        <w:tabs>
          <w:tab w:leader="none" w:pos="2441" w:val="left"/>
        </w:tabs>
        <w:numPr>
          <w:ilvl w:val="1"/>
          <w:numId w:val="141"/>
        </w:numPr>
        <w:rPr>
          <w:rFonts w:ascii="Arial" w:cs="Arial" w:eastAsia="Arial" w:hAnsi="Arial"/>
          <w:sz w:val="17"/>
          <w:szCs w:val="17"/>
          <w:color w:val="auto"/>
        </w:rPr>
      </w:pPr>
      <w:r>
        <w:rPr>
          <w:rFonts w:ascii="Arial" w:cs="Arial" w:eastAsia="Arial" w:hAnsi="Arial"/>
          <w:sz w:val="17"/>
          <w:szCs w:val="17"/>
          <w:b w:val="1"/>
          <w:bCs w:val="1"/>
          <w:color w:val="auto"/>
        </w:rPr>
        <w:t>Utility Pads</w:t>
      </w:r>
      <w:r>
        <w:rPr>
          <w:rFonts w:ascii="Arial" w:cs="Arial" w:eastAsia="Arial" w:hAnsi="Arial"/>
          <w:sz w:val="17"/>
          <w:szCs w:val="17"/>
          <w:color w:val="auto"/>
        </w:rPr>
        <w:t>. Notwithstanding anything to the contrary contained in this Lease, in connection with Tenant’s use</w:t>
      </w:r>
      <w:r>
        <w:rPr>
          <w:rFonts w:ascii="Arial" w:cs="Arial" w:eastAsia="Arial" w:hAnsi="Arial"/>
          <w:sz w:val="17"/>
          <w:szCs w:val="17"/>
          <w:b w:val="1"/>
          <w:bCs w:val="1"/>
          <w:color w:val="auto"/>
        </w:rPr>
        <w:t xml:space="preserve"> </w:t>
      </w:r>
      <w:r>
        <w:rPr>
          <w:rFonts w:ascii="Arial" w:cs="Arial" w:eastAsia="Arial" w:hAnsi="Arial"/>
          <w:sz w:val="17"/>
          <w:szCs w:val="17"/>
          <w:color w:val="auto"/>
        </w:rPr>
        <w:t>and occupancy of the Premises, Tenant shall have the right to install 1 or more utility pads (the “</w:t>
      </w:r>
      <w:r>
        <w:rPr>
          <w:rFonts w:ascii="Arial" w:cs="Arial" w:eastAsia="Arial" w:hAnsi="Arial"/>
          <w:sz w:val="17"/>
          <w:szCs w:val="17"/>
          <w:b w:val="1"/>
          <w:bCs w:val="1"/>
          <w:color w:val="auto"/>
        </w:rPr>
        <w:t>Utility Pads</w:t>
      </w:r>
      <w:r>
        <w:rPr>
          <w:rFonts w:ascii="Arial" w:cs="Arial" w:eastAsia="Arial" w:hAnsi="Arial"/>
          <w:sz w:val="17"/>
          <w:szCs w:val="17"/>
          <w:color w:val="auto"/>
        </w:rPr>
        <w:t xml:space="preserve">”) for the placement of generators and/or other equipment serving the Building, which Utilities Pads shall be in locations mutually acceptable to Landlord and Tenant. Tenant shall also install, at Tenant’s cost, any related screening required by Legal Requirements and/or any related screening reasonably required by Landlord with respect to the Utility Pads. Tenant shall have all of the obligations under the Lease with respect to the Utility Pads as though the Utility Pads were part of the Premises, excluding the obligation to pay Base Rent or additional Operating Expenses. Tenant shall maintain appropriate records, obtain and maintain appropriate insurance, implement reporting procedures, and take or cause to be taken all other actions necessary or required under applicable Legal Requirements in connection with the use of the Utility Pads. If the Utility Pads are located in the parking area serving the Building, then the number of parking spaces which Tenant has the right to use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by the number of parking spaces impacted by the Utility Pads. Landlord shall have no obligation to make any repairs or other improvements to the Utility Pads and Tenant shall maintain the same, at Tenant’s sole cost and expense, in substantially the same condition as received during the term as though the same were part of the Premises. Tenant shall, at Tenant’s sole cost and expense, surrender the Utility Pads at the expiration or earlier termination of the term of the Lease free of any debris and trash and free of any Hazardous Materials in accordance with the requirements of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this Lease.</w:t>
      </w:r>
    </w:p>
    <w:p>
      <w:pPr>
        <w:spacing w:after="0" w:line="148" w:lineRule="exact"/>
        <w:rPr>
          <w:sz w:val="20"/>
          <w:szCs w:val="20"/>
          <w:color w:val="auto"/>
        </w:rPr>
      </w:pPr>
    </w:p>
    <w:p>
      <w:pPr>
        <w:ind w:left="780" w:right="480" w:hanging="776"/>
        <w:spacing w:after="0" w:line="270" w:lineRule="auto"/>
        <w:tabs>
          <w:tab w:leader="none" w:pos="1540" w:val="left"/>
        </w:tabs>
        <w:numPr>
          <w:ilvl w:val="0"/>
          <w:numId w:val="142"/>
        </w:numPr>
        <w:rPr>
          <w:rFonts w:ascii="Arial" w:cs="Arial" w:eastAsia="Arial" w:hAnsi="Arial"/>
          <w:sz w:val="17"/>
          <w:szCs w:val="17"/>
          <w:color w:val="auto"/>
        </w:rPr>
      </w:pPr>
      <w:r>
        <w:rPr>
          <w:rFonts w:ascii="Arial" w:cs="Arial" w:eastAsia="Arial" w:hAnsi="Arial"/>
          <w:sz w:val="17"/>
          <w:szCs w:val="17"/>
          <w:b w:val="1"/>
          <w:bCs w:val="1"/>
          <w:color w:val="auto"/>
        </w:rPr>
        <w:t>Outdoor Seating Area.</w:t>
      </w:r>
      <w:r>
        <w:rPr>
          <w:rFonts w:ascii="Arial" w:cs="Arial" w:eastAsia="Arial" w:hAnsi="Arial"/>
          <w:sz w:val="17"/>
          <w:szCs w:val="17"/>
          <w:color w:val="auto"/>
        </w:rPr>
        <w:t>Notwithstanding anything to the contrary contained in this Lease, Tenant shall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place outdoor furniture reasonably acceptable to Landlord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431800</wp:posOffset>
            </wp:positionV>
            <wp:extent cx="715581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 xml:space="preserve">Page </w:t>
      </w:r>
      <w:r>
        <w:rPr>
          <w:rFonts w:ascii="Arial" w:cs="Arial" w:eastAsia="Arial" w:hAnsi="Arial"/>
          <w:sz w:val="17"/>
          <w:szCs w:val="17"/>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0" w:righ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Outdoor Furniture</w:t>
      </w:r>
      <w:r>
        <w:rPr>
          <w:rFonts w:ascii="Arial" w:cs="Arial" w:eastAsia="Arial" w:hAnsi="Arial"/>
          <w:sz w:val="17"/>
          <w:szCs w:val="17"/>
          <w:color w:val="auto"/>
        </w:rPr>
        <w:t>”) in a location adjacent to the Building reasonably acceptable to Landlord and Tenant (the “</w:t>
      </w:r>
      <w:r>
        <w:rPr>
          <w:rFonts w:ascii="Arial" w:cs="Arial" w:eastAsia="Arial" w:hAnsi="Arial"/>
          <w:sz w:val="17"/>
          <w:szCs w:val="17"/>
          <w:b w:val="1"/>
          <w:bCs w:val="1"/>
          <w:color w:val="auto"/>
        </w:rPr>
        <w:t>Outdoor Seating Area</w:t>
      </w:r>
      <w:r>
        <w:rPr>
          <w:rFonts w:ascii="Arial" w:cs="Arial" w:eastAsia="Arial" w:hAnsi="Arial"/>
          <w:sz w:val="17"/>
          <w:szCs w:val="17"/>
          <w:color w:val="auto"/>
        </w:rPr>
        <w:t>”). Tenant shall have all of the obligations under the Lease with respect to the Outdoor Seating Area as though the Outdoor Seating Area were part of the Premises, excluding the obligation to pay Base Rent or additional Operating Expenses. Landlord shall have no obligation to make any repairs or other improvements to the Outdoor Seating Area and Tenant shall maintain the same, at Tenant’s sole cost and expense, in good repair and condition during the Term as though the same were part of the Premises. Other than placing the Outdoor Furniture in the Outdoor Seating Location, Tenant shall not make any alterations, additions, or improvements to the Outdoor Seating Area of any kind whatsoever. Tenant acknowledges and agrees that third parties will have the ability to physically access the Outdoor Seating Area. Notwithstanding the foregoing, Landlord shall not expressly grant any third party rights to use the Outdoor Area.</w:t>
      </w:r>
    </w:p>
    <w:p>
      <w:pPr>
        <w:spacing w:after="0" w:line="174" w:lineRule="exact"/>
        <w:rPr>
          <w:sz w:val="20"/>
          <w:szCs w:val="20"/>
          <w:color w:val="auto"/>
        </w:rPr>
      </w:pPr>
    </w:p>
    <w:p>
      <w:pPr>
        <w:ind w:left="780" w:right="300" w:hanging="776"/>
        <w:spacing w:after="0" w:line="239" w:lineRule="auto"/>
        <w:tabs>
          <w:tab w:leader="none" w:pos="1542"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Walking Path</w:t>
      </w:r>
      <w:r>
        <w:rPr>
          <w:rFonts w:ascii="Arial" w:cs="Arial" w:eastAsia="Arial" w:hAnsi="Arial"/>
          <w:sz w:val="17"/>
          <w:szCs w:val="17"/>
          <w:color w:val="auto"/>
        </w:rPr>
        <w:t>. Landlord and Tenant acknowledge that the Site Improvements for the Property may include a walking path.</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the Site Improvements include a walking path, Landlord shall use good faith efforts to configure the walking path in a manner that would avoid having the walking path cross over any driveway designated for the ingress and egress of trucks to and from the loading docks of the Building (the “</w:t>
      </w:r>
      <w:r>
        <w:rPr>
          <w:rFonts w:ascii="Arial" w:cs="Arial" w:eastAsia="Arial" w:hAnsi="Arial"/>
          <w:sz w:val="17"/>
          <w:szCs w:val="17"/>
          <w:b w:val="1"/>
          <w:bCs w:val="1"/>
          <w:color w:val="auto"/>
        </w:rPr>
        <w:t>Truck Access Way</w:t>
      </w:r>
      <w:r>
        <w:rPr>
          <w:rFonts w:ascii="Arial" w:cs="Arial" w:eastAsia="Arial" w:hAnsi="Arial"/>
          <w:sz w:val="17"/>
          <w:szCs w:val="17"/>
          <w:color w:val="auto"/>
        </w:rPr>
        <w:t>”). If the final design of the Site Improvements includes a walking path and the walking path does, notwithstanding Landlord’s good faith efforts, cross the Truck Access Way (each point of crossing, a “</w:t>
      </w:r>
      <w:r>
        <w:rPr>
          <w:rFonts w:ascii="Arial" w:cs="Arial" w:eastAsia="Arial" w:hAnsi="Arial"/>
          <w:sz w:val="17"/>
          <w:szCs w:val="17"/>
          <w:b w:val="1"/>
          <w:bCs w:val="1"/>
          <w:color w:val="auto"/>
        </w:rPr>
        <w:t>Pedestrian Crossway</w:t>
      </w:r>
      <w:r>
        <w:rPr>
          <w:rFonts w:ascii="Arial" w:cs="Arial" w:eastAsia="Arial" w:hAnsi="Arial"/>
          <w:sz w:val="17"/>
          <w:szCs w:val="17"/>
          <w:color w:val="auto"/>
        </w:rPr>
        <w:t>”), Landlord shall (i) appropriately mark, as reasonably determined by Landlord or as otherwise required by Legal Requirements, any such Pedestrian Crossway as a pedestrian crossing, and (ii) implement other protocols for pedestrian safety at each such Pedestrian Crossway, as determined reasonably necessary or prudent by Landlord or as required by Legal Requirements.</w:t>
      </w:r>
    </w:p>
    <w:p>
      <w:pPr>
        <w:spacing w:after="0" w:line="177" w:lineRule="exact"/>
        <w:rPr>
          <w:rFonts w:ascii="Arial" w:cs="Arial" w:eastAsia="Arial" w:hAnsi="Arial"/>
          <w:sz w:val="17"/>
          <w:szCs w:val="17"/>
          <w:color w:val="auto"/>
        </w:rPr>
      </w:pPr>
    </w:p>
    <w:p>
      <w:pPr>
        <w:ind w:left="780" w:right="560" w:hanging="776"/>
        <w:spacing w:after="0" w:line="252" w:lineRule="auto"/>
        <w:tabs>
          <w:tab w:leader="none" w:pos="154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Future Buildings</w:t>
      </w:r>
      <w:r>
        <w:rPr>
          <w:rFonts w:ascii="Arial" w:cs="Arial" w:eastAsia="Arial" w:hAnsi="Arial"/>
          <w:sz w:val="17"/>
          <w:szCs w:val="17"/>
          <w:color w:val="auto"/>
        </w:rPr>
        <w:t>. Tenant acknowledges that the Building is part of a larger campus and that additional buildings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constructed directly adjacent to the Building any time after the mutual execution of this Lease by the parties (any such building, a “</w:t>
      </w:r>
      <w:r>
        <w:rPr>
          <w:rFonts w:ascii="Arial" w:cs="Arial" w:eastAsia="Arial" w:hAnsi="Arial"/>
          <w:sz w:val="17"/>
          <w:szCs w:val="17"/>
          <w:b w:val="1"/>
          <w:bCs w:val="1"/>
          <w:color w:val="auto"/>
        </w:rPr>
        <w:t>Future Building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0" w:right="120" w:firstLine="827"/>
        <w:spacing w:after="0" w:line="238" w:lineRule="auto"/>
        <w:tabs>
          <w:tab w:leader="none" w:pos="2441"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Mezzanine Space</w:t>
      </w:r>
      <w:r>
        <w:rPr>
          <w:rFonts w:ascii="Arial" w:cs="Arial" w:eastAsia="Arial" w:hAnsi="Arial"/>
          <w:sz w:val="17"/>
          <w:szCs w:val="17"/>
          <w:color w:val="auto"/>
        </w:rPr>
        <w:t>. Landlord and Tenant acknowledge and agree that Tenant may not use any portion of the TI</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to construct Tenant Improvements in the mezzanine portion of the Building (the “</w:t>
      </w:r>
      <w:r>
        <w:rPr>
          <w:rFonts w:ascii="Arial" w:cs="Arial" w:eastAsia="Arial" w:hAnsi="Arial"/>
          <w:sz w:val="17"/>
          <w:szCs w:val="17"/>
          <w:b w:val="1"/>
          <w:bCs w:val="1"/>
          <w:color w:val="auto"/>
        </w:rPr>
        <w:t>Mezzanine Space</w:t>
      </w:r>
      <w:r>
        <w:rPr>
          <w:rFonts w:ascii="Arial" w:cs="Arial" w:eastAsia="Arial" w:hAnsi="Arial"/>
          <w:sz w:val="17"/>
          <w:szCs w:val="17"/>
          <w:color w:val="auto"/>
        </w:rPr>
        <w:t xml:space="preserve">”) to convert the Mezzanine Space to Occupiable Mezzanine Space and that as of date of the TI Substantial Completion under the Work Letter, the Mezzanine Space will not be built out as occupiable space. So long as the Mezzanine Space remains in unoccupiable condition and Tenant does occupy the Mezzanine Space for any business purpose, the rentable square footage of the Mezzanine Space shall not be included in the rentable square footage of the Premises. For the avoidance of doubt, Tenant shall have the right at any time during the Term, subject to the terms and conditions of this lease including, without limitation, </w:t>
      </w:r>
      <w:r>
        <w:rPr>
          <w:rFonts w:ascii="Arial" w:cs="Arial" w:eastAsia="Arial" w:hAnsi="Arial"/>
          <w:sz w:val="17"/>
          <w:szCs w:val="17"/>
          <w:u w:val="single" w:color="auto"/>
          <w:color w:val="auto"/>
        </w:rPr>
        <w:t>Section 12</w:t>
      </w:r>
      <w:r>
        <w:rPr>
          <w:rFonts w:ascii="Arial" w:cs="Arial" w:eastAsia="Arial" w:hAnsi="Arial"/>
          <w:sz w:val="17"/>
          <w:szCs w:val="17"/>
          <w:color w:val="auto"/>
        </w:rPr>
        <w:t>, to construct improvements in the Mezzanine Space desired by Tenant pursuant to plans and specifications reasonably approved by Landlord to convert all or a portion of the Mezzanine Space to occupiable space. To the extent that all or any portion of the Mezzanine Space is converted to occupiable space (any such space, the “</w:t>
      </w:r>
      <w:r>
        <w:rPr>
          <w:rFonts w:ascii="Arial" w:cs="Arial" w:eastAsia="Arial" w:hAnsi="Arial"/>
          <w:sz w:val="17"/>
          <w:szCs w:val="17"/>
          <w:b w:val="1"/>
          <w:bCs w:val="1"/>
          <w:color w:val="auto"/>
        </w:rPr>
        <w:t>Occupiable Mezzanine Space</w:t>
      </w:r>
      <w:r>
        <w:rPr>
          <w:rFonts w:ascii="Arial" w:cs="Arial" w:eastAsia="Arial" w:hAnsi="Arial"/>
          <w:sz w:val="17"/>
          <w:szCs w:val="17"/>
          <w:color w:val="auto"/>
        </w:rPr>
        <w:t>”) then, as of the date(s) that any such Occupiable Mezzanine Space becomes occupiable (i) the rentable square footage of the Premises shall be increased by the rentable square footage of the Occupiable Mezzanine Space, and (ii) the Building’s Share of Operating of Project shall be appropriate adjusted to reflect such additional rentable square footage of the Occupiable Mezzanine Space. During the Base Term, Base Rent shall not be adjusted in connection with any increase in the rentable square footage in the Premises to include Occupiable Mezzanine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449580</wp:posOffset>
            </wp:positionV>
            <wp:extent cx="715581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1180"/>
          </w:cols>
          <w:pgMar w:left="380" w:top="118" w:right="339" w:bottom="1440" w:gutter="0" w:footer="0" w:header="0"/>
        </w:sectPr>
      </w:pPr>
    </w:p>
    <w:bookmarkStart w:id="130" w:name="page131"/>
    <w:bookmarkEnd w:id="130"/>
    <w:p>
      <w:pPr>
        <w:ind w:left="9480"/>
        <w:spacing w:after="0"/>
        <w:rPr>
          <w:sz w:val="20"/>
          <w:szCs w:val="20"/>
          <w:color w:val="auto"/>
        </w:rPr>
      </w:pPr>
      <w:r>
        <w:rPr>
          <w:rFonts w:ascii="Arial" w:cs="Arial" w:eastAsia="Arial" w:hAnsi="Arial"/>
          <w:sz w:val="16"/>
          <w:szCs w:val="16"/>
          <w:b w:val="1"/>
          <w:bCs w:val="1"/>
          <w:color w:val="auto"/>
        </w:rPr>
        <w:t xml:space="preserve">Page </w:t>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943610</wp:posOffset>
            </wp:positionV>
            <wp:extent cx="715581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5815" cy="1651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31" w:name="page132"/>
    <w:bookmarkEnd w:id="131"/>
    <w:p>
      <w:pPr>
        <w:ind w:left="9620"/>
        <w:spacing w:after="0"/>
        <w:rPr>
          <w:sz w:val="20"/>
          <w:szCs w:val="20"/>
          <w:color w:val="auto"/>
        </w:rPr>
      </w:pPr>
      <w:r>
        <w:rPr>
          <w:rFonts w:ascii="Arial" w:cs="Arial" w:eastAsia="Arial" w:hAnsi="Arial"/>
          <w:sz w:val="16"/>
          <w:szCs w:val="16"/>
          <w:b w:val="1"/>
          <w:bCs w:val="1"/>
          <w:color w:val="auto"/>
        </w:rPr>
        <w:t xml:space="preserve">Page </w:t>
      </w:r>
      <w:r>
        <w:rPr>
          <w:rFonts w:ascii="Arial" w:cs="Arial" w:eastAsia="Arial" w:hAnsi="Arial"/>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TENANT:</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BEAM THERAPEUTICS INC.</w:t>
      </w:r>
      <w:r>
        <w:rPr>
          <w:rFonts w:ascii="Arial" w:cs="Arial" w:eastAsia="Arial" w:hAnsi="Arial"/>
          <w:sz w:val="17"/>
          <w:szCs w:val="17"/>
          <w:color w:val="auto"/>
        </w:rPr>
        <w:t>,</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By:</w:t>
      </w:r>
    </w:p>
    <w:p>
      <w:pPr>
        <w:ind w:left="4220"/>
        <w:spacing w:after="0"/>
        <w:rPr>
          <w:sz w:val="20"/>
          <w:szCs w:val="20"/>
          <w:color w:val="auto"/>
        </w:rPr>
      </w:pPr>
      <w:r>
        <w:rPr>
          <w:rFonts w:ascii="Arial" w:cs="Arial" w:eastAsia="Arial" w:hAnsi="Arial"/>
          <w:sz w:val="17"/>
          <w:szCs w:val="17"/>
          <w:color w:val="auto"/>
        </w:rPr>
        <w:t>Its:</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LANDLORD:</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ARE-NC REGION NO. 14, LLC</w:t>
      </w:r>
      <w:r>
        <w:rPr>
          <w:rFonts w:ascii="Arial" w:cs="Arial" w:eastAsia="Arial" w:hAnsi="Arial"/>
          <w:sz w:val="17"/>
          <w:szCs w:val="17"/>
          <w:color w:val="auto"/>
        </w:rPr>
        <w:t>,</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a Delaware limited liability company</w:t>
      </w:r>
    </w:p>
    <w:p>
      <w:pPr>
        <w:sectPr>
          <w:pgSz w:w="11900" w:h="16838" w:orient="portrait"/>
          <w:cols w:equalWidth="0" w:num="1">
            <w:col w:w="10360"/>
          </w:cols>
          <w:pgMar w:left="1300" w:top="118" w:right="239" w:bottom="1440" w:gutter="0" w:footer="0" w:header="0"/>
        </w:sectPr>
      </w:pPr>
    </w:p>
    <w:p>
      <w:pPr>
        <w:spacing w:after="0" w:line="197"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By:</w:t>
      </w:r>
    </w:p>
    <w:p>
      <w:pPr>
        <w:ind w:left="4220"/>
        <w:spacing w:after="0" w:line="235" w:lineRule="auto"/>
        <w:rPr>
          <w:sz w:val="20"/>
          <w:szCs w:val="20"/>
          <w:color w:val="auto"/>
        </w:rPr>
      </w:pPr>
      <w:r>
        <w:rPr>
          <w:rFonts w:ascii="Arial" w:cs="Arial" w:eastAsia="Arial" w:hAnsi="Arial"/>
          <w:sz w:val="17"/>
          <w:szCs w:val="17"/>
          <w:color w:val="auto"/>
        </w:rPr>
        <w:t>REAL ESTATE EQUITIES, L.P.,</w:t>
      </w:r>
    </w:p>
    <w:p>
      <w:pPr>
        <w:ind w:left="5060"/>
        <w:spacing w:after="0" w:line="235" w:lineRule="auto"/>
        <w:rPr>
          <w:sz w:val="20"/>
          <w:szCs w:val="20"/>
          <w:color w:val="auto"/>
        </w:rPr>
      </w:pPr>
      <w:r>
        <w:rPr>
          <w:rFonts w:ascii="Arial" w:cs="Arial" w:eastAsia="Arial" w:hAnsi="Arial"/>
          <w:sz w:val="17"/>
          <w:szCs w:val="17"/>
          <w:color w:val="auto"/>
        </w:rPr>
        <w:t>a Delaware limited partnership, managing</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member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ALEXANDRIA</w:t>
      </w:r>
    </w:p>
    <w:p>
      <w:pPr>
        <w:spacing w:after="0" w:line="745" w:lineRule="exact"/>
        <w:rPr>
          <w:sz w:val="20"/>
          <w:szCs w:val="20"/>
          <w:color w:val="auto"/>
        </w:rPr>
      </w:pPr>
    </w:p>
    <w:p>
      <w:pPr>
        <w:sectPr>
          <w:pgSz w:w="11900" w:h="16838" w:orient="portrait"/>
          <w:cols w:equalWidth="0" w:num="2">
            <w:col w:w="8200" w:space="640"/>
            <w:col w:w="1520"/>
          </w:cols>
          <w:pgMar w:left="1300" w:top="118" w:right="239" w:bottom="1440" w:gutter="0" w:footer="0" w:header="0"/>
          <w:type w:val="continuous"/>
        </w:sectPr>
      </w:pPr>
    </w:p>
    <w:p>
      <w:pPr>
        <w:ind w:left="5060"/>
        <w:spacing w:after="0"/>
        <w:rPr>
          <w:sz w:val="20"/>
          <w:szCs w:val="20"/>
          <w:color w:val="auto"/>
        </w:rPr>
      </w:pPr>
      <w:r>
        <w:rPr>
          <w:rFonts w:ascii="Arial" w:cs="Arial" w:eastAsia="Arial" w:hAnsi="Arial"/>
          <w:sz w:val="17"/>
          <w:szCs w:val="17"/>
          <w:color w:val="auto"/>
        </w:rPr>
        <w:t>By:</w:t>
      </w:r>
    </w:p>
    <w:p>
      <w:pPr>
        <w:ind w:left="5060"/>
        <w:spacing w:after="0" w:line="235" w:lineRule="auto"/>
        <w:rPr>
          <w:sz w:val="20"/>
          <w:szCs w:val="20"/>
          <w:color w:val="auto"/>
        </w:rPr>
      </w:pPr>
      <w:r>
        <w:rPr>
          <w:rFonts w:ascii="Arial" w:cs="Arial" w:eastAsia="Arial" w:hAnsi="Arial"/>
          <w:sz w:val="17"/>
          <w:szCs w:val="17"/>
          <w:color w:val="auto"/>
        </w:rPr>
        <w:t>QRS CORP.,</w:t>
      </w:r>
    </w:p>
    <w:p>
      <w:pPr>
        <w:ind w:left="5900"/>
        <w:spacing w:after="0" w:line="235" w:lineRule="auto"/>
        <w:rPr>
          <w:sz w:val="20"/>
          <w:szCs w:val="20"/>
          <w:color w:val="auto"/>
        </w:rPr>
      </w:pPr>
      <w:r>
        <w:rPr>
          <w:rFonts w:ascii="Arial" w:cs="Arial" w:eastAsia="Arial" w:hAnsi="Arial"/>
          <w:sz w:val="17"/>
          <w:szCs w:val="17"/>
          <w:color w:val="auto"/>
        </w:rPr>
        <w:t>a Maryland corporation, general</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A</w:t>
      </w:r>
    </w:p>
    <w:p>
      <w:pPr>
        <w:spacing w:after="0" w:line="877" w:lineRule="exact"/>
        <w:rPr>
          <w:sz w:val="20"/>
          <w:szCs w:val="20"/>
          <w:color w:val="auto"/>
        </w:rPr>
      </w:pPr>
    </w:p>
    <w:p>
      <w:pPr>
        <w:sectPr>
          <w:pgSz w:w="11900" w:h="16838" w:orient="portrait"/>
          <w:cols w:equalWidth="0" w:num="2">
            <w:col w:w="9580" w:space="720"/>
            <w:col w:w="60"/>
          </w:cols>
          <w:pgMar w:left="1300" w:top="118" w:right="239" w:bottom="1440" w:gutter="0" w:footer="0" w:header="0"/>
          <w:type w:val="continuous"/>
        </w:sect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w:t>
      </w:r>
    </w:p>
    <w:p>
      <w:pPr>
        <w:ind w:left="5900"/>
        <w:spacing w:after="0"/>
        <w:rPr>
          <w:sz w:val="20"/>
          <w:szCs w:val="20"/>
          <w:color w:val="auto"/>
        </w:rPr>
      </w:pPr>
      <w:r>
        <w:rPr>
          <w:rFonts w:ascii="Arial" w:cs="Arial" w:eastAsia="Arial" w:hAnsi="Arial"/>
          <w:sz w:val="17"/>
          <w:szCs w:val="17"/>
          <w:color w:val="auto"/>
        </w:rPr>
        <w:t>Its:</w:t>
      </w:r>
    </w:p>
    <w:p>
      <w:pPr>
        <w:sectPr>
          <w:pgSz w:w="11900" w:h="16838" w:orient="portrait"/>
          <w:cols w:equalWidth="0" w:num="1">
            <w:col w:w="10360"/>
          </w:cols>
          <w:pgMar w:left="1300" w:top="118"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John Evans, certify that:</w:t>
      </w:r>
    </w:p>
    <w:p>
      <w:pPr>
        <w:spacing w:after="0" w:line="111" w:lineRule="exact"/>
        <w:rPr>
          <w:sz w:val="20"/>
          <w:szCs w:val="20"/>
          <w:color w:val="auto"/>
        </w:rPr>
      </w:pPr>
    </w:p>
    <w:p>
      <w:pPr>
        <w:ind w:left="500" w:hanging="498"/>
        <w:spacing w:after="0"/>
        <w:tabs>
          <w:tab w:leader="none" w:pos="5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Beam Therapeutics Inc.;</w:t>
      </w:r>
    </w:p>
    <w:p>
      <w:pPr>
        <w:spacing w:after="0" w:line="111" w:lineRule="exact"/>
        <w:rPr>
          <w:rFonts w:ascii="Arial" w:cs="Arial" w:eastAsia="Arial" w:hAnsi="Arial"/>
          <w:sz w:val="17"/>
          <w:szCs w:val="17"/>
          <w:color w:val="auto"/>
        </w:rPr>
      </w:pPr>
    </w:p>
    <w:p>
      <w:pPr>
        <w:ind w:left="500" w:right="80" w:hanging="498"/>
        <w:spacing w:after="0" w:line="344" w:lineRule="auto"/>
        <w:tabs>
          <w:tab w:leader="none" w:pos="5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500" w:right="160" w:hanging="498"/>
        <w:spacing w:after="0" w:line="275" w:lineRule="auto"/>
        <w:tabs>
          <w:tab w:leader="none" w:pos="5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ind w:left="500" w:right="120" w:hanging="498"/>
        <w:spacing w:after="0" w:line="275" w:lineRule="auto"/>
        <w:tabs>
          <w:tab w:leader="none" w:pos="5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63" w:lineRule="exact"/>
        <w:rPr>
          <w:rFonts w:ascii="Arial" w:cs="Arial" w:eastAsia="Arial" w:hAnsi="Arial"/>
          <w:sz w:val="17"/>
          <w:szCs w:val="17"/>
          <w:color w:val="auto"/>
        </w:rPr>
      </w:pPr>
    </w:p>
    <w:p>
      <w:pPr>
        <w:ind w:left="1000" w:right="100" w:hanging="499"/>
        <w:spacing w:after="0" w:line="263" w:lineRule="auto"/>
        <w:tabs>
          <w:tab w:leader="none" w:pos="10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7"/>
          <w:szCs w:val="17"/>
          <w:color w:val="auto"/>
        </w:rPr>
      </w:pPr>
    </w:p>
    <w:p>
      <w:pPr>
        <w:ind w:left="1000" w:hanging="499"/>
        <w:spacing w:after="0"/>
        <w:tabs>
          <w:tab w:leader="none" w:pos="10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[Omitted];</w:t>
      </w:r>
    </w:p>
    <w:p>
      <w:pPr>
        <w:spacing w:after="0" w:line="111" w:lineRule="exact"/>
        <w:rPr>
          <w:rFonts w:ascii="Arial" w:cs="Arial" w:eastAsia="Arial" w:hAnsi="Arial"/>
          <w:sz w:val="17"/>
          <w:szCs w:val="17"/>
          <w:color w:val="auto"/>
        </w:rPr>
      </w:pPr>
    </w:p>
    <w:p>
      <w:pPr>
        <w:ind w:left="1000" w:right="140" w:hanging="499"/>
        <w:spacing w:after="0" w:line="308" w:lineRule="auto"/>
        <w:tabs>
          <w:tab w:leader="none" w:pos="100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6"/>
          <w:szCs w:val="16"/>
          <w:color w:val="auto"/>
        </w:rPr>
      </w:pPr>
    </w:p>
    <w:p>
      <w:pPr>
        <w:ind w:left="1000" w:hanging="499"/>
        <w:spacing w:after="0" w:line="263" w:lineRule="auto"/>
        <w:tabs>
          <w:tab w:leader="none" w:pos="10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7"/>
          <w:szCs w:val="17"/>
          <w:color w:val="auto"/>
        </w:rPr>
      </w:pPr>
    </w:p>
    <w:p>
      <w:pPr>
        <w:ind w:left="500" w:right="540" w:hanging="498"/>
        <w:spacing w:after="0" w:line="308" w:lineRule="auto"/>
        <w:tabs>
          <w:tab w:leader="none" w:pos="5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000" w:right="60" w:hanging="499"/>
        <w:spacing w:after="0" w:line="275" w:lineRule="auto"/>
        <w:tabs>
          <w:tab w:leader="none" w:pos="10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000" w:right="100" w:hanging="499"/>
        <w:spacing w:after="0" w:line="275" w:lineRule="auto"/>
        <w:tabs>
          <w:tab w:leader="none" w:pos="10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tabs>
          <w:tab w:leader="none" w:pos="5560" w:val="left"/>
          <w:tab w:leader="none" w:pos="6080" w:val="left"/>
        </w:tabs>
        <w:rPr>
          <w:sz w:val="20"/>
          <w:szCs w:val="20"/>
          <w:color w:val="auto"/>
        </w:rPr>
      </w:pPr>
      <w:r>
        <w:rPr>
          <w:rFonts w:ascii="Arial" w:cs="Arial" w:eastAsia="Arial" w:hAnsi="Arial"/>
          <w:sz w:val="17"/>
          <w:szCs w:val="17"/>
          <w:color w:val="auto"/>
        </w:rPr>
        <w:t>Date: August 12,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-122555</wp:posOffset>
            </wp:positionV>
            <wp:extent cx="32613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12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Terry-Ann Burrell, certify that:</w:t>
      </w:r>
    </w:p>
    <w:p>
      <w:pPr>
        <w:spacing w:after="0" w:line="111" w:lineRule="exact"/>
        <w:rPr>
          <w:sz w:val="20"/>
          <w:szCs w:val="20"/>
          <w:color w:val="auto"/>
        </w:rPr>
      </w:pPr>
    </w:p>
    <w:p>
      <w:pPr>
        <w:ind w:left="500" w:hanging="498"/>
        <w:spacing w:after="0"/>
        <w:tabs>
          <w:tab w:leader="none" w:pos="5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Beam Therapeutics Inc.;</w:t>
      </w:r>
    </w:p>
    <w:p>
      <w:pPr>
        <w:spacing w:after="0" w:line="111" w:lineRule="exact"/>
        <w:rPr>
          <w:rFonts w:ascii="Arial" w:cs="Arial" w:eastAsia="Arial" w:hAnsi="Arial"/>
          <w:sz w:val="17"/>
          <w:szCs w:val="17"/>
          <w:color w:val="auto"/>
        </w:rPr>
      </w:pPr>
    </w:p>
    <w:p>
      <w:pPr>
        <w:ind w:left="500" w:right="80" w:hanging="498"/>
        <w:spacing w:after="0" w:line="344" w:lineRule="auto"/>
        <w:tabs>
          <w:tab w:leader="none" w:pos="5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500" w:right="160" w:hanging="498"/>
        <w:spacing w:after="0" w:line="275" w:lineRule="auto"/>
        <w:tabs>
          <w:tab w:leader="none" w:pos="5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ind w:left="500" w:right="120" w:hanging="498"/>
        <w:spacing w:after="0" w:line="275" w:lineRule="auto"/>
        <w:tabs>
          <w:tab w:leader="none" w:pos="5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63" w:lineRule="exact"/>
        <w:rPr>
          <w:rFonts w:ascii="Arial" w:cs="Arial" w:eastAsia="Arial" w:hAnsi="Arial"/>
          <w:sz w:val="17"/>
          <w:szCs w:val="17"/>
          <w:color w:val="auto"/>
        </w:rPr>
      </w:pPr>
    </w:p>
    <w:p>
      <w:pPr>
        <w:ind w:left="1000" w:right="100" w:hanging="499"/>
        <w:spacing w:after="0" w:line="263" w:lineRule="auto"/>
        <w:tabs>
          <w:tab w:leader="none" w:pos="10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7"/>
          <w:szCs w:val="17"/>
          <w:color w:val="auto"/>
        </w:rPr>
      </w:pPr>
    </w:p>
    <w:p>
      <w:pPr>
        <w:ind w:left="1000" w:hanging="499"/>
        <w:spacing w:after="0"/>
        <w:tabs>
          <w:tab w:leader="none" w:pos="10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[Omitted];</w:t>
      </w:r>
    </w:p>
    <w:p>
      <w:pPr>
        <w:spacing w:after="0" w:line="111" w:lineRule="exact"/>
        <w:rPr>
          <w:rFonts w:ascii="Arial" w:cs="Arial" w:eastAsia="Arial" w:hAnsi="Arial"/>
          <w:sz w:val="17"/>
          <w:szCs w:val="17"/>
          <w:color w:val="auto"/>
        </w:rPr>
      </w:pPr>
    </w:p>
    <w:p>
      <w:pPr>
        <w:ind w:left="1000" w:right="140" w:hanging="499"/>
        <w:spacing w:after="0" w:line="308" w:lineRule="auto"/>
        <w:tabs>
          <w:tab w:leader="none" w:pos="10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6"/>
          <w:szCs w:val="16"/>
          <w:color w:val="auto"/>
        </w:rPr>
      </w:pPr>
    </w:p>
    <w:p>
      <w:pPr>
        <w:ind w:left="1000" w:hanging="499"/>
        <w:spacing w:after="0" w:line="263" w:lineRule="auto"/>
        <w:tabs>
          <w:tab w:leader="none" w:pos="10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7"/>
          <w:szCs w:val="17"/>
          <w:color w:val="auto"/>
        </w:rPr>
      </w:pPr>
    </w:p>
    <w:p>
      <w:pPr>
        <w:ind w:left="500" w:right="540" w:hanging="498"/>
        <w:spacing w:after="0" w:line="308" w:lineRule="auto"/>
        <w:tabs>
          <w:tab w:leader="none" w:pos="5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000" w:right="60" w:hanging="499"/>
        <w:spacing w:after="0" w:line="275" w:lineRule="auto"/>
        <w:tabs>
          <w:tab w:leader="none" w:pos="10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000" w:right="100" w:hanging="499"/>
        <w:spacing w:after="0" w:line="275" w:lineRule="auto"/>
        <w:tabs>
          <w:tab w:leader="none" w:pos="10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7"/>
          <w:szCs w:val="17"/>
          <w:color w:val="auto"/>
        </w:rPr>
        <w:t>Date: August 12,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-122555</wp:posOffset>
            </wp:positionV>
            <wp:extent cx="3277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277870" cy="825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(Principal financial and accounting officer)</w:t>
      </w:r>
    </w:p>
    <w:p>
      <w:pPr>
        <w:sectPr>
          <w:pgSz w:w="11900" w:h="16838" w:orient="portrait"/>
          <w:cols w:equalWidth="0" w:num="1">
            <w:col w:w="11240"/>
          </w:cols>
          <w:pgMar w:left="320" w:top="123"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2" w:lineRule="exact"/>
        <w:rPr>
          <w:sz w:val="20"/>
          <w:szCs w:val="20"/>
          <w:color w:val="auto"/>
        </w:rPr>
      </w:pPr>
    </w:p>
    <w:p>
      <w:pPr>
        <w:ind w:right="80" w:firstLine="510"/>
        <w:spacing w:after="0" w:line="263" w:lineRule="auto"/>
        <w:rPr>
          <w:sz w:val="20"/>
          <w:szCs w:val="20"/>
          <w:color w:val="auto"/>
        </w:rPr>
      </w:pPr>
      <w:r>
        <w:rPr>
          <w:rFonts w:ascii="Arial" w:cs="Arial" w:eastAsia="Arial" w:hAnsi="Arial"/>
          <w:sz w:val="17"/>
          <w:szCs w:val="17"/>
          <w:color w:val="auto"/>
        </w:rPr>
        <w:t>In connection with this Quarterly Report of Beam Therapeutics Inc. (the “Company”) on Form 10-Q for the period ending June 30, 2020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00" w:hanging="499"/>
        <w:spacing w:after="0"/>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1" w:lineRule="exact"/>
        <w:rPr>
          <w:rFonts w:ascii="Arial" w:cs="Arial" w:eastAsia="Arial" w:hAnsi="Arial"/>
          <w:sz w:val="17"/>
          <w:szCs w:val="17"/>
          <w:color w:val="auto"/>
        </w:rPr>
      </w:pPr>
    </w:p>
    <w:p>
      <w:pPr>
        <w:ind w:left="1000" w:hanging="499"/>
        <w:spacing w:after="0"/>
        <w:tabs>
          <w:tab w:leader="none" w:pos="10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tabs>
          <w:tab w:leader="none" w:pos="5560" w:val="left"/>
          <w:tab w:leader="none" w:pos="5980" w:val="left"/>
        </w:tabs>
        <w:rPr>
          <w:sz w:val="20"/>
          <w:szCs w:val="20"/>
          <w:color w:val="auto"/>
        </w:rPr>
      </w:pPr>
      <w:r>
        <w:rPr>
          <w:rFonts w:ascii="Arial" w:cs="Arial" w:eastAsia="Arial" w:hAnsi="Arial"/>
          <w:sz w:val="17"/>
          <w:szCs w:val="17"/>
          <w:color w:val="auto"/>
        </w:rPr>
        <w:t>Date: August 12,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-122555</wp:posOffset>
            </wp:positionV>
            <wp:extent cx="33261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34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32.2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2" w:lineRule="exact"/>
        <w:rPr>
          <w:sz w:val="20"/>
          <w:szCs w:val="20"/>
          <w:color w:val="auto"/>
        </w:rPr>
      </w:pPr>
    </w:p>
    <w:p>
      <w:pPr>
        <w:ind w:right="80" w:firstLine="510"/>
        <w:spacing w:after="0" w:line="263" w:lineRule="auto"/>
        <w:rPr>
          <w:sz w:val="20"/>
          <w:szCs w:val="20"/>
          <w:color w:val="auto"/>
        </w:rPr>
      </w:pPr>
      <w:r>
        <w:rPr>
          <w:rFonts w:ascii="Arial" w:cs="Arial" w:eastAsia="Arial" w:hAnsi="Arial"/>
          <w:sz w:val="17"/>
          <w:szCs w:val="17"/>
          <w:color w:val="auto"/>
        </w:rPr>
        <w:t>In connection with this Quarterly Report of Beam Therapeutics Inc. (the “Company”) on Form 10-Q for the period ending June 30, 2020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00" w:hanging="499"/>
        <w:spacing w:after="0"/>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1" w:lineRule="exact"/>
        <w:rPr>
          <w:rFonts w:ascii="Arial" w:cs="Arial" w:eastAsia="Arial" w:hAnsi="Arial"/>
          <w:sz w:val="17"/>
          <w:szCs w:val="17"/>
          <w:color w:val="auto"/>
        </w:rPr>
      </w:pPr>
    </w:p>
    <w:p>
      <w:pPr>
        <w:ind w:left="1000" w:hanging="499"/>
        <w:spacing w:after="0"/>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tabs>
          <w:tab w:leader="none" w:pos="5560" w:val="left"/>
          <w:tab w:leader="none" w:pos="5980" w:val="left"/>
        </w:tabs>
        <w:rPr>
          <w:sz w:val="20"/>
          <w:szCs w:val="20"/>
          <w:color w:val="auto"/>
        </w:rPr>
      </w:pPr>
      <w:r>
        <w:rPr>
          <w:rFonts w:ascii="Arial" w:cs="Arial" w:eastAsia="Arial" w:hAnsi="Arial"/>
          <w:sz w:val="17"/>
          <w:szCs w:val="17"/>
          <w:color w:val="auto"/>
        </w:rPr>
        <w:t>Date: August 12,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-122555</wp:posOffset>
            </wp:positionV>
            <wp:extent cx="33261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Chief Financial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(Principal financial and accounting officer)</w:t>
      </w:r>
    </w:p>
    <w:sectPr>
      <w:pgSz w:w="11900" w:h="16838" w:orient="portrait"/>
      <w:cols w:equalWidth="0" w:num="1">
        <w:col w:w="11240"/>
      </w:cols>
      <w:pgMar w:left="320" w:top="3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1)"/>
      <w:numFmt w:val="decimal"/>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1)"/>
      <w:numFmt w:val="lowerRoman"/>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1]"/>
      <w:numFmt w:val="upperLetter"/>
      <w:start w:val="24"/>
    </w:lvl>
    <w:lvl w:ilvl="1">
      <w:lvlJc w:val="left"/>
      <w:lvlText w:val="(%2)"/>
      <w:numFmt w:val="lowerLetter"/>
      <w:start w:val="3"/>
    </w:lvl>
    <w:lvl w:ilvl="2">
      <w:lvlJc w:val="left"/>
      <w:lvlText w:val="%3."/>
      <w:numFmt w:val="decimal"/>
      <w:start w:val="1"/>
    </w:lvl>
  </w:abstractNum>
  <w:abstractNum w:abstractNumId="49">
    <w:nsid w:val="7672BD23"/>
    <w:multiLevelType w:val="hybridMultilevel"/>
    <w:lvl w:ilvl="0">
      <w:lvlJc w:val="left"/>
      <w:lvlText w:val="%1."/>
      <w:numFmt w:val="decimal"/>
      <w:start w:val="2"/>
    </w:lvl>
  </w:abstractNum>
  <w:abstractNum w:abstractNumId="50">
    <w:nsid w:val="6FC75AF8"/>
    <w:multiLevelType w:val="hybridMultilevel"/>
    <w:lvl w:ilvl="0">
      <w:lvlJc w:val="left"/>
      <w:lvlText w:val="%1."/>
      <w:numFmt w:val="decimal"/>
      <w:start w:val="3"/>
    </w:lvl>
  </w:abstractNum>
  <w:abstractNum w:abstractNumId="51">
    <w:nsid w:val="6A5F7029"/>
    <w:multiLevelType w:val="hybridMultilevel"/>
    <w:lvl w:ilvl="0">
      <w:lvlJc w:val="left"/>
      <w:lvlText w:val="(%1)"/>
      <w:numFmt w:val="lowerLetter"/>
      <w:start w:val="1"/>
    </w:lvl>
  </w:abstractNum>
  <w:abstractNum w:abstractNumId="52">
    <w:nsid w:val="7D5E18F8"/>
    <w:multiLevelType w:val="hybridMultilevel"/>
    <w:lvl w:ilvl="0">
      <w:lvlJc w:val="left"/>
      <w:lvlText w:val="(%1)"/>
      <w:numFmt w:val="lowerLetter"/>
      <w:start w:val="2"/>
    </w:lvl>
  </w:abstractNum>
  <w:abstractNum w:abstractNumId="53">
    <w:nsid w:val="5F3534A4"/>
    <w:multiLevelType w:val="hybridMultilevel"/>
    <w:lvl w:ilvl="0">
      <w:lvlJc w:val="left"/>
      <w:lvlText w:val="%1."/>
      <w:numFmt w:val="decimal"/>
      <w:start w:val="4"/>
    </w:lvl>
  </w:abstractNum>
  <w:abstractNum w:abstractNumId="54">
    <w:nsid w:val="73A1821B"/>
    <w:multiLevelType w:val="hybridMultilevel"/>
    <w:lvl w:ilvl="0">
      <w:lvlJc w:val="left"/>
      <w:lvlText w:val="(%1)"/>
      <w:numFmt w:val="lowerLetter"/>
      <w:start w:val="1"/>
    </w:lvl>
  </w:abstractNum>
  <w:abstractNum w:abstractNumId="55">
    <w:nsid w:val="7DE67713"/>
    <w:multiLevelType w:val="hybridMultilevel"/>
    <w:lvl w:ilvl="0">
      <w:lvlJc w:val="left"/>
      <w:lvlText w:val="(%1)"/>
      <w:numFmt w:val="lowerLetter"/>
      <w:start w:val="2"/>
    </w:lvl>
  </w:abstractNum>
  <w:abstractNum w:abstractNumId="56">
    <w:nsid w:val="555C55B5"/>
    <w:multiLevelType w:val="hybridMultilevel"/>
    <w:lvl w:ilvl="0">
      <w:lvlJc w:val="left"/>
      <w:lvlText w:val="(%1)"/>
      <w:numFmt w:val="lowerLetter"/>
      <w:start w:val="3"/>
    </w:lvl>
  </w:abstractNum>
  <w:abstractNum w:abstractNumId="57">
    <w:nsid w:val="3FA62ACA"/>
    <w:multiLevelType w:val="hybridMultilevel"/>
    <w:lvl w:ilvl="0">
      <w:lvlJc w:val="left"/>
      <w:lvlText w:val="%1."/>
      <w:numFmt w:val="decimal"/>
      <w:start w:val="5"/>
    </w:lvl>
  </w:abstractNum>
  <w:abstractNum w:abstractNumId="58">
    <w:nsid w:val="14FCE74E"/>
    <w:multiLevelType w:val="hybridMultilevel"/>
    <w:lvl w:ilvl="0">
      <w:lvlJc w:val="left"/>
      <w:lvlText w:val="(%1)"/>
      <w:numFmt w:val="lowerLetter"/>
      <w:start w:val="1"/>
    </w:lvl>
  </w:abstractNum>
  <w:abstractNum w:abstractNumId="59">
    <w:nsid w:val="6A3DD3E8"/>
    <w:multiLevelType w:val="hybridMultilevel"/>
    <w:lvl w:ilvl="0">
      <w:lvlJc w:val="left"/>
      <w:lvlText w:val="%1"/>
      <w:numFmt w:val="lowerLetter"/>
      <w:start w:val="1"/>
    </w:lvl>
    <w:lvl w:ilvl="1">
      <w:lvlJc w:val="left"/>
      <w:lvlText w:val="(%2)"/>
      <w:numFmt w:val="lowerLetter"/>
      <w:start w:val="3"/>
    </w:lvl>
  </w:abstractNum>
  <w:abstractNum w:abstractNumId="60">
    <w:nsid w:val="71C91298"/>
    <w:multiLevelType w:val="hybridMultilevel"/>
    <w:lvl w:ilvl="0">
      <w:lvlJc w:val="left"/>
      <w:lvlText w:val="(%1)"/>
      <w:numFmt w:val="lowerLetter"/>
      <w:start w:val="4"/>
    </w:lvl>
    <w:lvl w:ilvl="1">
      <w:lvlJc w:val="left"/>
      <w:lvlText w:val="(%2)"/>
      <w:numFmt w:val="lowerLetter"/>
      <w:start w:val="6"/>
    </w:lvl>
  </w:abstractNum>
  <w:abstractNum w:abstractNumId="61">
    <w:nsid w:val="9DAF632"/>
    <w:multiLevelType w:val="hybridMultilevel"/>
    <w:lvl w:ilvl="0">
      <w:lvlJc w:val="left"/>
      <w:lvlText w:val="(%1)"/>
      <w:numFmt w:val="lowerLetter"/>
      <w:start w:val="7"/>
    </w:lvl>
    <w:lvl w:ilvl="1">
      <w:lvlJc w:val="left"/>
      <w:lvlText w:val="(%2)"/>
      <w:numFmt w:val="lowerLetter"/>
      <w:start w:val="9"/>
    </w:lvl>
  </w:abstractNum>
  <w:abstractNum w:abstractNumId="62">
    <w:nsid w:val="53299938"/>
    <w:multiLevelType w:val="hybridMultilevel"/>
    <w:lvl w:ilvl="0">
      <w:lvlJc w:val="left"/>
      <w:lvlText w:val="(%1)"/>
      <w:numFmt w:val="lowerLetter"/>
      <w:start w:val="11"/>
    </w:lvl>
  </w:abstractNum>
  <w:abstractNum w:abstractNumId="63">
    <w:nsid w:val="1FBFE8E0"/>
    <w:multiLevelType w:val="hybridMultilevel"/>
    <w:lvl w:ilvl="0">
      <w:lvlJc w:val="left"/>
      <w:lvlText w:val="%1"/>
      <w:numFmt w:val="lowerLetter"/>
      <w:start w:val="1"/>
    </w:lvl>
    <w:lvl w:ilvl="1">
      <w:lvlJc w:val="left"/>
      <w:lvlText w:val="(%2)"/>
      <w:numFmt w:val="lowerLetter"/>
      <w:start w:val="13"/>
    </w:lvl>
  </w:abstractNum>
  <w:abstractNum w:abstractNumId="64">
    <w:nsid w:val="5092CA79"/>
    <w:multiLevelType w:val="hybridMultilevel"/>
    <w:lvl w:ilvl="0">
      <w:lvlJc w:val="left"/>
      <w:lvlText w:val="(%1)"/>
      <w:numFmt w:val="lowerLetter"/>
      <w:start w:val="14"/>
    </w:lvl>
    <w:lvl w:ilvl="1">
      <w:lvlJc w:val="left"/>
      <w:lvlText w:val="%2"/>
      <w:numFmt w:val="lowerLetter"/>
      <w:start w:val="1"/>
    </w:lvl>
  </w:abstractNum>
  <w:abstractNum w:abstractNumId="65">
    <w:nsid w:val="1D545C4D"/>
    <w:multiLevelType w:val="hybridMultilevel"/>
    <w:lvl w:ilvl="0">
      <w:lvlJc w:val="left"/>
      <w:lvlText w:val="(%1)"/>
      <w:numFmt w:val="lowerLetter"/>
      <w:start w:val="16"/>
    </w:lvl>
    <w:lvl w:ilvl="1">
      <w:lvlJc w:val="left"/>
      <w:lvlText w:val="(%2)"/>
      <w:numFmt w:val="lowerLetter"/>
      <w:start w:val="18"/>
    </w:lvl>
  </w:abstractNum>
  <w:abstractNum w:abstractNumId="66">
    <w:nsid w:val="59ADEA3D"/>
    <w:multiLevelType w:val="hybridMultilevel"/>
    <w:lvl w:ilvl="0">
      <w:lvlJc w:val="left"/>
      <w:lvlText w:val="(%1)"/>
      <w:numFmt w:val="lowerLetter"/>
      <w:start w:val="21"/>
    </w:lvl>
  </w:abstractNum>
  <w:abstractNum w:abstractNumId="67">
    <w:nsid w:val="288F1A34"/>
    <w:multiLevelType w:val="hybridMultilevel"/>
    <w:lvl w:ilvl="0">
      <w:lvlJc w:val="left"/>
      <w:lvlText w:val="(%1)"/>
      <w:numFmt w:val="lowerLetter"/>
      <w:start w:val="27"/>
    </w:lvl>
    <w:lvl w:ilvl="1">
      <w:lvlJc w:val="left"/>
      <w:lvlText w:val="(%2)"/>
      <w:numFmt w:val="lowerLetter"/>
      <w:start w:val="28"/>
    </w:lvl>
  </w:abstractNum>
  <w:abstractNum w:abstractNumId="68">
    <w:nsid w:val="2A155DBC"/>
    <w:multiLevelType w:val="hybridMultilevel"/>
    <w:lvl w:ilvl="0">
      <w:lvlJc w:val="left"/>
      <w:lvlText w:val="(%1)"/>
      <w:numFmt w:val="lowerLetter"/>
      <w:start w:val="29"/>
    </w:lvl>
  </w:abstractNum>
  <w:abstractNum w:abstractNumId="69">
    <w:nsid w:val="1D9F6E5F"/>
    <w:multiLevelType w:val="hybridMultilevel"/>
    <w:lvl w:ilvl="0">
      <w:lvlJc w:val="left"/>
      <w:lvlText w:val="%1."/>
      <w:numFmt w:val="decimal"/>
      <w:start w:val="6"/>
    </w:lvl>
  </w:abstractNum>
  <w:abstractNum w:abstractNumId="70">
    <w:nsid w:val="97E1B4E"/>
    <w:multiLevelType w:val="hybridMultilevel"/>
    <w:lvl w:ilvl="0">
      <w:lvlJc w:val="left"/>
      <w:lvlText w:val="%1."/>
      <w:numFmt w:val="decimal"/>
      <w:start w:val="7"/>
    </w:lvl>
  </w:abstractNum>
  <w:abstractNum w:abstractNumId="71">
    <w:nsid w:val="51088277"/>
    <w:multiLevelType w:val="hybridMultilevel"/>
    <w:lvl w:ilvl="0">
      <w:lvlJc w:val="left"/>
      <w:lvlText w:val="%1"/>
      <w:numFmt w:val="lowerRoman"/>
      <w:start w:val="1"/>
    </w:lvl>
    <w:lvl w:ilvl="1">
      <w:lvlJc w:val="left"/>
      <w:lvlText w:val="%2."/>
      <w:numFmt w:val="decimal"/>
      <w:start w:val="8"/>
    </w:lvl>
  </w:abstractNum>
  <w:abstractNum w:abstractNumId="72">
    <w:nsid w:val="1CA0C5FA"/>
    <w:multiLevelType w:val="hybridMultilevel"/>
    <w:lvl w:ilvl="0">
      <w:lvlJc w:val="left"/>
      <w:lvlText w:val="(%1)"/>
      <w:numFmt w:val="lowerRoman"/>
      <w:start w:val="3"/>
    </w:lvl>
    <w:lvl w:ilvl="1">
      <w:lvlJc w:val="left"/>
      <w:lvlText w:val="%2"/>
      <w:numFmt w:val="decimal"/>
      <w:start w:val="1"/>
    </w:lvl>
  </w:abstractNum>
  <w:abstractNum w:abstractNumId="73">
    <w:nsid w:val="53584BCB"/>
    <w:multiLevelType w:val="hybridMultilevel"/>
    <w:lvl w:ilvl="0">
      <w:lvlJc w:val="left"/>
      <w:lvlText w:val="%1"/>
      <w:numFmt w:val="lowerRoman"/>
      <w:start w:val="1"/>
    </w:lvl>
    <w:lvl w:ilvl="1">
      <w:lvlJc w:val="left"/>
      <w:lvlText w:val="%2."/>
      <w:numFmt w:val="decimal"/>
      <w:start w:val="9"/>
    </w:lvl>
  </w:abstractNum>
  <w:abstractNum w:abstractNumId="74">
    <w:nsid w:val="415E286C"/>
    <w:multiLevelType w:val="hybridMultilevel"/>
    <w:lvl w:ilvl="0">
      <w:lvlJc w:val="left"/>
      <w:lvlText w:val="(%1)"/>
      <w:numFmt w:val="lowerRoman"/>
      <w:start w:val="2"/>
    </w:lvl>
    <w:lvl w:ilvl="1">
      <w:lvlJc w:val="left"/>
      <w:lvlText w:val="%2"/>
      <w:numFmt w:val="decimal"/>
      <w:start w:val="1"/>
    </w:lvl>
  </w:abstractNum>
  <w:abstractNum w:abstractNumId="75">
    <w:nsid w:val="7C58FD05"/>
    <w:multiLevelType w:val="hybridMultilevel"/>
    <w:lvl w:ilvl="0">
      <w:lvlJc w:val="left"/>
      <w:lvlText w:val="%1."/>
      <w:numFmt w:val="decimal"/>
      <w:start w:val="10"/>
    </w:lvl>
  </w:abstractNum>
  <w:abstractNum w:abstractNumId="76">
    <w:nsid w:val="23D86AAC"/>
    <w:multiLevelType w:val="hybridMultilevel"/>
    <w:lvl w:ilvl="0">
      <w:lvlJc w:val="left"/>
      <w:lvlText w:val="%1."/>
      <w:numFmt w:val="decimal"/>
      <w:start w:val="11"/>
    </w:lvl>
  </w:abstractNum>
  <w:abstractNum w:abstractNumId="77">
    <w:nsid w:val="45E6D486"/>
    <w:multiLevelType w:val="hybridMultilevel"/>
    <w:lvl w:ilvl="0">
      <w:lvlJc w:val="left"/>
      <w:lvlText w:val="%1."/>
      <w:numFmt w:val="decimal"/>
      <w:start w:val="12"/>
    </w:lvl>
  </w:abstractNum>
  <w:abstractNum w:abstractNumId="78">
    <w:nsid w:val="5C10FE21"/>
    <w:multiLevelType w:val="hybridMultilevel"/>
    <w:lvl w:ilvl="0">
      <w:lvlJc w:val="left"/>
      <w:lvlText w:val="(%1)"/>
      <w:numFmt w:val="lowerRoman"/>
      <w:start w:val="3"/>
    </w:lvl>
  </w:abstractNum>
  <w:abstractNum w:abstractNumId="79">
    <w:nsid w:val="E7FFA2B"/>
    <w:multiLevelType w:val="hybridMultilevel"/>
    <w:lvl w:ilvl="0">
      <w:lvlJc w:val="left"/>
      <w:lvlText w:val="(%1)"/>
      <w:numFmt w:val="lowerLetter"/>
      <w:start w:val="25"/>
    </w:lvl>
  </w:abstractNum>
  <w:abstractNum w:abstractNumId="80">
    <w:nsid w:val="3C5991AA"/>
    <w:multiLevelType w:val="hybridMultilevel"/>
    <w:lvl w:ilvl="0">
      <w:lvlJc w:val="left"/>
      <w:lvlText w:val="%1."/>
      <w:numFmt w:val="decimal"/>
      <w:start w:val="13"/>
    </w:lvl>
  </w:abstractNum>
  <w:abstractNum w:abstractNumId="81">
    <w:nsid w:val="4BD8591A"/>
    <w:multiLevelType w:val="hybridMultilevel"/>
    <w:lvl w:ilvl="0">
      <w:lvlJc w:val="left"/>
      <w:lvlText w:val="%1."/>
      <w:numFmt w:val="decimal"/>
      <w:start w:val="15"/>
    </w:lvl>
  </w:abstractNum>
  <w:abstractNum w:abstractNumId="82">
    <w:nsid w:val="78DF6A55"/>
    <w:multiLevelType w:val="hybridMultilevel"/>
    <w:lvl w:ilvl="0">
      <w:lvlJc w:val="left"/>
      <w:lvlText w:val="%1."/>
      <w:numFmt w:val="decimal"/>
      <w:start w:val="16"/>
    </w:lvl>
  </w:abstractNum>
  <w:abstractNum w:abstractNumId="83">
    <w:nsid w:val="39B7AAA2"/>
    <w:multiLevelType w:val="hybridMultilevel"/>
    <w:lvl w:ilvl="0">
      <w:lvlJc w:val="left"/>
      <w:lvlText w:val="%1."/>
      <w:numFmt w:val="decimal"/>
      <w:start w:val="17"/>
    </w:lvl>
  </w:abstractNum>
  <w:abstractNum w:abstractNumId="84">
    <w:nsid w:val="2B0D8DBE"/>
    <w:multiLevelType w:val="hybridMultilevel"/>
    <w:lvl w:ilvl="0">
      <w:lvlJc w:val="left"/>
      <w:lvlText w:val="%1."/>
      <w:numFmt w:val="decimal"/>
      <w:start w:val="18"/>
    </w:lvl>
  </w:abstractNum>
  <w:abstractNum w:abstractNumId="85">
    <w:nsid w:val="6C80EC70"/>
    <w:multiLevelType w:val="hybridMultilevel"/>
    <w:lvl w:ilvl="0">
      <w:lvlJc w:val="left"/>
      <w:lvlText w:val="%1."/>
      <w:numFmt w:val="decimal"/>
      <w:start w:val="19"/>
    </w:lvl>
  </w:abstractNum>
  <w:abstractNum w:abstractNumId="86">
    <w:nsid w:val="379E21B5"/>
    <w:multiLevelType w:val="hybridMultilevel"/>
    <w:lvl w:ilvl="0">
      <w:lvlJc w:val="left"/>
      <w:lvlText w:val="%1."/>
      <w:numFmt w:val="decimal"/>
      <w:start w:val="20"/>
    </w:lvl>
  </w:abstractNum>
  <w:abstractNum w:abstractNumId="87">
    <w:nsid w:val="69E373"/>
    <w:multiLevelType w:val="hybridMultilevel"/>
    <w:lvl w:ilvl="0">
      <w:lvlJc w:val="left"/>
      <w:lvlText w:val="(%1)"/>
      <w:numFmt w:val="lowerLetter"/>
      <w:start w:val="1"/>
    </w:lvl>
  </w:abstractNum>
  <w:abstractNum w:abstractNumId="88">
    <w:nsid w:val="2C27173B"/>
    <w:multiLevelType w:val="hybridMultilevel"/>
    <w:lvl w:ilvl="0">
      <w:lvlJc w:val="left"/>
      <w:lvlText w:val="(%1)"/>
      <w:numFmt w:val="lowerLetter"/>
      <w:start w:val="2"/>
    </w:lvl>
    <w:lvl w:ilvl="1">
      <w:lvlJc w:val="left"/>
      <w:lvlText w:val="(%2)"/>
      <w:numFmt w:val="lowerLetter"/>
      <w:start w:val="3"/>
    </w:lvl>
  </w:abstractNum>
  <w:abstractNum w:abstractNumId="89">
    <w:nsid w:val="4C9B0904"/>
    <w:multiLevelType w:val="hybridMultilevel"/>
    <w:lvl w:ilvl="0">
      <w:lvlJc w:val="left"/>
      <w:lvlText w:val="(%1)"/>
      <w:numFmt w:val="lowerLetter"/>
      <w:start w:val="4"/>
    </w:lvl>
    <w:lvl w:ilvl="1">
      <w:lvlJc w:val="left"/>
      <w:lvlText w:val="(%2)"/>
      <w:numFmt w:val="lowerLetter"/>
      <w:start w:val="5"/>
    </w:lvl>
  </w:abstractNum>
  <w:abstractNum w:abstractNumId="90">
    <w:nsid w:val="6AA7B75C"/>
    <w:multiLevelType w:val="hybridMultilevel"/>
    <w:lvl w:ilvl="0">
      <w:lvlJc w:val="left"/>
      <w:lvlText w:val="(%1)"/>
      <w:numFmt w:val="lowerLetter"/>
      <w:start w:val="6"/>
    </w:lvl>
  </w:abstractNum>
  <w:abstractNum w:abstractNumId="91">
    <w:nsid w:val="1DF029D3"/>
    <w:multiLevelType w:val="hybridMultilevel"/>
    <w:lvl w:ilvl="0">
      <w:lvlJc w:val="left"/>
      <w:lvlText w:val="(%1)"/>
      <w:numFmt w:val="lowerLetter"/>
      <w:start w:val="7"/>
    </w:lvl>
  </w:abstractNum>
  <w:abstractNum w:abstractNumId="92">
    <w:nsid w:val="5675FF3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1"/>
    </w:lvl>
  </w:abstractNum>
  <w:abstractNum w:abstractNumId="93">
    <w:nsid w:val="3DD15094"/>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94">
    <w:nsid w:val="3DB012B3"/>
    <w:multiLevelType w:val="hybridMultilevel"/>
    <w:lvl w:ilvl="0">
      <w:lvlJc w:val="left"/>
      <w:lvlText w:val="(%1)"/>
      <w:numFmt w:val="lowerLetter"/>
      <w:start w:val="3"/>
    </w:lvl>
  </w:abstractNum>
  <w:abstractNum w:abstractNumId="95">
    <w:nsid w:val="2708C9AF"/>
    <w:multiLevelType w:val="hybridMultilevel"/>
    <w:lvl w:ilvl="0">
      <w:lvlJc w:val="left"/>
      <w:lvlText w:val="(%1)"/>
      <w:numFmt w:val="upperLetter"/>
      <w:start w:val="3"/>
    </w:lvl>
  </w:abstractNum>
  <w:abstractNum w:abstractNumId="96">
    <w:nsid w:val="5B25ACE2"/>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2"/>
    </w:lvl>
  </w:abstractNum>
  <w:abstractNum w:abstractNumId="97">
    <w:nsid w:val="175DFCF0"/>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98">
    <w:nsid w:val="4F97E3E4"/>
    <w:multiLevelType w:val="hybridMultilevel"/>
    <w:lvl w:ilvl="0">
      <w:lvlJc w:val="left"/>
      <w:lvlText w:val="(%1)"/>
      <w:numFmt w:val="lowerRoman"/>
      <w:start w:val="3"/>
    </w:lvl>
  </w:abstractNum>
  <w:abstractNum w:abstractNumId="99">
    <w:nsid w:val="53B0A9E"/>
    <w:multiLevelType w:val="hybridMultilevel"/>
    <w:lvl w:ilvl="0">
      <w:lvlJc w:val="left"/>
      <w:lvlText w:val="(%1)"/>
      <w:numFmt w:val="lowerRoman"/>
      <w:start w:val="5"/>
    </w:lvl>
  </w:abstractNum>
  <w:abstractNum w:abstractNumId="100">
    <w:nsid w:val="34FD6B4F"/>
    <w:multiLevelType w:val="hybridMultilevel"/>
    <w:lvl w:ilvl="0">
      <w:lvlJc w:val="left"/>
      <w:lvlText w:val="%1"/>
      <w:numFmt w:val="lowerLetter"/>
      <w:start w:val="1"/>
    </w:lvl>
    <w:lvl w:ilvl="1">
      <w:lvlJc w:val="left"/>
      <w:lvlText w:val="%2."/>
      <w:numFmt w:val="decimal"/>
      <w:start w:val="22"/>
    </w:lvl>
  </w:abstractNum>
  <w:abstractNum w:abstractNumId="101">
    <w:nsid w:val="5915FF32"/>
    <w:multiLevelType w:val="hybridMultilevel"/>
    <w:lvl w:ilvl="0">
      <w:lvlJc w:val="left"/>
      <w:lvlText w:val="(%1)"/>
      <w:numFmt w:val="lowerLetter"/>
      <w:start w:val="1"/>
    </w:lvl>
    <w:lvl w:ilvl="1">
      <w:lvlJc w:val="left"/>
      <w:lvlText w:val="%2"/>
      <w:numFmt w:val="decimal"/>
      <w:start w:val="1"/>
    </w:lvl>
  </w:abstractNum>
  <w:abstractNum w:abstractNumId="102">
    <w:nsid w:val="56438D15"/>
    <w:multiLevelType w:val="hybridMultilevel"/>
    <w:lvl w:ilvl="0">
      <w:lvlJc w:val="left"/>
      <w:lvlText w:val="(%1)"/>
      <w:numFmt w:val="decimal"/>
      <w:start w:val="3"/>
    </w:lvl>
  </w:abstractNum>
  <w:abstractNum w:abstractNumId="103">
    <w:nsid w:val="519E3149"/>
    <w:multiLevelType w:val="hybridMultilevel"/>
    <w:lvl w:ilvl="0">
      <w:lvlJc w:val="left"/>
      <w:lvlText w:val="(%1)"/>
      <w:numFmt w:val="lowerLetter"/>
      <w:start w:val="3"/>
    </w:lvl>
  </w:abstractNum>
  <w:abstractNum w:abstractNumId="104">
    <w:nsid w:val="2C6E4AFD"/>
    <w:multiLevelType w:val="hybridMultilevel"/>
    <w:lvl w:ilvl="0">
      <w:lvlJc w:val="left"/>
      <w:lvlText w:val="(%1)"/>
      <w:numFmt w:val="lowerLetter"/>
      <w:start w:val="4"/>
    </w:lvl>
  </w:abstractNum>
  <w:abstractNum w:abstractNumId="105">
    <w:nsid w:val="17A1B582"/>
    <w:multiLevelType w:val="hybridMultilevel"/>
    <w:lvl w:ilvl="0">
      <w:lvlJc w:val="left"/>
      <w:lvlText w:val="(%1)"/>
      <w:numFmt w:val="lowerLetter"/>
      <w:start w:val="5"/>
    </w:lvl>
    <w:lvl w:ilvl="1">
      <w:lvlJc w:val="left"/>
      <w:lvlText w:val="(%2)"/>
      <w:numFmt w:val="lowerLetter"/>
      <w:start w:val="6"/>
    </w:lvl>
  </w:abstractNum>
  <w:abstractNum w:abstractNumId="106">
    <w:nsid w:val="4DF72E4E"/>
    <w:multiLevelType w:val="hybridMultilevel"/>
    <w:lvl w:ilvl="0">
      <w:lvlJc w:val="left"/>
      <w:lvlText w:val="%1."/>
      <w:numFmt w:val="decimal"/>
      <w:start w:val="23"/>
    </w:lvl>
  </w:abstractNum>
  <w:abstractNum w:abstractNumId="107">
    <w:nsid w:val="5046B5A9"/>
    <w:multiLevelType w:val="hybridMultilevel"/>
    <w:lvl w:ilvl="0">
      <w:lvlJc w:val="left"/>
      <w:lvlText w:val="%1."/>
      <w:numFmt w:val="decimal"/>
      <w:start w:val="24"/>
    </w:lvl>
  </w:abstractNum>
  <w:abstractNum w:abstractNumId="108">
    <w:nsid w:val="5D888A08"/>
    <w:multiLevelType w:val="hybridMultilevel"/>
    <w:lvl w:ilvl="0">
      <w:lvlJc w:val="left"/>
      <w:lvlText w:val="%1."/>
      <w:numFmt w:val="decimal"/>
      <w:start w:val="26"/>
    </w:lvl>
  </w:abstractNum>
  <w:abstractNum w:abstractNumId="109">
    <w:nsid w:val="2A082C70"/>
    <w:multiLevelType w:val="hybridMultilevel"/>
    <w:lvl w:ilvl="0">
      <w:lvlJc w:val="left"/>
      <w:lvlText w:val="%1."/>
      <w:numFmt w:val="decimal"/>
      <w:start w:val="28"/>
    </w:lvl>
  </w:abstractNum>
  <w:abstractNum w:abstractNumId="110">
    <w:nsid w:val="5EC6AFD4"/>
    <w:multiLevelType w:val="hybridMultilevel"/>
    <w:lvl w:ilvl="0">
      <w:lvlJc w:val="left"/>
      <w:lvlText w:val="%1."/>
      <w:numFmt w:val="decimal"/>
      <w:start w:val="29"/>
    </w:lvl>
    <w:lvl w:ilvl="1">
      <w:lvlJc w:val="left"/>
      <w:lvlText w:val="(%2)"/>
      <w:numFmt w:val="lowerLetter"/>
    </w:lvl>
    <w:lvl w:ilvl="2">
      <w:lvlJc w:val="left"/>
      <w:lvlText w:val="%3."/>
      <w:numFmt w:val="decimal"/>
      <w:start w:val="30"/>
    </w:lvl>
  </w:abstractNum>
  <w:abstractNum w:abstractNumId="111">
    <w:nsid w:val="19E21BB2"/>
    <w:multiLevelType w:val="hybridMultilevel"/>
    <w:lvl w:ilvl="0">
      <w:lvlJc w:val="left"/>
      <w:lvlText w:val="(%1)"/>
      <w:numFmt w:val="lowerLetter"/>
      <w:start w:val="25"/>
    </w:lvl>
    <w:lvl w:ilvl="1">
      <w:lvlJc w:val="left"/>
      <w:lvlText w:val="(%2)"/>
      <w:numFmt w:val="lowerLetter"/>
      <w:start w:val="2"/>
    </w:lvl>
  </w:abstractNum>
  <w:abstractNum w:abstractNumId="112">
    <w:nsid w:val="75E0858A"/>
    <w:multiLevelType w:val="hybridMultilevel"/>
    <w:lvl w:ilvl="0">
      <w:lvlJc w:val="left"/>
      <w:lvlText w:val="(%1)"/>
      <w:numFmt w:val="lowerLetter"/>
      <w:start w:val="3"/>
    </w:lvl>
    <w:lvl w:ilvl="1">
      <w:lvlJc w:val="left"/>
      <w:lvlText w:val="(%2)"/>
      <w:numFmt w:val="lowerLetter"/>
      <w:start w:val="4"/>
    </w:lvl>
  </w:abstractNum>
  <w:abstractNum w:abstractNumId="113">
    <w:nsid w:val="57A61A29"/>
    <w:multiLevelType w:val="hybridMultilevel"/>
    <w:lvl w:ilvl="0">
      <w:lvlJc w:val="left"/>
      <w:lvlText w:val="(%1)"/>
      <w:numFmt w:val="lowerLetter"/>
      <w:start w:val="6"/>
    </w:lvl>
  </w:abstractNum>
  <w:abstractNum w:abstractNumId="114">
    <w:nsid w:val="5399C654"/>
    <w:multiLevelType w:val="hybridMultilevel"/>
    <w:lvl w:ilvl="0">
      <w:lvlJc w:val="left"/>
      <w:lvlText w:val="(%1)"/>
      <w:numFmt w:val="lowerLetter"/>
      <w:start w:val="7"/>
    </w:lvl>
  </w:abstractNum>
  <w:abstractNum w:abstractNumId="115">
    <w:nsid w:val="20EE1348"/>
    <w:multiLevelType w:val="hybridMultilevel"/>
    <w:lvl w:ilvl="0">
      <w:lvlJc w:val="left"/>
      <w:lvlText w:val="%1."/>
      <w:numFmt w:val="decimal"/>
      <w:start w:val="31"/>
    </w:lvl>
  </w:abstractNum>
  <w:abstractNum w:abstractNumId="116">
    <w:nsid w:val="4427069A"/>
    <w:multiLevelType w:val="hybridMultilevel"/>
    <w:lvl w:ilvl="0">
      <w:lvlJc w:val="left"/>
      <w:lvlText w:val="%1."/>
      <w:numFmt w:val="decimal"/>
      <w:start w:val="32"/>
    </w:lvl>
  </w:abstractNum>
  <w:abstractNum w:abstractNumId="117">
    <w:nsid w:val="B37E80A"/>
    <w:multiLevelType w:val="hybridMultilevel"/>
    <w:lvl w:ilvl="0">
      <w:lvlJc w:val="left"/>
      <w:lvlText w:val="%1."/>
      <w:numFmt w:val="decimal"/>
      <w:start w:val="33"/>
    </w:lvl>
    <w:lvl w:ilvl="1">
      <w:lvlJc w:val="left"/>
      <w:lvlText w:val="%2."/>
      <w:numFmt w:val="decimal"/>
      <w:start w:val="34"/>
    </w:lvl>
  </w:abstractNum>
  <w:abstractNum w:abstractNumId="118">
    <w:nsid w:val="2157F6BC"/>
    <w:multiLevelType w:val="hybridMultilevel"/>
    <w:lvl w:ilvl="0">
      <w:lvlJc w:val="left"/>
      <w:lvlText w:val="%1."/>
      <w:numFmt w:val="decimal"/>
      <w:start w:val="36"/>
    </w:lvl>
  </w:abstractNum>
  <w:abstractNum w:abstractNumId="119">
    <w:nsid w:val="704E1DD5"/>
    <w:multiLevelType w:val="hybridMultilevel"/>
    <w:lvl w:ilvl="0">
      <w:lvlJc w:val="left"/>
      <w:lvlText w:val="%1."/>
      <w:numFmt w:val="decimal"/>
      <w:start w:val="37"/>
    </w:lvl>
  </w:abstractNum>
  <w:abstractNum w:abstractNumId="120">
    <w:nsid w:val="57D2F10E"/>
    <w:multiLevelType w:val="hybridMultilevel"/>
    <w:lvl w:ilvl="0">
      <w:lvlJc w:val="left"/>
      <w:lvlText w:val="%1."/>
      <w:numFmt w:val="decimal"/>
      <w:start w:val="39"/>
    </w:lvl>
    <w:lvl w:ilvl="1">
      <w:lvlJc w:val="left"/>
      <w:lvlText w:val="(%2)"/>
      <w:numFmt w:val="lowerLetter"/>
      <w:start w:val="1"/>
    </w:lvl>
  </w:abstractNum>
  <w:abstractNum w:abstractNumId="121">
    <w:nsid w:val="BFFAE18"/>
    <w:multiLevelType w:val="hybridMultilevel"/>
    <w:lvl w:ilvl="0">
      <w:lvlJc w:val="left"/>
      <w:lvlText w:val="(%1)"/>
      <w:numFmt w:val="lowerLetter"/>
      <w:start w:val="2"/>
    </w:lvl>
  </w:abstractNum>
  <w:abstractNum w:abstractNumId="122">
    <w:nsid w:val="E3E47A8"/>
    <w:multiLevelType w:val="hybridMultilevel"/>
    <w:lvl w:ilvl="0">
      <w:lvlJc w:val="left"/>
      <w:lvlText w:val="(%1)"/>
      <w:numFmt w:val="lowerLetter"/>
      <w:start w:val="3"/>
    </w:lvl>
  </w:abstractNum>
  <w:abstractNum w:abstractNumId="123">
    <w:nsid w:val="2E48F044"/>
    <w:multiLevelType w:val="hybridMultilevel"/>
    <w:lvl w:ilvl="0">
      <w:lvlJc w:val="left"/>
      <w:lvlText w:val="(%1)"/>
      <w:numFmt w:val="lowerLetter"/>
      <w:start w:val="5"/>
    </w:lvl>
  </w:abstractNum>
  <w:abstractNum w:abstractNumId="124">
    <w:nsid w:val="49D0FEAC"/>
    <w:multiLevelType w:val="hybridMultilevel"/>
    <w:lvl w:ilvl="0">
      <w:lvlJc w:val="left"/>
      <w:lvlText w:val="%1"/>
      <w:numFmt w:val="lowerLetter"/>
      <w:start w:val="1"/>
    </w:lvl>
    <w:lvl w:ilvl="1">
      <w:lvlJc w:val="left"/>
      <w:lvlText w:val="%2."/>
      <w:numFmt w:val="decimal"/>
      <w:start w:val="40"/>
    </w:lvl>
  </w:abstractNum>
  <w:abstractNum w:abstractNumId="125">
    <w:nsid w:val="4BEE5A5B"/>
    <w:multiLevelType w:val="hybridMultilevel"/>
    <w:lvl w:ilvl="0">
      <w:lvlJc w:val="left"/>
      <w:lvlText w:val="(%1)"/>
      <w:numFmt w:val="lowerLetter"/>
      <w:start w:val="1"/>
    </w:lvl>
    <w:lvl w:ilvl="1">
      <w:lvlJc w:val="left"/>
      <w:lvlText w:val="%2"/>
      <w:numFmt w:val="decimal"/>
      <w:start w:val="1"/>
    </w:lvl>
  </w:abstractNum>
  <w:abstractNum w:abstractNumId="126">
    <w:nsid w:val="5551B9F3"/>
    <w:multiLevelType w:val="hybridMultilevel"/>
    <w:lvl w:ilvl="0">
      <w:lvlJc w:val="left"/>
      <w:lvlText w:val="(%1)"/>
      <w:numFmt w:val="lowerLetter"/>
      <w:start w:val="4"/>
    </w:lvl>
  </w:abstractNum>
  <w:abstractNum w:abstractNumId="127">
    <w:nsid w:val="24F6AB8E"/>
    <w:multiLevelType w:val="hybridMultilevel"/>
    <w:lvl w:ilvl="0">
      <w:lvlJc w:val="left"/>
      <w:lvlText w:val="(%1)"/>
      <w:numFmt w:val="lowerLetter"/>
      <w:start w:val="5"/>
    </w:lvl>
  </w:abstractNum>
  <w:abstractNum w:abstractNumId="128">
    <w:nsid w:val="634C574C"/>
    <w:multiLevelType w:val="hybridMultilevel"/>
    <w:lvl w:ilvl="0">
      <w:lvlJc w:val="left"/>
      <w:lvlText w:val="%1."/>
      <w:numFmt w:val="decimal"/>
      <w:start w:val="41"/>
    </w:lvl>
  </w:abstractNum>
  <w:abstractNum w:abstractNumId="129">
    <w:nsid w:val="24E99DD7"/>
    <w:multiLevelType w:val="hybridMultilevel"/>
    <w:lvl w:ilvl="0">
      <w:lvlJc w:val="left"/>
      <w:lvlText w:val="%1"/>
      <w:numFmt w:val="lowerLetter"/>
      <w:start w:val="1"/>
    </w:lvl>
    <w:lvl w:ilvl="1">
      <w:lvlJc w:val="left"/>
      <w:lvlText w:val="(%2)"/>
      <w:numFmt w:val="lowerLetter"/>
      <w:start w:val="1"/>
    </w:lvl>
  </w:abstractNum>
  <w:abstractNum w:abstractNumId="130">
    <w:nsid w:val="2A31B62D"/>
    <w:multiLevelType w:val="hybridMultilevel"/>
    <w:lvl w:ilvl="0">
      <w:lvlJc w:val="left"/>
      <w:lvlText w:val="(%1)"/>
      <w:numFmt w:val="lowerLetter"/>
      <w:start w:val="2"/>
    </w:lvl>
    <w:lvl w:ilvl="1">
      <w:lvlJc w:val="left"/>
      <w:lvlText w:val="%2"/>
      <w:numFmt w:val="lowerLetter"/>
      <w:start w:val="1"/>
    </w:lvl>
  </w:abstractNum>
  <w:abstractNum w:abstractNumId="131">
    <w:nsid w:val="1849C29B"/>
    <w:multiLevelType w:val="hybridMultilevel"/>
    <w:lvl w:ilvl="0">
      <w:lvlJc w:val="left"/>
      <w:lvlText w:val="(%1)"/>
      <w:numFmt w:val="lowerLetter"/>
      <w:start w:val="5"/>
    </w:lvl>
  </w:abstractNum>
  <w:abstractNum w:abstractNumId="132">
    <w:nsid w:val="7DFF9D09"/>
    <w:multiLevelType w:val="hybridMultilevel"/>
    <w:lvl w:ilvl="0">
      <w:lvlJc w:val="left"/>
      <w:lvlText w:val="%1."/>
      <w:numFmt w:val="decimal"/>
      <w:start w:val="42"/>
    </w:lvl>
    <w:lvl w:ilvl="1">
      <w:lvlJc w:val="left"/>
      <w:lvlText w:val="%2."/>
      <w:numFmt w:val="decimal"/>
      <w:start w:val="43"/>
    </w:lvl>
  </w:abstractNum>
  <w:abstractNum w:abstractNumId="133">
    <w:nsid w:val="754342"/>
    <w:multiLevelType w:val="hybridMultilevel"/>
    <w:lvl w:ilvl="0">
      <w:lvlJc w:val="left"/>
      <w:lvlText w:val="(%1)"/>
      <w:numFmt w:val="lowerLetter"/>
      <w:start w:val="1"/>
    </w:lvl>
    <w:lvl w:ilvl="1">
      <w:lvlJc w:val="left"/>
      <w:lvlText w:val="(%2)"/>
      <w:numFmt w:val="lowerLetter"/>
      <w:start w:val="2"/>
    </w:lvl>
  </w:abstractNum>
  <w:abstractNum w:abstractNumId="134">
    <w:nsid w:val="69E7F3E5"/>
    <w:multiLevelType w:val="hybridMultilevel"/>
    <w:lvl w:ilvl="0">
      <w:lvlJc w:val="left"/>
      <w:lvlText w:val="(%1)"/>
      <w:numFmt w:val="lowerLetter"/>
      <w:start w:val="4"/>
    </w:lvl>
  </w:abstractNum>
  <w:abstractNum w:abstractNumId="135">
    <w:nsid w:val="2A6DE806"/>
    <w:multiLevelType w:val="hybridMultilevel"/>
    <w:lvl w:ilvl="0">
      <w:lvlJc w:val="left"/>
      <w:lvlText w:val="(%1)"/>
      <w:numFmt w:val="lowerLetter"/>
      <w:start w:val="6"/>
    </w:lvl>
  </w:abstractNum>
  <w:abstractNum w:abstractNumId="136">
    <w:nsid w:val="1816F8C4"/>
    <w:multiLevelType w:val="hybridMultilevel"/>
    <w:lvl w:ilvl="0">
      <w:lvlJc w:val="left"/>
      <w:lvlText w:val="(%1)"/>
      <w:numFmt w:val="lowerLetter"/>
      <w:start w:val="9"/>
    </w:lvl>
    <w:lvl w:ilvl="1">
      <w:lvlJc w:val="left"/>
      <w:lvlText w:val="(%2)"/>
      <w:numFmt w:val="lowerLetter"/>
    </w:lvl>
    <w:lvl w:ilvl="2">
      <w:lvlJc w:val="left"/>
      <w:lvlText w:val="(%3)"/>
      <w:numFmt w:val="lowerLetter"/>
      <w:start w:val="10"/>
    </w:lvl>
  </w:abstractNum>
  <w:abstractNum w:abstractNumId="137">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1"/>
    </w:lvl>
  </w:abstractNum>
  <w:abstractNum w:abstractNumId="138">
    <w:nsid w:val="7AB49DAF"/>
    <w:multiLevelType w:val="hybridMultilevel"/>
    <w:lvl w:ilvl="0">
      <w:lvlJc w:val="left"/>
      <w:lvlText w:val="(%1)"/>
      <w:numFmt w:val="lowerLetter"/>
      <w:start w:val="12"/>
    </w:lvl>
    <w:lvl w:ilvl="1">
      <w:lvlJc w:val="left"/>
      <w:lvlText w:val="(%2)"/>
      <w:numFmt w:val="lowerLetter"/>
      <w:start w:val="13"/>
    </w:lvl>
  </w:abstractNum>
  <w:abstractNum w:abstractNumId="139">
    <w:nsid w:val="759F82CD"/>
    <w:multiLevelType w:val="hybridMultilevel"/>
    <w:lvl w:ilvl="0">
      <w:lvlJc w:val="left"/>
      <w:lvlText w:val="(%1)"/>
      <w:numFmt w:val="lowerLetter"/>
      <w:start w:val="14"/>
    </w:lvl>
  </w:abstractNum>
  <w:abstractNum w:abstractNumId="140">
    <w:nsid w:val="61E74EA3"/>
    <w:multiLevelType w:val="hybridMultilevel"/>
    <w:lvl w:ilvl="0">
      <w:lvlJc w:val="left"/>
      <w:lvlText w:val="(%1)"/>
      <w:numFmt w:val="lowerLetter"/>
      <w:start w:val="15"/>
    </w:lvl>
    <w:lvl w:ilvl="1">
      <w:lvlJc w:val="left"/>
      <w:lvlText w:val="(%2)"/>
      <w:numFmt w:val="lowerLetter"/>
      <w:start w:val="16"/>
    </w:lvl>
  </w:abstractNum>
  <w:abstractNum w:abstractNumId="141">
    <w:nsid w:val="597B4D84"/>
    <w:multiLevelType w:val="hybridMultilevel"/>
    <w:lvl w:ilvl="0">
      <w:lvlJc w:val="left"/>
      <w:lvlText w:val="(%1)"/>
      <w:numFmt w:val="lowerLetter"/>
      <w:start w:val="18"/>
    </w:lvl>
  </w:abstractNum>
  <w:abstractNum w:abstractNumId="142">
    <w:nsid w:val="F819E7F"/>
    <w:multiLevelType w:val="hybridMultilevel"/>
    <w:lvl w:ilvl="0">
      <w:lvlJc w:val="left"/>
      <w:lvlText w:val="(%1)"/>
      <w:numFmt w:val="lowerLetter"/>
      <w:start w:val="19"/>
    </w:lvl>
  </w:abstractNum>
  <w:abstractNum w:abstractNumId="143">
    <w:nsid w:val="57C7D42D"/>
    <w:multiLevelType w:val="hybridMultilevel"/>
    <w:lvl w:ilvl="0">
      <w:lvlJc w:val="left"/>
      <w:lvlText w:val="(%1)"/>
      <w:numFmt w:val="lowerLetter"/>
      <w:start w:val="2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09" Type="http://schemas.openxmlformats.org/officeDocument/2006/relationships/hyperlink" Target="http://www.sec.gov/Archives/edgar/data/1745999/000119312520031290/d842502dex31.htm" TargetMode="External"/><Relationship Id="rId110" Type="http://schemas.openxmlformats.org/officeDocument/2006/relationships/hyperlink" Target="http://www.sec.gov/Archives/edgar/data/1745999/000119312520031290/d84250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2020-08-12T06:48:37Z</dcterms:created>
  <dcterms:modified xsi:type="dcterms:W3CDTF">2020-08-12T06:48:37Z</dcterms:modified>
</cp:coreProperties>
</file>