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Simon Amy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BEAM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238 MAIN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Beam Therapeutics Inc.</w:t>
              </w:r>
            </w:hyperlink>
            <w:r>
              <w:rPr/>
              <w:t xml:space="preserve"> [ </w:t>
            </w:r>
            <w:r>
              <w:rPr>
                <w:rFonts w:ascii="Times;serif" w:hAnsi="Times;serif"/>
                <w:color w:val="0000FF"/>
                <w:sz w:val="24"/>
                <w:shd w:fill="FFFFFF" w:val="clear"/>
              </w:rPr>
              <w:t>BEAM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16,667</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25.7417</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85,696</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 on March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ranging from $25.32 to $26.05, inclusive. The Reporting Person undertakes to provide to Beam Therapeutics Inc. ("BEAM"), any security holder of BEAM or the staff of the Securities and Exchange Commission,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Christine Bellon,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3879" TargetMode="External"/><Relationship Id="rId5" Type="http://schemas.openxmlformats.org/officeDocument/2006/relationships/hyperlink" Target="http://www.sec.gov/cgi-bin/browse-edgar?action=getcompany&amp;CIK=00017459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3578</Characters>
  <CharactersWithSpaces>4168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