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Guindo Chirfi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BEAM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238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Beam Therapeutics Inc.</w:t>
              </w:r>
            </w:hyperlink>
            <w:r>
              <w:rPr/>
              <w:t xml:space="preserve"> [ </w:t>
            </w:r>
            <w:r>
              <w:rPr>
                <w:rFonts w:ascii="Times;serif" w:hAnsi="Times;serif"/>
                <w:color w:val="0000FF"/>
                <w:sz w:val="24"/>
                <w:shd w:fill="FFFFFF" w:val="clear"/>
              </w:rPr>
              <w:t>BEAM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17.15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33,662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33,662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in full on the earlier of the first anniversary of the date of grant and immediately prior to the date of the next year's annual meeting of stockholders, subject to the reporting person's continued service to the board of directors of Beam Therapeutics Inc.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Christine Bellon,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2753" TargetMode="External"/><Relationship Id="rId5" Type="http://schemas.openxmlformats.org/officeDocument/2006/relationships/hyperlink" Target="http://www.sec.gov/cgi-bin/browse-edgar?action=getcompany&amp;CIK=0001745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3351</Characters>
  <CharactersWithSpaces>3909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