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17, 2021</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BEAM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380" w:type="dxa"/>
        <w:tblCellMar>
          <w:top w:w="0" w:type="dxa"/>
          <w:left w:w="0" w:type="dxa"/>
          <w:bottom w:w="0" w:type="dxa"/>
          <w:right w:w="0" w:type="dxa"/>
        </w:tblCellMar>
      </w:tblPr>
      <w:tr>
        <w:trPr>
          <w:trHeight w:val="212"/>
        </w:trPr>
        <w:tc>
          <w:tcPr>
            <w:tcW w:w="620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91"/>
              </w:rPr>
              <w:t>Delaware</w:t>
            </w:r>
          </w:p>
        </w:tc>
        <w:tc>
          <w:tcPr>
            <w:tcW w:w="1320" w:type="dxa"/>
            <w:vAlign w:val="bottom"/>
          </w:tcPr>
          <w:p>
            <w:pPr>
              <w:jc w:val="right"/>
              <w:ind w:right="41"/>
              <w:spacing w:after="0"/>
              <w:rPr>
                <w:sz w:val="20"/>
                <w:szCs w:val="20"/>
                <w:color w:val="auto"/>
              </w:rPr>
            </w:pPr>
            <w:r>
              <w:rPr>
                <w:rFonts w:ascii="Arial" w:cs="Arial" w:eastAsia="Arial" w:hAnsi="Arial"/>
                <w:sz w:val="18"/>
                <w:szCs w:val="18"/>
                <w:b w:val="1"/>
                <w:bCs w:val="1"/>
                <w:color w:val="auto"/>
              </w:rPr>
              <w:t>81-5238376</w:t>
            </w:r>
          </w:p>
        </w:tc>
      </w:tr>
      <w:tr>
        <w:trPr>
          <w:trHeight w:val="148"/>
        </w:trPr>
        <w:tc>
          <w:tcPr>
            <w:tcW w:w="6200" w:type="dxa"/>
            <w:vAlign w:val="bottom"/>
            <w:gridSpan w:val="3"/>
          </w:tcPr>
          <w:p>
            <w:pPr>
              <w:jc w:val="center"/>
              <w:ind w:right="34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2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00" w:type="dxa"/>
            <w:vAlign w:val="bottom"/>
            <w:gridSpan w:val="3"/>
          </w:tcPr>
          <w:p>
            <w:pPr>
              <w:jc w:val="center"/>
              <w:ind w:right="3400"/>
              <w:spacing w:after="0"/>
              <w:rPr>
                <w:sz w:val="20"/>
                <w:szCs w:val="20"/>
                <w:color w:val="auto"/>
              </w:rPr>
            </w:pPr>
            <w:r>
              <w:rPr>
                <w:rFonts w:ascii="Arial" w:cs="Arial" w:eastAsia="Arial" w:hAnsi="Arial"/>
                <w:sz w:val="14"/>
                <w:szCs w:val="14"/>
                <w:b w:val="1"/>
                <w:bCs w:val="1"/>
                <w:color w:val="auto"/>
                <w:w w:val="94"/>
              </w:rPr>
              <w:t>incorporation or organization)</w:t>
            </w:r>
          </w:p>
        </w:tc>
        <w:tc>
          <w:tcPr>
            <w:tcW w:w="1320" w:type="dxa"/>
            <w:vAlign w:val="bottom"/>
          </w:tcPr>
          <w:p>
            <w:pPr>
              <w:jc w:val="center"/>
              <w:ind w:left="1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20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91"/>
              </w:rPr>
              <w:t>26 Landsdowne St., Cambridge, MA</w:t>
            </w:r>
          </w:p>
        </w:tc>
        <w:tc>
          <w:tcPr>
            <w:tcW w:w="132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620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20" w:type="dxa"/>
            <w:vAlign w:val="bottom"/>
          </w:tcPr>
          <w:p>
            <w:pPr>
              <w:jc w:val="center"/>
              <w:ind w:left="121"/>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2960" w:type="dxa"/>
            <w:vAlign w:val="bottom"/>
          </w:tcPr>
          <w:p>
            <w:pPr>
              <w:spacing w:after="0"/>
              <w:rPr>
                <w:sz w:val="24"/>
                <w:szCs w:val="24"/>
                <w:color w:val="auto"/>
              </w:rPr>
            </w:pPr>
          </w:p>
        </w:tc>
        <w:tc>
          <w:tcPr>
            <w:tcW w:w="324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2019 Equity Incentive Plan</w:t>
            </w:r>
          </w:p>
        </w:tc>
        <w:tc>
          <w:tcPr>
            <w:tcW w:w="1320" w:type="dxa"/>
            <w:vAlign w:val="bottom"/>
          </w:tcPr>
          <w:p>
            <w:pPr>
              <w:spacing w:after="0"/>
              <w:rPr>
                <w:sz w:val="24"/>
                <w:szCs w:val="24"/>
                <w:color w:val="auto"/>
              </w:rPr>
            </w:pPr>
          </w:p>
        </w:tc>
      </w:tr>
      <w:tr>
        <w:trPr>
          <w:trHeight w:val="212"/>
        </w:trPr>
        <w:tc>
          <w:tcPr>
            <w:tcW w:w="6200" w:type="dxa"/>
            <w:vAlign w:val="bottom"/>
            <w:gridSpan w:val="3"/>
          </w:tcPr>
          <w:p>
            <w:pPr>
              <w:jc w:val="center"/>
              <w:ind w:left="1978"/>
              <w:spacing w:after="0"/>
              <w:rPr>
                <w:sz w:val="20"/>
                <w:szCs w:val="20"/>
                <w:color w:val="auto"/>
              </w:rPr>
            </w:pPr>
            <w:r>
              <w:rPr>
                <w:rFonts w:ascii="Arial" w:cs="Arial" w:eastAsia="Arial" w:hAnsi="Arial"/>
                <w:sz w:val="18"/>
                <w:szCs w:val="18"/>
                <w:b w:val="1"/>
                <w:bCs w:val="1"/>
                <w:color w:val="auto"/>
                <w:w w:val="88"/>
              </w:rPr>
              <w:t>2019 Employee Stock Purchase Plan</w:t>
            </w:r>
          </w:p>
        </w:tc>
        <w:tc>
          <w:tcPr>
            <w:tcW w:w="1320" w:type="dxa"/>
            <w:vAlign w:val="bottom"/>
          </w:tcPr>
          <w:p>
            <w:pPr>
              <w:spacing w:after="0"/>
              <w:rPr>
                <w:sz w:val="18"/>
                <w:szCs w:val="18"/>
                <w:color w:val="auto"/>
              </w:rPr>
            </w:pPr>
          </w:p>
        </w:tc>
      </w:tr>
      <w:tr>
        <w:trPr>
          <w:trHeight w:val="186"/>
        </w:trPr>
        <w:tc>
          <w:tcPr>
            <w:tcW w:w="2960" w:type="dxa"/>
            <w:vAlign w:val="bottom"/>
          </w:tcPr>
          <w:p>
            <w:pPr>
              <w:spacing w:after="0"/>
              <w:rPr>
                <w:sz w:val="16"/>
                <w:szCs w:val="16"/>
                <w:color w:val="auto"/>
              </w:rPr>
            </w:pPr>
          </w:p>
        </w:tc>
        <w:tc>
          <w:tcPr>
            <w:tcW w:w="32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5"/>
              </w:rPr>
              <w:t>(Full title of the plan)</w:t>
            </w:r>
          </w:p>
        </w:tc>
        <w:tc>
          <w:tcPr>
            <w:tcW w:w="1320" w:type="dxa"/>
            <w:vAlign w:val="bottom"/>
          </w:tcPr>
          <w:p>
            <w:pPr>
              <w:spacing w:after="0"/>
              <w:rPr>
                <w:sz w:val="16"/>
                <w:szCs w:val="16"/>
                <w:color w:val="auto"/>
              </w:rPr>
            </w:pPr>
          </w:p>
        </w:tc>
      </w:tr>
      <w:tr>
        <w:trPr>
          <w:trHeight w:val="399"/>
        </w:trPr>
        <w:tc>
          <w:tcPr>
            <w:tcW w:w="2960" w:type="dxa"/>
            <w:vAlign w:val="bottom"/>
          </w:tcPr>
          <w:p>
            <w:pPr>
              <w:spacing w:after="0"/>
              <w:rPr>
                <w:sz w:val="24"/>
                <w:szCs w:val="24"/>
                <w:color w:val="auto"/>
              </w:rPr>
            </w:pPr>
          </w:p>
        </w:tc>
        <w:tc>
          <w:tcPr>
            <w:tcW w:w="324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9"/>
              </w:rPr>
              <w:t>John Evans</w:t>
            </w:r>
          </w:p>
        </w:tc>
        <w:tc>
          <w:tcPr>
            <w:tcW w:w="13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Chief Executive Officer</w:t>
            </w:r>
          </w:p>
        </w:tc>
        <w:tc>
          <w:tcPr>
            <w:tcW w:w="132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Beam Therapeutics Inc.</w:t>
            </w:r>
          </w:p>
        </w:tc>
        <w:tc>
          <w:tcPr>
            <w:tcW w:w="132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8"/>
              </w:rPr>
              <w:t>26 Landsdowne Street</w:t>
            </w:r>
          </w:p>
        </w:tc>
        <w:tc>
          <w:tcPr>
            <w:tcW w:w="1320" w:type="dxa"/>
            <w:vAlign w:val="bottom"/>
          </w:tcPr>
          <w:p>
            <w:pPr>
              <w:spacing w:after="0"/>
              <w:rPr>
                <w:sz w:val="18"/>
                <w:szCs w:val="18"/>
                <w:color w:val="auto"/>
              </w:rPr>
            </w:pPr>
          </w:p>
        </w:tc>
      </w:tr>
      <w:tr>
        <w:trPr>
          <w:trHeight w:val="212"/>
        </w:trPr>
        <w:tc>
          <w:tcPr>
            <w:tcW w:w="296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4"/>
              </w:rPr>
              <w:t>Cambridge, MA 02139</w:t>
            </w:r>
          </w:p>
        </w:tc>
        <w:tc>
          <w:tcPr>
            <w:tcW w:w="1320" w:type="dxa"/>
            <w:vAlign w:val="bottom"/>
          </w:tcPr>
          <w:p>
            <w:pPr>
              <w:spacing w:after="0"/>
              <w:rPr>
                <w:sz w:val="18"/>
                <w:szCs w:val="18"/>
                <w:color w:val="auto"/>
              </w:rPr>
            </w:pPr>
          </w:p>
        </w:tc>
      </w:tr>
      <w:tr>
        <w:trPr>
          <w:trHeight w:val="186"/>
        </w:trPr>
        <w:tc>
          <w:tcPr>
            <w:tcW w:w="6200" w:type="dxa"/>
            <w:vAlign w:val="bottom"/>
            <w:gridSpan w:val="3"/>
          </w:tcPr>
          <w:p>
            <w:pPr>
              <w:jc w:val="center"/>
              <w:ind w:left="1958"/>
              <w:spacing w:after="0"/>
              <w:rPr>
                <w:sz w:val="20"/>
                <w:szCs w:val="20"/>
                <w:color w:val="auto"/>
              </w:rPr>
            </w:pPr>
            <w:r>
              <w:rPr>
                <w:rFonts w:ascii="Arial" w:cs="Arial" w:eastAsia="Arial" w:hAnsi="Arial"/>
                <w:sz w:val="14"/>
                <w:szCs w:val="14"/>
                <w:b w:val="1"/>
                <w:bCs w:val="1"/>
                <w:color w:val="auto"/>
                <w:w w:val="91"/>
              </w:rPr>
              <w:t>(Name and address of agent for service)</w:t>
            </w:r>
          </w:p>
        </w:tc>
        <w:tc>
          <w:tcPr>
            <w:tcW w:w="1320" w:type="dxa"/>
            <w:vAlign w:val="bottom"/>
          </w:tcPr>
          <w:p>
            <w:pPr>
              <w:spacing w:after="0"/>
              <w:rPr>
                <w:sz w:val="16"/>
                <w:szCs w:val="16"/>
                <w:color w:val="auto"/>
              </w:rPr>
            </w:pPr>
          </w:p>
        </w:tc>
      </w:tr>
      <w:tr>
        <w:trPr>
          <w:trHeight w:val="394"/>
        </w:trPr>
        <w:tc>
          <w:tcPr>
            <w:tcW w:w="5280" w:type="dxa"/>
            <w:vAlign w:val="bottom"/>
            <w:gridSpan w:val="2"/>
          </w:tcPr>
          <w:p>
            <w:pPr>
              <w:jc w:val="right"/>
              <w:ind w:right="511"/>
              <w:spacing w:after="0"/>
              <w:rPr>
                <w:sz w:val="20"/>
                <w:szCs w:val="20"/>
                <w:color w:val="auto"/>
              </w:rPr>
            </w:pPr>
            <w:r>
              <w:rPr>
                <w:rFonts w:ascii="Arial" w:cs="Arial" w:eastAsia="Arial" w:hAnsi="Arial"/>
                <w:sz w:val="18"/>
                <w:szCs w:val="18"/>
                <w:b w:val="1"/>
                <w:bCs w:val="1"/>
                <w:color w:val="auto"/>
              </w:rPr>
              <w:t>(857) 327-8775</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6"/>
        </w:trPr>
        <w:tc>
          <w:tcPr>
            <w:tcW w:w="6200" w:type="dxa"/>
            <w:vAlign w:val="bottom"/>
            <w:gridSpan w:val="3"/>
          </w:tcPr>
          <w:p>
            <w:pPr>
              <w:jc w:val="center"/>
              <w:ind w:left="1978"/>
              <w:spacing w:after="0"/>
              <w:rPr>
                <w:sz w:val="20"/>
                <w:szCs w:val="20"/>
                <w:color w:val="auto"/>
              </w:rPr>
            </w:pPr>
            <w:r>
              <w:rPr>
                <w:rFonts w:ascii="Arial" w:cs="Arial" w:eastAsia="Arial" w:hAnsi="Arial"/>
                <w:sz w:val="14"/>
                <w:szCs w:val="14"/>
                <w:b w:val="1"/>
                <w:bCs w:val="1"/>
                <w:color w:val="auto"/>
                <w:w w:val="91"/>
              </w:rPr>
              <w:t>(Telephone number, including area code, of agent for service)</w:t>
            </w:r>
          </w:p>
        </w:tc>
        <w:tc>
          <w:tcPr>
            <w:tcW w:w="1320" w:type="dxa"/>
            <w:vAlign w:val="bottom"/>
          </w:tcPr>
          <w:p>
            <w:pPr>
              <w:spacing w:after="0"/>
              <w:rPr>
                <w:sz w:val="16"/>
                <w:szCs w:val="16"/>
                <w:color w:val="auto"/>
              </w:rPr>
            </w:pPr>
          </w:p>
        </w:tc>
      </w:tr>
      <w:tr>
        <w:trPr>
          <w:trHeight w:val="336"/>
        </w:trPr>
        <w:tc>
          <w:tcPr>
            <w:tcW w:w="29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6"/>
        </w:trPr>
        <w:tc>
          <w:tcPr>
            <w:tcW w:w="6200" w:type="dxa"/>
            <w:vAlign w:val="bottom"/>
            <w:gridSpan w:val="3"/>
          </w:tcPr>
          <w:p>
            <w:pPr>
              <w:jc w:val="center"/>
              <w:ind w:left="1958"/>
              <w:spacing w:after="0"/>
              <w:rPr>
                <w:sz w:val="20"/>
                <w:szCs w:val="20"/>
                <w:color w:val="auto"/>
              </w:rPr>
            </w:pPr>
            <w:r>
              <w:rPr>
                <w:rFonts w:ascii="Arial" w:cs="Arial" w:eastAsia="Arial" w:hAnsi="Arial"/>
                <w:sz w:val="18"/>
                <w:szCs w:val="18"/>
                <w:b w:val="1"/>
                <w:bCs w:val="1"/>
                <w:i w:val="1"/>
                <w:iCs w:val="1"/>
                <w:color w:val="auto"/>
                <w:w w:val="85"/>
              </w:rPr>
              <w:t>Please send copies of all communications to:</w:t>
            </w:r>
          </w:p>
        </w:tc>
        <w:tc>
          <w:tcPr>
            <w:tcW w:w="1320" w:type="dxa"/>
            <w:vAlign w:val="bottom"/>
          </w:tcPr>
          <w:p>
            <w:pPr>
              <w:spacing w:after="0"/>
              <w:rPr>
                <w:sz w:val="24"/>
                <w:szCs w:val="24"/>
                <w:color w:val="auto"/>
              </w:rPr>
            </w:pPr>
          </w:p>
        </w:tc>
      </w:tr>
      <w:tr>
        <w:trPr>
          <w:trHeight w:val="306"/>
        </w:trPr>
        <w:tc>
          <w:tcPr>
            <w:tcW w:w="2960" w:type="dxa"/>
            <w:vAlign w:val="bottom"/>
          </w:tcPr>
          <w:p>
            <w:pPr>
              <w:spacing w:after="0"/>
              <w:rPr>
                <w:sz w:val="24"/>
                <w:szCs w:val="24"/>
                <w:color w:val="auto"/>
              </w:rPr>
            </w:pPr>
          </w:p>
        </w:tc>
        <w:tc>
          <w:tcPr>
            <w:tcW w:w="324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2"/>
              </w:rPr>
              <w:t>Marc A. Rubenstein</w:t>
            </w:r>
          </w:p>
        </w:tc>
        <w:tc>
          <w:tcPr>
            <w:tcW w:w="13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0"/>
              </w:rPr>
              <w:t>Thomas J. Danielski</w:t>
            </w:r>
          </w:p>
        </w:tc>
        <w:tc>
          <w:tcPr>
            <w:tcW w:w="132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4"/>
              </w:rPr>
              <w:t>Ropes &amp; Gray LLP</w:t>
            </w:r>
          </w:p>
        </w:tc>
        <w:tc>
          <w:tcPr>
            <w:tcW w:w="132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Prudential Tower</w:t>
            </w:r>
          </w:p>
        </w:tc>
        <w:tc>
          <w:tcPr>
            <w:tcW w:w="132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8"/>
              </w:rPr>
              <w:t>800 Boylston Street</w:t>
            </w:r>
          </w:p>
        </w:tc>
        <w:tc>
          <w:tcPr>
            <w:tcW w:w="132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Boston, MA 02199-3600</w:t>
            </w:r>
          </w:p>
        </w:tc>
        <w:tc>
          <w:tcPr>
            <w:tcW w:w="1320" w:type="dxa"/>
            <w:vAlign w:val="bottom"/>
          </w:tcPr>
          <w:p>
            <w:pPr>
              <w:spacing w:after="0"/>
              <w:rPr>
                <w:sz w:val="18"/>
                <w:szCs w:val="18"/>
                <w:color w:val="auto"/>
              </w:rPr>
            </w:pPr>
          </w:p>
        </w:tc>
      </w:tr>
      <w:tr>
        <w:trPr>
          <w:trHeight w:val="234"/>
        </w:trPr>
        <w:tc>
          <w:tcPr>
            <w:tcW w:w="5280" w:type="dxa"/>
            <w:vAlign w:val="bottom"/>
            <w:gridSpan w:val="2"/>
          </w:tcPr>
          <w:p>
            <w:pPr>
              <w:jc w:val="right"/>
              <w:ind w:right="551"/>
              <w:spacing w:after="0"/>
              <w:rPr>
                <w:sz w:val="20"/>
                <w:szCs w:val="20"/>
                <w:color w:val="auto"/>
              </w:rPr>
            </w:pPr>
            <w:r>
              <w:rPr>
                <w:rFonts w:ascii="Arial" w:cs="Arial" w:eastAsia="Arial" w:hAnsi="Arial"/>
                <w:sz w:val="18"/>
                <w:szCs w:val="18"/>
                <w:b w:val="1"/>
                <w:bCs w:val="1"/>
                <w:color w:val="auto"/>
              </w:rPr>
              <w:t>617-951-7000</w:t>
            </w: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4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9" w:right="439" w:bottom="0" w:gutter="0" w:footer="0" w:header="0"/>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Beam Therapeutics Inc. 2019</w:t>
            </w:r>
          </w:p>
        </w:tc>
        <w:tc>
          <w:tcPr>
            <w:tcW w:w="2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Incentive Plan – Common</w:t>
            </w:r>
          </w:p>
        </w:tc>
        <w:tc>
          <w:tcPr>
            <w:tcW w:w="15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30"/>
        </w:trPr>
        <w:tc>
          <w:tcPr>
            <w:tcW w:w="48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Stock, $0.01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2,337,840 shares(2)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$91.92(3)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$214,894,252.80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$23,444.97</w:t>
            </w:r>
          </w:p>
        </w:tc>
      </w:tr>
      <w:tr>
        <w:trPr>
          <w:trHeight w:val="195"/>
        </w:trPr>
        <w:tc>
          <w:tcPr>
            <w:tcW w:w="2140" w:type="dxa"/>
            <w:vAlign w:val="bottom"/>
          </w:tcPr>
          <w:p>
            <w:pPr>
              <w:spacing w:after="0" w:line="195" w:lineRule="exact"/>
              <w:rPr>
                <w:sz w:val="20"/>
                <w:szCs w:val="20"/>
                <w:color w:val="auto"/>
              </w:rPr>
            </w:pPr>
            <w:r>
              <w:rPr>
                <w:rFonts w:ascii="Arial" w:cs="Arial" w:eastAsia="Arial" w:hAnsi="Arial"/>
                <w:sz w:val="18"/>
                <w:szCs w:val="18"/>
                <w:color w:val="auto"/>
                <w:w w:val="90"/>
              </w:rPr>
              <w:t>Beam Therapeutics Inc. 2019</w:t>
            </w:r>
          </w:p>
        </w:tc>
        <w:tc>
          <w:tcPr>
            <w:tcW w:w="2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Employee Stock Purchase Plan –</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48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Common Stock, $0.01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584,460 shares(4)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$91.92(3)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$53,723,563.20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$5,861.25</w:t>
            </w:r>
          </w:p>
        </w:tc>
      </w:tr>
      <w:tr>
        <w:trPr>
          <w:trHeight w:val="209"/>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3"/>
              </w:rPr>
              <w:t>2,922,300 shares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$268,617,816.00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$29,306.22</w:t>
            </w: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424" w:right="18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this Registration Statement also covers such additional shares of common stock, par value $0.01 per share (the “Common Stock”) of Beam Therapeutics Inc. (the “Registrant”) as may be issued to prevent dilution from stock splits, stock dividends and similar transactions.</w:t>
      </w:r>
    </w:p>
    <w:p>
      <w:pPr>
        <w:spacing w:after="0" w:line="1" w:lineRule="exact"/>
        <w:rPr>
          <w:rFonts w:ascii="Arial" w:cs="Arial" w:eastAsia="Arial" w:hAnsi="Arial"/>
          <w:sz w:val="18"/>
          <w:szCs w:val="18"/>
          <w:color w:val="auto"/>
        </w:rPr>
      </w:pPr>
    </w:p>
    <w:p>
      <w:pPr>
        <w:ind w:left="424" w:right="10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2,337,840 shares of Common Stock that were automatically added to the shares authorized for issuance under the Beam Therapeutics Inc. 2019 Equity Incentive Plan (the “2019 Plan”) on January 1, 2021 pursuant to an “evergreen” provision contained in the 2019 Plan. The “evergreen” provision provides that on each January 1st from January 1, 2020 through January 1, 2029, the number of shares of Common Stock available for issuance under the 2019 Plan will automatically increase annually in an amount equal to the lesser of (i) 4% of outstanding shares of the Registrant’s Common Stock as of the close of business on the immediately preceding December 31st or (ii) the number of shares determined by the Registrant’s board of directors on or prior to such date.</w:t>
      </w:r>
    </w:p>
    <w:p>
      <w:pPr>
        <w:ind w:left="424" w:right="6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457(h) based on the average of the high and low prices of the Registrant’s Common Stock as reported by the Nasdaq Global Select Market on March 11, 2021 to be $95.62 and $88.21, respectively.</w:t>
      </w:r>
    </w:p>
    <w:p>
      <w:pPr>
        <w:spacing w:after="0" w:line="1" w:lineRule="exact"/>
        <w:rPr>
          <w:rFonts w:ascii="Arial" w:cs="Arial" w:eastAsia="Arial" w:hAnsi="Arial"/>
          <w:sz w:val="16"/>
          <w:szCs w:val="16"/>
          <w:color w:val="auto"/>
        </w:rPr>
      </w:pPr>
    </w:p>
    <w:p>
      <w:pPr>
        <w:ind w:left="424" w:right="160" w:hanging="424"/>
        <w:spacing w:after="0" w:line="290"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584,460 shares of Common Stock that were automatically added to the shares authorized for issuance under the Beam Therapeutics Inc. 2019 Employee Stock Purchase Plan (the “ESPP”) on January 1, 2021 pursuant to an “evergreen” provision contained in the ESPP. The “evergreen” provision provides that on each January 1st from January 1, 2020 through January 1, 2029, the number of shares of Common Stock available for issuance under the ESPP will automatically increase annually in an amount equal to the lesser of (i) 1% of outstanding shares of the Registrant’s Common Stock as of the close of business on the immediately preceding December 31st or (ii) the number of shares determined by the Registrant’s board of directors on or prior to such date, up to a maximum of 5,083,204 shares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164465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OF ADDITIONAL SECURITIES PURSUANT TO GENERAL INSTRUCTION E</w:t>
      </w:r>
    </w:p>
    <w:p>
      <w:pPr>
        <w:spacing w:after="0" w:line="21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This Registration Statement has been filed by Beam Therapeutics Inc. to register (i) 2,337,840 additional shares of Common Stock available for issuance under the 2019 Plan and (ii) 584,460 additional shares of Common Stock available for issuance under the ESPP. This Registration Statement relates to securities of the same class as those that were previously registered by the Registrant on a Registration Statement on Form S-8 (Reg. No. 333-236582), filed with the Securities and Exchange Commission (the “SEC”) on February 24, 2020 (the “2020 Registration Statement”).</w:t>
      </w:r>
    </w:p>
    <w:p>
      <w:pPr>
        <w:spacing w:after="0" w:line="15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Pursuant to General Instruction E to Form S-8 regarding registration of additional securities, the entire contents of the 2020 Registration Statement are incorporated herein by reference, except to the extent supplemented, amended or superseded by the information set forth herein.</w:t>
      </w:r>
    </w:p>
    <w:p>
      <w:pPr>
        <w:sectPr>
          <w:pgSz w:w="11900" w:h="16838" w:orient="portrait"/>
          <w:cols w:equalWidth="0" w:num="1">
            <w:col w:w="11000"/>
          </w:cols>
          <w:pgMar w:left="440" w:top="270" w:right="4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Registrant hereby incorporates by reference into this Registration Statement the following documents which have been previously filed (not furnished) with the SEC:</w:t>
      </w:r>
    </w:p>
    <w:p>
      <w:pPr>
        <w:spacing w:after="0" w:line="76" w:lineRule="exact"/>
        <w:rPr>
          <w:sz w:val="20"/>
          <w:szCs w:val="20"/>
          <w:color w:val="auto"/>
        </w:rPr>
      </w:pPr>
    </w:p>
    <w:p>
      <w:pPr>
        <w:ind w:left="960" w:right="6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year ended December 31, 2020 filed with the SEC on </w:t>
      </w:r>
      <w:hyperlink r:id="rId19">
        <w:r>
          <w:rPr>
            <w:rFonts w:ascii="Arial" w:cs="Arial" w:eastAsia="Arial" w:hAnsi="Arial"/>
            <w:sz w:val="18"/>
            <w:szCs w:val="18"/>
            <w:u w:val="single" w:color="auto"/>
            <w:color w:val="0000EE"/>
          </w:rPr>
          <w:t>March 15,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001-39208); and</w:t>
      </w:r>
    </w:p>
    <w:p>
      <w:pPr>
        <w:spacing w:after="0" w:line="75" w:lineRule="exact"/>
        <w:rPr>
          <w:rFonts w:ascii="Arial" w:cs="Arial" w:eastAsia="Arial" w:hAnsi="Arial"/>
          <w:sz w:val="18"/>
          <w:szCs w:val="18"/>
          <w:color w:val="auto"/>
        </w:rPr>
      </w:pPr>
    </w:p>
    <w:p>
      <w:pPr>
        <w:ind w:left="960" w:right="540" w:hanging="532"/>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Current Reports on Form 8-K, as filed with the SEC on </w:t>
      </w:r>
      <w:r>
        <w:rPr>
          <w:rFonts w:ascii="Arial" w:cs="Arial" w:eastAsia="Arial" w:hAnsi="Arial"/>
          <w:sz w:val="16"/>
          <w:szCs w:val="16"/>
          <w:u w:val="single" w:color="auto"/>
          <w:color w:val="0000EE"/>
        </w:rPr>
        <w:t>January 11, 2021</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January 19, 2021</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February 23, 2021</w:t>
      </w:r>
      <w:r>
        <w:rPr>
          <w:rFonts w:ascii="Arial" w:cs="Arial" w:eastAsia="Arial" w:hAnsi="Arial"/>
          <w:sz w:val="16"/>
          <w:szCs w:val="16"/>
          <w:color w:val="auto"/>
        </w:rPr>
        <w:t xml:space="preserve"> (except, with respect to each of the foregoing, for portions of such reports which were deemed to be furnished and not filed); and</w:t>
      </w:r>
    </w:p>
    <w:p>
      <w:pPr>
        <w:spacing w:after="0" w:line="29" w:lineRule="exact"/>
        <w:rPr>
          <w:rFonts w:ascii="Arial" w:cs="Arial" w:eastAsia="Arial" w:hAnsi="Arial"/>
          <w:sz w:val="16"/>
          <w:szCs w:val="16"/>
          <w:color w:val="auto"/>
        </w:rPr>
      </w:pPr>
    </w:p>
    <w:p>
      <w:pPr>
        <w:ind w:left="960" w:hanging="532"/>
        <w:spacing w:after="0" w:line="263" w:lineRule="auto"/>
        <w:tabs>
          <w:tab w:leader="none" w:pos="960" w:val="left"/>
        </w:tabs>
        <w:numPr>
          <w:ilvl w:val="0"/>
          <w:numId w:val="2"/>
        </w:numPr>
        <w:rPr>
          <w:rFonts w:ascii="Arial" w:cs="Arial" w:eastAsia="Arial" w:hAnsi="Arial"/>
          <w:sz w:val="18"/>
          <w:szCs w:val="18"/>
          <w:color w:val="0000EE"/>
        </w:rPr>
      </w:pPr>
      <w:hyperlink r:id="rId20">
        <w:r>
          <w:rPr>
            <w:rFonts w:ascii="Arial" w:cs="Arial" w:eastAsia="Arial" w:hAnsi="Arial"/>
            <w:sz w:val="18"/>
            <w:szCs w:val="18"/>
            <w:color w:val="auto"/>
          </w:rPr>
          <w:t xml:space="preserve">The description of the Common Stock contained in the Registrant’s Registration Statement on Form 8-A filed with the SEC on </w:t>
        </w:r>
        <w:r>
          <w:rPr>
            <w:rFonts w:ascii="Arial" w:cs="Arial" w:eastAsia="Arial" w:hAnsi="Arial"/>
            <w:sz w:val="18"/>
            <w:szCs w:val="18"/>
            <w:u w:val="single" w:color="auto"/>
            <w:color w:val="0000EE"/>
          </w:rPr>
          <w:t>January 31,</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pursuant to Section 12 of the Securities Exchange Act of 1934, as amended (the “Exchange Act”), including any amendments or</w:t>
        </w:r>
      </w:hyperlink>
      <w:r>
        <w:rPr>
          <w:rFonts w:ascii="Arial" w:cs="Arial" w:eastAsia="Arial" w:hAnsi="Arial"/>
          <w:sz w:val="18"/>
          <w:szCs w:val="18"/>
          <w:color w:val="0000EE"/>
        </w:rPr>
        <w:t xml:space="preserve"> </w:t>
      </w:r>
      <w:r>
        <w:rPr>
          <w:rFonts w:ascii="Arial" w:cs="Arial" w:eastAsia="Arial" w:hAnsi="Arial"/>
          <w:sz w:val="18"/>
          <w:szCs w:val="18"/>
          <w:color w:val="000000"/>
        </w:rPr>
        <w:t>reports filed for the purpose of updating such description (File No. 001-39208).</w:t>
      </w:r>
    </w:p>
    <w:p>
      <w:pPr>
        <w:spacing w:after="0" w:line="184" w:lineRule="exact"/>
        <w:rPr>
          <w:rFonts w:ascii="Arial" w:cs="Arial" w:eastAsia="Arial" w:hAnsi="Arial"/>
          <w:sz w:val="18"/>
          <w:szCs w:val="18"/>
          <w:color w:val="auto"/>
        </w:rPr>
      </w:pPr>
    </w:p>
    <w:p>
      <w:pPr>
        <w:spacing w:after="0" w:line="273" w:lineRule="auto"/>
        <w:rPr>
          <w:sz w:val="20"/>
          <w:szCs w:val="20"/>
          <w:color w:val="auto"/>
        </w:rPr>
      </w:pPr>
      <w:r>
        <w:rPr>
          <w:rFonts w:ascii="Arial" w:cs="Arial" w:eastAsia="Arial" w:hAnsi="Arial"/>
          <w:sz w:val="17"/>
          <w:szCs w:val="17"/>
          <w:color w:val="auto"/>
        </w:rPr>
        <w:t xml:space="preserve">In addition, all other documents filed (not furnished) by the Registrant pursuant to Section 13(a), Section 13(c), Section 14 or Section 15(d) of the Exchange Act on or after the date of this Registration Statement and prior to the filing of a post-effective amendment to this Registration Statement that indicates that all securities offered hereby have been sold or that deregisters all securities then remaining unsold shall be deemed to be incorporated in this Registration Statement by reference and to be a part of this Registration Statement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to and not filed with the SEC in accordance with the rules of the SEC shall not be deemed incorporated by reference into this Registration Statement.</w:t>
      </w:r>
    </w:p>
    <w:p>
      <w:pPr>
        <w:spacing w:after="0" w:line="178" w:lineRule="exact"/>
        <w:rPr>
          <w:rFonts w:ascii="Arial" w:cs="Arial" w:eastAsia="Arial" w:hAnsi="Arial"/>
          <w:sz w:val="18"/>
          <w:szCs w:val="18"/>
          <w:color w:val="auto"/>
        </w:rPr>
      </w:pPr>
    </w:p>
    <w:p>
      <w:pPr>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31"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Registration Statement:</w:t>
      </w:r>
    </w:p>
    <w:p>
      <w:pPr>
        <w:spacing w:after="0" w:line="231"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474"/>
              <w:spacing w:after="0"/>
              <w:rPr>
                <w:sz w:val="20"/>
                <w:szCs w:val="20"/>
                <w:color w:val="auto"/>
              </w:rPr>
            </w:pPr>
            <w:r>
              <w:rPr>
                <w:rFonts w:ascii="Arial" w:cs="Arial" w:eastAsia="Arial" w:hAnsi="Arial"/>
                <w:sz w:val="14"/>
                <w:szCs w:val="14"/>
                <w:b w:val="1"/>
                <w:bCs w:val="1"/>
                <w:color w:val="auto"/>
                <w:w w:val="98"/>
              </w:rPr>
              <w:t>Exhibit</w:t>
            </w:r>
          </w:p>
        </w:tc>
        <w:tc>
          <w:tcPr>
            <w:tcW w:w="4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0"/>
        </w:trPr>
        <w:tc>
          <w:tcPr>
            <w:tcW w:w="1040" w:type="dxa"/>
            <w:vAlign w:val="bottom"/>
          </w:tcPr>
          <w:p>
            <w:pPr>
              <w:jc w:val="right"/>
              <w:ind w:right="594"/>
              <w:spacing w:after="0"/>
              <w:rPr>
                <w:sz w:val="20"/>
                <w:szCs w:val="20"/>
                <w:color w:val="auto"/>
              </w:rPr>
            </w:pPr>
            <w:r>
              <w:rPr>
                <w:rFonts w:ascii="Arial" w:cs="Arial" w:eastAsia="Arial" w:hAnsi="Arial"/>
                <w:sz w:val="14"/>
                <w:szCs w:val="14"/>
                <w:b w:val="1"/>
                <w:bCs w:val="1"/>
                <w:color w:val="auto"/>
              </w:rPr>
              <w:t>No.</w:t>
            </w:r>
          </w:p>
        </w:tc>
        <w:tc>
          <w:tcPr>
            <w:tcW w:w="4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40" w:type="dxa"/>
            <w:vAlign w:val="bottom"/>
            <w:gridSpan w:val="6"/>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1040" w:type="dxa"/>
            <w:vAlign w:val="bottom"/>
          </w:tcPr>
          <w:p>
            <w:pPr>
              <w:jc w:val="right"/>
              <w:ind w:right="634"/>
              <w:spacing w:after="0"/>
              <w:rPr>
                <w:sz w:val="20"/>
                <w:szCs w:val="20"/>
                <w:color w:val="auto"/>
              </w:rPr>
            </w:pPr>
            <w:r>
              <w:rPr>
                <w:rFonts w:ascii="Arial" w:cs="Arial" w:eastAsia="Arial" w:hAnsi="Arial"/>
                <w:sz w:val="18"/>
                <w:szCs w:val="18"/>
                <w:color w:val="auto"/>
              </w:rPr>
              <w:t>4.1</w:t>
            </w:r>
          </w:p>
        </w:tc>
        <w:tc>
          <w:tcPr>
            <w:tcW w:w="9860" w:type="dxa"/>
            <w:vAlign w:val="bottom"/>
            <w:gridSpan w:val="8"/>
          </w:tcPr>
          <w:p>
            <w:pPr>
              <w:spacing w:after="0"/>
              <w:rPr>
                <w:rFonts w:ascii="Arial" w:cs="Arial" w:eastAsia="Arial" w:hAnsi="Arial"/>
                <w:sz w:val="18"/>
                <w:szCs w:val="18"/>
                <w:color w:val="0000EE"/>
                <w:w w:val="93"/>
              </w:rPr>
            </w:pPr>
            <w:hyperlink r:id="rId21">
              <w:r>
                <w:rPr>
                  <w:rFonts w:ascii="Arial" w:cs="Arial" w:eastAsia="Arial" w:hAnsi="Arial"/>
                  <w:sz w:val="18"/>
                  <w:szCs w:val="18"/>
                  <w:color w:val="0000EE"/>
                  <w:w w:val="93"/>
                </w:rPr>
                <w:t>Fourth Amended and Restated Certificate of Incorporation of the Registrant (previously filed as Exhibit 3.1 to the current report Form</w:t>
              </w:r>
            </w:hyperlink>
          </w:p>
        </w:tc>
      </w:tr>
      <w:tr>
        <w:trPr>
          <w:trHeight w:val="196"/>
        </w:trPr>
        <w:tc>
          <w:tcPr>
            <w:tcW w:w="104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8-K filed on February 11, 2020 (File No. 001-39208) and incorporated herein by reference).</w:t>
              </w:r>
            </w:hyperlink>
          </w:p>
        </w:tc>
        <w:tc>
          <w:tcPr>
            <w:tcW w:w="3020" w:type="dxa"/>
            <w:vAlign w:val="bottom"/>
            <w:tcBorders>
              <w:top w:val="single" w:sz="8" w:color="0000EE"/>
            </w:tcBorders>
            <w:gridSpan w:val="3"/>
          </w:tcPr>
          <w:p>
            <w:pPr>
              <w:spacing w:after="0"/>
              <w:rPr>
                <w:sz w:val="17"/>
                <w:szCs w:val="17"/>
                <w:color w:val="auto"/>
              </w:rPr>
            </w:pPr>
          </w:p>
        </w:tc>
        <w:tc>
          <w:tcPr>
            <w:tcW w:w="220" w:type="dxa"/>
            <w:vAlign w:val="bottom"/>
          </w:tcPr>
          <w:p>
            <w:pPr>
              <w:spacing w:after="0"/>
              <w:rPr>
                <w:sz w:val="17"/>
                <w:szCs w:val="17"/>
                <w:color w:val="auto"/>
              </w:rPr>
            </w:pPr>
          </w:p>
        </w:tc>
      </w:tr>
      <w:tr>
        <w:trPr>
          <w:trHeight w:val="304"/>
        </w:trPr>
        <w:tc>
          <w:tcPr>
            <w:tcW w:w="1040" w:type="dxa"/>
            <w:vAlign w:val="bottom"/>
          </w:tcPr>
          <w:p>
            <w:pPr>
              <w:jc w:val="right"/>
              <w:ind w:right="634"/>
              <w:spacing w:after="0"/>
              <w:rPr>
                <w:sz w:val="20"/>
                <w:szCs w:val="20"/>
                <w:color w:val="auto"/>
              </w:rPr>
            </w:pPr>
            <w:r>
              <w:rPr>
                <w:rFonts w:ascii="Arial" w:cs="Arial" w:eastAsia="Arial" w:hAnsi="Arial"/>
                <w:sz w:val="18"/>
                <w:szCs w:val="18"/>
                <w:color w:val="auto"/>
              </w:rPr>
              <w:t>4.2</w:t>
            </w:r>
          </w:p>
        </w:tc>
        <w:tc>
          <w:tcPr>
            <w:tcW w:w="9580" w:type="dxa"/>
            <w:vAlign w:val="bottom"/>
            <w:tcBorders>
              <w:bottom w:val="single" w:sz="8" w:color="0000EE"/>
            </w:tcBorders>
            <w:gridSpan w:val="6"/>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Amended and Restated Bylaws of the Registrant (previously filed as Exhibit 3.2 to the current report Form 8-K filed on February 11,</w:t>
              </w:r>
            </w:hyperlink>
          </w:p>
        </w:tc>
        <w:tc>
          <w:tcPr>
            <w:tcW w:w="28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7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2">
              <w:r>
                <w:rPr>
                  <w:rFonts w:ascii="Arial" w:cs="Arial" w:eastAsia="Arial" w:hAnsi="Arial"/>
                  <w:sz w:val="18"/>
                  <w:szCs w:val="18"/>
                  <w:color w:val="0000EE"/>
                  <w:w w:val="90"/>
                </w:rPr>
                <w:t>2020 (File No. 001-39208) and incorporated herein by reference).</w:t>
              </w:r>
            </w:hyperlink>
          </w:p>
        </w:tc>
        <w:tc>
          <w:tcPr>
            <w:tcW w:w="5120" w:type="dxa"/>
            <w:vAlign w:val="bottom"/>
            <w:gridSpan w:val="5"/>
          </w:tcPr>
          <w:p>
            <w:pPr>
              <w:spacing w:after="0"/>
              <w:rPr>
                <w:sz w:val="17"/>
                <w:szCs w:val="17"/>
                <w:color w:val="auto"/>
              </w:rPr>
            </w:pPr>
          </w:p>
        </w:tc>
      </w:tr>
      <w:tr>
        <w:trPr>
          <w:trHeight w:val="304"/>
        </w:trPr>
        <w:tc>
          <w:tcPr>
            <w:tcW w:w="1040" w:type="dxa"/>
            <w:vAlign w:val="bottom"/>
          </w:tcPr>
          <w:p>
            <w:pPr>
              <w:jc w:val="right"/>
              <w:ind w:right="634"/>
              <w:spacing w:after="0"/>
              <w:rPr>
                <w:sz w:val="20"/>
                <w:szCs w:val="20"/>
                <w:color w:val="auto"/>
              </w:rPr>
            </w:pPr>
            <w:r>
              <w:rPr>
                <w:rFonts w:ascii="Arial" w:cs="Arial" w:eastAsia="Arial" w:hAnsi="Arial"/>
                <w:sz w:val="18"/>
                <w:szCs w:val="18"/>
                <w:color w:val="auto"/>
              </w:rPr>
              <w:t>4.3</w:t>
            </w:r>
          </w:p>
        </w:tc>
        <w:tc>
          <w:tcPr>
            <w:tcW w:w="9860" w:type="dxa"/>
            <w:vAlign w:val="bottom"/>
            <w:gridSpan w:val="8"/>
          </w:tcPr>
          <w:p>
            <w:pPr>
              <w:spacing w:after="0"/>
              <w:rPr>
                <w:rFonts w:ascii="Arial" w:cs="Arial" w:eastAsia="Arial" w:hAnsi="Arial"/>
                <w:sz w:val="18"/>
                <w:szCs w:val="18"/>
                <w:color w:val="0000EE"/>
                <w:w w:val="94"/>
              </w:rPr>
            </w:pPr>
            <w:hyperlink r:id="rId23">
              <w:r>
                <w:rPr>
                  <w:rFonts w:ascii="Arial" w:cs="Arial" w:eastAsia="Arial" w:hAnsi="Arial"/>
                  <w:sz w:val="18"/>
                  <w:szCs w:val="18"/>
                  <w:color w:val="0000EE"/>
                  <w:w w:val="94"/>
                </w:rPr>
                <w:t>Beam Therapeutics Inc. 2019 Equity Incentive Plan (previously filed as Exhibit 10.16 to the registration statement on Form S-1 (File</w:t>
              </w:r>
            </w:hyperlink>
          </w:p>
        </w:tc>
      </w:tr>
      <w:tr>
        <w:trPr>
          <w:trHeight w:val="196"/>
        </w:trPr>
        <w:tc>
          <w:tcPr>
            <w:tcW w:w="1040" w:type="dxa"/>
            <w:vAlign w:val="bottom"/>
          </w:tcPr>
          <w:p>
            <w:pPr>
              <w:spacing w:after="0"/>
              <w:rPr>
                <w:sz w:val="17"/>
                <w:szCs w:val="17"/>
                <w:color w:val="auto"/>
              </w:rPr>
            </w:pPr>
          </w:p>
        </w:tc>
        <w:tc>
          <w:tcPr>
            <w:tcW w:w="40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No. 333-233985) and incorporated herein by reference).</w:t>
              </w:r>
            </w:hyperlink>
          </w:p>
        </w:tc>
        <w:tc>
          <w:tcPr>
            <w:tcW w:w="5520" w:type="dxa"/>
            <w:vAlign w:val="bottom"/>
            <w:tcBorders>
              <w:top w:val="single" w:sz="8" w:color="0000EE"/>
            </w:tcBorders>
            <w:gridSpan w:val="4"/>
          </w:tcPr>
          <w:p>
            <w:pPr>
              <w:spacing w:after="0"/>
              <w:rPr>
                <w:sz w:val="17"/>
                <w:szCs w:val="17"/>
                <w:color w:val="auto"/>
              </w:rPr>
            </w:pPr>
          </w:p>
        </w:tc>
        <w:tc>
          <w:tcPr>
            <w:tcW w:w="300" w:type="dxa"/>
            <w:vAlign w:val="bottom"/>
            <w:gridSpan w:val="3"/>
          </w:tcPr>
          <w:p>
            <w:pPr>
              <w:spacing w:after="0"/>
              <w:rPr>
                <w:sz w:val="17"/>
                <w:szCs w:val="17"/>
                <w:color w:val="auto"/>
              </w:rPr>
            </w:pPr>
          </w:p>
        </w:tc>
      </w:tr>
      <w:tr>
        <w:trPr>
          <w:trHeight w:val="304"/>
        </w:trPr>
        <w:tc>
          <w:tcPr>
            <w:tcW w:w="1040" w:type="dxa"/>
            <w:vAlign w:val="bottom"/>
          </w:tcPr>
          <w:p>
            <w:pPr>
              <w:jc w:val="right"/>
              <w:ind w:right="634"/>
              <w:spacing w:after="0"/>
              <w:rPr>
                <w:sz w:val="20"/>
                <w:szCs w:val="20"/>
                <w:color w:val="auto"/>
              </w:rPr>
            </w:pPr>
            <w:r>
              <w:rPr>
                <w:rFonts w:ascii="Arial" w:cs="Arial" w:eastAsia="Arial" w:hAnsi="Arial"/>
                <w:sz w:val="18"/>
                <w:szCs w:val="18"/>
                <w:color w:val="auto"/>
              </w:rPr>
              <w:t>4.4</w:t>
            </w:r>
          </w:p>
        </w:tc>
        <w:tc>
          <w:tcPr>
            <w:tcW w:w="9860" w:type="dxa"/>
            <w:vAlign w:val="bottom"/>
            <w:tcBorders>
              <w:bottom w:val="single" w:sz="8" w:color="0000EE"/>
            </w:tcBorders>
            <w:gridSpan w:val="8"/>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Beam Therapeutics Inc. 2019 Employee Stock Purchase Plan (previously filed as Exhibit 10.20 to the registration statement on Form S-1</w:t>
              </w:r>
            </w:hyperlink>
          </w:p>
        </w:tc>
      </w:tr>
      <w:tr>
        <w:trPr>
          <w:trHeight w:val="196"/>
        </w:trPr>
        <w:tc>
          <w:tcPr>
            <w:tcW w:w="1040" w:type="dxa"/>
            <w:vAlign w:val="bottom"/>
          </w:tcPr>
          <w:p>
            <w:pPr>
              <w:spacing w:after="0"/>
              <w:rPr>
                <w:sz w:val="17"/>
                <w:szCs w:val="17"/>
                <w:color w:val="auto"/>
              </w:rPr>
            </w:pPr>
          </w:p>
        </w:tc>
        <w:tc>
          <w:tcPr>
            <w:tcW w:w="4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24">
              <w:r>
                <w:rPr>
                  <w:rFonts w:ascii="Arial" w:cs="Arial" w:eastAsia="Arial" w:hAnsi="Arial"/>
                  <w:sz w:val="18"/>
                  <w:szCs w:val="18"/>
                  <w:color w:val="0000EE"/>
                  <w:w w:val="90"/>
                </w:rPr>
                <w:t>(File No. 333-233985) and incorporated herein by reference).</w:t>
              </w:r>
            </w:hyperlink>
          </w:p>
        </w:tc>
        <w:tc>
          <w:tcPr>
            <w:tcW w:w="5440" w:type="dxa"/>
            <w:vAlign w:val="bottom"/>
            <w:gridSpan w:val="6"/>
          </w:tcPr>
          <w:p>
            <w:pPr>
              <w:spacing w:after="0"/>
              <w:rPr>
                <w:sz w:val="17"/>
                <w:szCs w:val="17"/>
                <w:color w:val="auto"/>
              </w:rPr>
            </w:pPr>
          </w:p>
        </w:tc>
      </w:tr>
      <w:tr>
        <w:trPr>
          <w:trHeight w:val="345"/>
        </w:trPr>
        <w:tc>
          <w:tcPr>
            <w:tcW w:w="1040" w:type="dxa"/>
            <w:vAlign w:val="bottom"/>
          </w:tcPr>
          <w:p>
            <w:pPr>
              <w:jc w:val="right"/>
              <w:ind w:right="634"/>
              <w:spacing w:after="0"/>
              <w:rPr>
                <w:sz w:val="20"/>
                <w:szCs w:val="20"/>
                <w:color w:val="auto"/>
              </w:rPr>
            </w:pPr>
            <w:r>
              <w:rPr>
                <w:rFonts w:ascii="Arial" w:cs="Arial" w:eastAsia="Arial" w:hAnsi="Arial"/>
                <w:sz w:val="18"/>
                <w:szCs w:val="18"/>
                <w:color w:val="auto"/>
              </w:rPr>
              <w:t>5.1</w:t>
            </w:r>
          </w:p>
        </w:tc>
        <w:tc>
          <w:tcPr>
            <w:tcW w:w="986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u w:val="single" w:color="auto"/>
                  <w:color w:val="0000EE"/>
                </w:rPr>
                <w:t>Opinion of Ropes &amp; Gray LLP (filed herewith)</w:t>
              </w:r>
              <w:r>
                <w:rPr>
                  <w:rFonts w:ascii="Arial" w:cs="Arial" w:eastAsia="Arial" w:hAnsi="Arial"/>
                  <w:sz w:val="18"/>
                  <w:szCs w:val="18"/>
                  <w:color w:val="0000EE"/>
                </w:rPr>
                <w:t>.</w:t>
              </w:r>
            </w:hyperlink>
          </w:p>
        </w:tc>
      </w:tr>
      <w:tr>
        <w:trPr>
          <w:trHeight w:val="324"/>
        </w:trPr>
        <w:tc>
          <w:tcPr>
            <w:tcW w:w="1040" w:type="dxa"/>
            <w:vAlign w:val="bottom"/>
          </w:tcPr>
          <w:p>
            <w:pPr>
              <w:jc w:val="right"/>
              <w:ind w:right="634"/>
              <w:spacing w:after="0"/>
              <w:rPr>
                <w:sz w:val="20"/>
                <w:szCs w:val="20"/>
                <w:color w:val="auto"/>
              </w:rPr>
            </w:pPr>
            <w:r>
              <w:rPr>
                <w:rFonts w:ascii="Arial" w:cs="Arial" w:eastAsia="Arial" w:hAnsi="Arial"/>
                <w:sz w:val="18"/>
                <w:szCs w:val="18"/>
                <w:color w:val="auto"/>
                <w:w w:val="85"/>
              </w:rPr>
              <w:t>23.1</w:t>
            </w:r>
          </w:p>
        </w:tc>
        <w:tc>
          <w:tcPr>
            <w:tcW w:w="986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u w:val="single" w:color="auto"/>
                  <w:color w:val="0000EE"/>
                </w:rPr>
                <w:t>Consent of Deloitte &amp; Touche LLP (filed herewith)</w:t>
              </w:r>
              <w:r>
                <w:rPr>
                  <w:rFonts w:ascii="Arial" w:cs="Arial" w:eastAsia="Arial" w:hAnsi="Arial"/>
                  <w:sz w:val="18"/>
                  <w:szCs w:val="18"/>
                  <w:color w:val="0000EE"/>
                </w:rPr>
                <w:t>.</w:t>
              </w:r>
            </w:hyperlink>
          </w:p>
        </w:tc>
      </w:tr>
      <w:tr>
        <w:trPr>
          <w:trHeight w:val="324"/>
        </w:trPr>
        <w:tc>
          <w:tcPr>
            <w:tcW w:w="1040" w:type="dxa"/>
            <w:vAlign w:val="bottom"/>
          </w:tcPr>
          <w:p>
            <w:pPr>
              <w:jc w:val="right"/>
              <w:ind w:right="634"/>
              <w:spacing w:after="0"/>
              <w:rPr>
                <w:sz w:val="20"/>
                <w:szCs w:val="20"/>
                <w:color w:val="auto"/>
              </w:rPr>
            </w:pPr>
            <w:r>
              <w:rPr>
                <w:rFonts w:ascii="Arial" w:cs="Arial" w:eastAsia="Arial" w:hAnsi="Arial"/>
                <w:sz w:val="18"/>
                <w:szCs w:val="18"/>
                <w:color w:val="auto"/>
                <w:w w:val="85"/>
              </w:rPr>
              <w:t>23.2</w:t>
            </w:r>
          </w:p>
        </w:tc>
        <w:tc>
          <w:tcPr>
            <w:tcW w:w="9860" w:type="dxa"/>
            <w:vAlign w:val="bottom"/>
            <w:gridSpan w:val="8"/>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Consent of Ropes &amp; Gray LLP (included within the opinion filed as Exhibit 5.1).</w:t>
              </w:r>
            </w:hyperlink>
          </w:p>
        </w:tc>
      </w:tr>
      <w:tr>
        <w:trPr>
          <w:trHeight w:val="324"/>
        </w:trPr>
        <w:tc>
          <w:tcPr>
            <w:tcW w:w="1040" w:type="dxa"/>
            <w:vAlign w:val="bottom"/>
          </w:tcPr>
          <w:p>
            <w:pPr>
              <w:jc w:val="right"/>
              <w:ind w:right="634"/>
              <w:spacing w:after="0"/>
              <w:rPr>
                <w:sz w:val="20"/>
                <w:szCs w:val="20"/>
                <w:color w:val="auto"/>
              </w:rPr>
            </w:pPr>
            <w:r>
              <w:rPr>
                <w:rFonts w:ascii="Arial" w:cs="Arial" w:eastAsia="Arial" w:hAnsi="Arial"/>
                <w:sz w:val="18"/>
                <w:szCs w:val="18"/>
                <w:color w:val="auto"/>
                <w:w w:val="85"/>
              </w:rPr>
              <w:t>24.1</w:t>
            </w:r>
          </w:p>
        </w:tc>
        <w:tc>
          <w:tcPr>
            <w:tcW w:w="986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u w:val="single" w:color="auto"/>
                  <w:color w:val="0000EE"/>
                </w:rPr>
                <w:t>Power of Attorney (included on signature page to this Registration Statement)</w:t>
              </w:r>
              <w:r>
                <w:rPr>
                  <w:rFonts w:ascii="Arial" w:cs="Arial" w:eastAsia="Arial" w:hAnsi="Arial"/>
                  <w:sz w:val="18"/>
                  <w:szCs w:val="18"/>
                  <w:color w:val="0000EE"/>
                </w:rPr>
                <w:t>.</w:t>
              </w:r>
            </w:hyperlink>
          </w:p>
        </w:tc>
      </w:tr>
    </w:tbl>
    <w:p>
      <w:pPr>
        <w:sectPr>
          <w:pgSz w:w="11900" w:h="16838" w:orient="portrait"/>
          <w:cols w:equalWidth="0" w:num="1">
            <w:col w:w="10980"/>
          </w:cols>
          <w:pgMar w:left="440" w:top="270"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17</w:t>
      </w:r>
      <w:r>
        <w:rPr>
          <w:rFonts w:ascii="Arial" w:cs="Arial" w:eastAsia="Arial" w:hAnsi="Arial"/>
          <w:sz w:val="14"/>
          <w:szCs w:val="14"/>
          <w:color w:val="auto"/>
        </w:rPr>
        <w:t>th</w:t>
      </w:r>
      <w:r>
        <w:rPr>
          <w:rFonts w:ascii="Arial" w:cs="Arial" w:eastAsia="Arial" w:hAnsi="Arial"/>
          <w:sz w:val="17"/>
          <w:szCs w:val="17"/>
          <w:color w:val="auto"/>
        </w:rPr>
        <w:t xml:space="preserve"> day of March, 2021.</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BEAM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John Evans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Each person whose signature appears below constitutes and appoints John Evans,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S-8 to be filed by Beam Therapeutics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1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Name and 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Evans</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1760" w:type="dxa"/>
            <w:vAlign w:val="bottom"/>
          </w:tcPr>
          <w:p>
            <w:pPr>
              <w:spacing w:after="0"/>
              <w:rPr>
                <w:sz w:val="24"/>
                <w:szCs w:val="24"/>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7"/>
              </w:rPr>
              <w:t>John Evans</w:t>
            </w:r>
          </w:p>
        </w:tc>
        <w:tc>
          <w:tcPr>
            <w:tcW w:w="508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17, 2021</w:t>
            </w: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Terry-Ann Burrell</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spacing w:after="0"/>
              <w:rPr>
                <w:sz w:val="24"/>
                <w:szCs w:val="24"/>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Terry-Ann Burrell</w:t>
            </w:r>
          </w:p>
        </w:tc>
        <w:tc>
          <w:tcPr>
            <w:tcW w:w="508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17, 2021</w:t>
            </w: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Kristina Burow</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17,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Kristina Burow</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Graham Cooper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17,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Graham Cooper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Mark Fishman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17,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5"/>
              </w:rPr>
              <w:t>Mark Fishman,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Carole Ho</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17,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Carole Ho,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Stephen Knight</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17,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Stephen Knight,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Nelsen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17,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Robert Nelsen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Kathleen Walsh</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17,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Kathleen Walsh</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08330" cy="771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608330" cy="771525"/>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PRUDENTIAL TOWER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800 BOYLSTON STREET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BOSTON, MA 02199-3600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WWW.ROPESGRAY.COM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Beam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This opinion letter is furnished to you in connection with the registration statement on Form S-8 (the “Registration Statement”), filed by Beam Therapeutics Inc., a Delaware corporation (the “Company”), on the date hereof, with the Securities and Exchange Commission under the Securities Act of 1933, as amended (the “Securities Act”), for the registration of 2,922,300 shares of Common Stock, $0.01 par value per share, of the Company (the “Shares”). The Shares are issuable under the Company’s 2019 Equity Incentive Plan and the Company’s 2019 Employee Stock Purchase Plan (each, a “Plan,” and collectively, the “Plans”).</w:t>
      </w:r>
    </w:p>
    <w:p>
      <w:pPr>
        <w:spacing w:after="0" w:line="188"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We are familiar with the actions taken by the Company in connection with the adoption of the Plans.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opinions expressed below are limited to the Delaware General Corporation Law.</w:t>
      </w:r>
    </w:p>
    <w:p>
      <w:pPr>
        <w:spacing w:after="0" w:line="225"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Based upon and subject to the foregoing, we are of the opinion that the Shares have been duly authorized and, when the Shares have been issued and sold in accordance with the terms of the applicable Plan, the Shares will be validly issued, fully paid and nonassessable.</w:t>
      </w:r>
    </w:p>
    <w:p>
      <w:pPr>
        <w:spacing w:after="0" w:line="146"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We hereby consent to the filing of this opinion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36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Ropes &amp; Gray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Ropes &amp; Gray LLP</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March 15, 2021, relating to the financial statements of Beam Therapeutics Inc. and subsidiaries, appearing in the Annual Report on Form 10-K of Beam Therapeutics Inc.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jpeg"/><Relationship Id="rId19" Type="http://schemas.openxmlformats.org/officeDocument/2006/relationships/hyperlink" Target="http://www.sec.gov/Archives/edgar/data/1745999/000156459021013190/beam-10k_20201231.htm" TargetMode="External"/><Relationship Id="rId20" Type="http://schemas.openxmlformats.org/officeDocument/2006/relationships/hyperlink" Target="http://www.sec.gov/Archives/edgar/data/1745999/000119312520021316/d874738d8a12b.htm" TargetMode="External"/><Relationship Id="rId21" Type="http://schemas.openxmlformats.org/officeDocument/2006/relationships/hyperlink" Target="http://www.sec.gov/Archives/edgar/data/1745999/000119312520031290/d842502dex31.htm" TargetMode="External"/><Relationship Id="rId22" Type="http://schemas.openxmlformats.org/officeDocument/2006/relationships/hyperlink" Target="http://www.sec.gov/Archives/edgar/data/1745999/000119312520031290/d842502dex32.htm" TargetMode="External"/><Relationship Id="rId23" Type="http://schemas.openxmlformats.org/officeDocument/2006/relationships/hyperlink" Target="http://www.sec.gov/Archives/edgar/data/1745999/000119312520014727/d221975dex1016.htm" TargetMode="External"/><Relationship Id="rId24" Type="http://schemas.openxmlformats.org/officeDocument/2006/relationships/hyperlink" Target="http://www.sec.gov/Archives/edgar/data/1745999/000119312520014727/d221975d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2021-03-17T06:16:38Z</dcterms:created>
  <dcterms:modified xsi:type="dcterms:W3CDTF">2021-03-17T06:16:38Z</dcterms:modified>
</cp:coreProperties>
</file>