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3920" w:right="1880" w:hanging="3912"/>
        <w:spacing w:after="0" w:line="281" w:lineRule="auto"/>
        <w:tabs>
          <w:tab w:leader="none" w:pos="50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ind w:left="500" w:hanging="492"/>
        <w:spacing w:after="0" w:line="187" w:lineRule="auto"/>
        <w:tabs>
          <w:tab w:leader="none" w:pos="500" w:val="left"/>
        </w:tabs>
        <w:numPr>
          <w:ilvl w:val="0"/>
          <w:numId w:val="2"/>
        </w:numPr>
        <w:rPr>
          <w:rFonts w:ascii="MS PGothic" w:cs="MS PGothic" w:eastAsia="MS PGothic" w:hAnsi="MS PGothic"/>
          <w:sz w:val="7"/>
          <w:szCs w:val="7"/>
          <w:color w:val="auto"/>
        </w:rPr>
      </w:pPr>
      <w:r>
        <w:rPr>
          <w:rFonts w:ascii="Arial" w:cs="Arial" w:eastAsia="Arial" w:hAnsi="Arial"/>
          <w:sz w:val="7"/>
          <w:szCs w:val="7"/>
          <w:b w:val="1"/>
          <w:bCs w:val="1"/>
          <w:color w:val="auto"/>
        </w:rPr>
        <w:t>TRANSITION REPORT PURSUANT TO SECTION 13 OR 15(d) OF THE SECURITIES EXCHANGE ACT OF 1934 FOR THE</w:t>
      </w:r>
    </w:p>
    <w:p>
      <w:pPr>
        <w:spacing w:after="0" w:line="203" w:lineRule="exact"/>
        <w:rPr>
          <w:sz w:val="24"/>
          <w:szCs w:val="24"/>
          <w:color w:val="auto"/>
        </w:rPr>
      </w:pPr>
    </w:p>
    <w:p>
      <w:pPr>
        <w:ind w:left="500"/>
        <w:spacing w:after="0"/>
        <w:tabs>
          <w:tab w:leader="none" w:pos="37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001-39208</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jc w:val="center"/>
              <w:ind w:left="1785"/>
              <w:spacing w:after="0"/>
              <w:rPr>
                <w:sz w:val="20"/>
                <w:szCs w:val="20"/>
                <w:color w:val="auto"/>
              </w:rPr>
            </w:pPr>
            <w:r>
              <w:rPr>
                <w:rFonts w:ascii="Arial" w:cs="Arial" w:eastAsia="Arial" w:hAnsi="Arial"/>
                <w:sz w:val="15"/>
                <w:szCs w:val="15"/>
                <w:b w:val="1"/>
                <w:bCs w:val="1"/>
                <w:color w:val="auto"/>
                <w:w w:val="94"/>
              </w:rPr>
              <w:t>Delaware</w:t>
            </w: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Pr>
          <w:p>
            <w:pPr>
              <w:jc w:val="right"/>
              <w:ind w:right="946"/>
              <w:spacing w:after="0"/>
              <w:rPr>
                <w:sz w:val="20"/>
                <w:szCs w:val="20"/>
                <w:color w:val="auto"/>
              </w:rPr>
            </w:pPr>
            <w:r>
              <w:rPr>
                <w:rFonts w:ascii="Arial" w:cs="Arial" w:eastAsia="Arial" w:hAnsi="Arial"/>
                <w:sz w:val="15"/>
                <w:szCs w:val="15"/>
                <w:b w:val="1"/>
                <w:bCs w:val="1"/>
                <w:color w:val="auto"/>
              </w:rPr>
              <w:t>81-5238376</w:t>
            </w:r>
          </w:p>
        </w:tc>
        <w:tc>
          <w:tcPr>
            <w:tcW w:w="0" w:type="dxa"/>
            <w:vAlign w:val="bottom"/>
          </w:tcPr>
          <w:p>
            <w:pPr>
              <w:spacing w:after="0"/>
              <w:rPr>
                <w:sz w:val="1"/>
                <w:szCs w:val="1"/>
                <w:color w:val="auto"/>
              </w:rPr>
            </w:pPr>
          </w:p>
        </w:tc>
      </w:tr>
      <w:tr>
        <w:trPr>
          <w:trHeight w:val="148"/>
        </w:trPr>
        <w:tc>
          <w:tcPr>
            <w:tcW w:w="3760" w:type="dxa"/>
            <w:vAlign w:val="bottom"/>
          </w:tcPr>
          <w:p>
            <w:pPr>
              <w:jc w:val="center"/>
              <w:ind w:left="1805"/>
              <w:spacing w:after="0" w:line="14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State or other jurisdiction of</w:t>
            </w: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60" w:type="dxa"/>
            <w:vAlign w:val="bottom"/>
          </w:tcPr>
          <w:p>
            <w:pPr>
              <w:jc w:val="center"/>
              <w:ind w:right="226"/>
              <w:spacing w:after="0" w:line="14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785"/>
              <w:spacing w:after="0"/>
              <w:rPr>
                <w:sz w:val="20"/>
                <w:szCs w:val="20"/>
                <w:color w:val="auto"/>
              </w:rPr>
            </w:pPr>
            <w:r>
              <w:rPr>
                <w:rFonts w:ascii="Arial" w:cs="Arial" w:eastAsia="Arial" w:hAnsi="Arial"/>
                <w:sz w:val="14"/>
                <w:szCs w:val="14"/>
                <w:b w:val="1"/>
                <w:bCs w:val="1"/>
                <w:i w:val="1"/>
                <w:iCs w:val="1"/>
                <w:color w:val="auto"/>
                <w:w w:val="91"/>
              </w:rPr>
              <w:t>incorporation or organization</w:t>
            </w:r>
            <w:r>
              <w:rPr>
                <w:rFonts w:ascii="Arial" w:cs="Arial" w:eastAsia="Arial" w:hAnsi="Arial"/>
                <w:sz w:val="14"/>
                <w:szCs w:val="14"/>
                <w:b w:val="1"/>
                <w:bCs w:val="1"/>
                <w:color w:val="auto"/>
                <w:w w:val="91"/>
              </w:rPr>
              <w:t>)</w:t>
            </w: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tcPr>
          <w:p>
            <w:pPr>
              <w:jc w:val="center"/>
              <w:ind w:right="246"/>
              <w:spacing w:after="0"/>
              <w:rPr>
                <w:sz w:val="20"/>
                <w:szCs w:val="20"/>
                <w:color w:val="auto"/>
              </w:rPr>
            </w:pPr>
            <w:r>
              <w:rPr>
                <w:rFonts w:ascii="Arial" w:cs="Arial" w:eastAsia="Arial" w:hAnsi="Arial"/>
                <w:sz w:val="14"/>
                <w:szCs w:val="14"/>
                <w:b w:val="1"/>
                <w:bCs w:val="1"/>
                <w:i w:val="1"/>
                <w:iCs w:val="1"/>
                <w:color w:val="auto"/>
                <w:w w:val="92"/>
              </w:rPr>
              <w:t>Identification No.</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65"/>
        </w:trPr>
        <w:tc>
          <w:tcPr>
            <w:tcW w:w="3760" w:type="dxa"/>
            <w:vAlign w:val="bottom"/>
          </w:tcPr>
          <w:p>
            <w:pPr>
              <w:jc w:val="center"/>
              <w:ind w:left="1805"/>
              <w:spacing w:after="0"/>
              <w:rPr>
                <w:sz w:val="20"/>
                <w:szCs w:val="20"/>
                <w:color w:val="auto"/>
              </w:rPr>
            </w:pPr>
            <w:r>
              <w:rPr>
                <w:rFonts w:ascii="Arial" w:cs="Arial" w:eastAsia="Arial" w:hAnsi="Arial"/>
                <w:sz w:val="15"/>
                <w:szCs w:val="15"/>
                <w:b w:val="1"/>
                <w:bCs w:val="1"/>
                <w:color w:val="auto"/>
                <w:w w:val="90"/>
              </w:rPr>
              <w:t>26 Landsdowne Street</w:t>
            </w:r>
          </w:p>
        </w:tc>
        <w:tc>
          <w:tcPr>
            <w:tcW w:w="7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760" w:type="dxa"/>
            <w:vAlign w:val="bottom"/>
          </w:tcPr>
          <w:p>
            <w:pPr>
              <w:jc w:val="center"/>
              <w:ind w:left="1805"/>
              <w:spacing w:after="0" w:line="170" w:lineRule="exact"/>
              <w:rPr>
                <w:sz w:val="20"/>
                <w:szCs w:val="20"/>
                <w:color w:val="auto"/>
              </w:rPr>
            </w:pPr>
            <w:r>
              <w:rPr>
                <w:rFonts w:ascii="Arial" w:cs="Arial" w:eastAsia="Arial" w:hAnsi="Arial"/>
                <w:sz w:val="15"/>
                <w:szCs w:val="15"/>
                <w:b w:val="1"/>
                <w:bCs w:val="1"/>
                <w:color w:val="auto"/>
                <w:w w:val="98"/>
              </w:rPr>
              <w:t>Cambridge, MA</w:t>
            </w: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Pr>
          <w:p>
            <w:pPr>
              <w:jc w:val="right"/>
              <w:ind w:right="1126"/>
              <w:spacing w:after="0" w:line="170" w:lineRule="exact"/>
              <w:rPr>
                <w:sz w:val="20"/>
                <w:szCs w:val="20"/>
                <w:color w:val="auto"/>
              </w:rPr>
            </w:pPr>
            <w:r>
              <w:rPr>
                <w:rFonts w:ascii="Arial" w:cs="Arial" w:eastAsia="Arial" w:hAnsi="Arial"/>
                <w:sz w:val="15"/>
                <w:szCs w:val="15"/>
                <w:b w:val="1"/>
                <w:bCs w:val="1"/>
                <w:color w:val="auto"/>
              </w:rPr>
              <w:t>02139</w:t>
            </w:r>
          </w:p>
        </w:tc>
        <w:tc>
          <w:tcPr>
            <w:tcW w:w="0" w:type="dxa"/>
            <w:vAlign w:val="bottom"/>
          </w:tcPr>
          <w:p>
            <w:pPr>
              <w:spacing w:after="0"/>
              <w:rPr>
                <w:sz w:val="1"/>
                <w:szCs w:val="1"/>
                <w:color w:val="auto"/>
              </w:rPr>
            </w:pPr>
          </w:p>
        </w:tc>
      </w:tr>
      <w:tr>
        <w:trPr>
          <w:trHeight w:val="186"/>
        </w:trPr>
        <w:tc>
          <w:tcPr>
            <w:tcW w:w="736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Address of principal executive offices</w:t>
            </w:r>
            <w:r>
              <w:rPr>
                <w:rFonts w:ascii="Arial" w:cs="Arial" w:eastAsia="Arial" w:hAnsi="Arial"/>
                <w:sz w:val="14"/>
                <w:szCs w:val="14"/>
                <w:b w:val="1"/>
                <w:bCs w:val="1"/>
                <w:color w:val="auto"/>
                <w:w w:val="87"/>
              </w:rPr>
              <w:t>)</w:t>
            </w:r>
          </w:p>
        </w:tc>
        <w:tc>
          <w:tcPr>
            <w:tcW w:w="2460" w:type="dxa"/>
            <w:vAlign w:val="bottom"/>
          </w:tcPr>
          <w:p>
            <w:pPr>
              <w:jc w:val="center"/>
              <w:ind w:right="24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Zip Code</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396"/>
        </w:trPr>
        <w:tc>
          <w:tcPr>
            <w:tcW w:w="9820" w:type="dxa"/>
            <w:vAlign w:val="bottom"/>
            <w:gridSpan w:val="5"/>
          </w:tcPr>
          <w:p>
            <w:pPr>
              <w:jc w:val="center"/>
              <w:ind w:left="1365"/>
              <w:spacing w:after="0"/>
              <w:rPr>
                <w:sz w:val="20"/>
                <w:szCs w:val="20"/>
                <w:color w:val="auto"/>
              </w:rPr>
            </w:pPr>
            <w:r>
              <w:rPr>
                <w:rFonts w:ascii="Arial" w:cs="Arial" w:eastAsia="Arial" w:hAnsi="Arial"/>
                <w:sz w:val="15"/>
                <w:szCs w:val="15"/>
                <w:b w:val="1"/>
                <w:bCs w:val="1"/>
                <w:color w:val="auto"/>
                <w:w w:val="90"/>
              </w:rPr>
              <w:t>Registrant’s telephone number, including area code: 857-327-8775</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6060" w:type="dxa"/>
            <w:vAlign w:val="bottom"/>
            <w:gridSpan w:val="4"/>
          </w:tcPr>
          <w:p>
            <w:pPr>
              <w:jc w:val="center"/>
              <w:ind w:right="2246"/>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228"/>
        </w:trPr>
        <w:tc>
          <w:tcPr>
            <w:tcW w:w="3760" w:type="dxa"/>
            <w:vAlign w:val="bottom"/>
            <w:vMerge w:val="restart"/>
          </w:tcPr>
          <w:p>
            <w:pPr>
              <w:jc w:val="center"/>
              <w:ind w:left="885"/>
              <w:spacing w:after="0"/>
              <w:rPr>
                <w:sz w:val="20"/>
                <w:szCs w:val="20"/>
                <w:color w:val="auto"/>
              </w:rPr>
            </w:pPr>
            <w:r>
              <w:rPr>
                <w:rFonts w:ascii="Arial" w:cs="Arial" w:eastAsia="Arial" w:hAnsi="Arial"/>
                <w:sz w:val="14"/>
                <w:szCs w:val="14"/>
                <w:b w:val="1"/>
                <w:bCs w:val="1"/>
                <w:color w:val="auto"/>
                <w:w w:val="89"/>
              </w:rPr>
              <w:t>Title of each class</w:t>
            </w:r>
          </w:p>
        </w:tc>
        <w:tc>
          <w:tcPr>
            <w:tcW w:w="740" w:type="dxa"/>
            <w:vAlign w:val="bottom"/>
          </w:tcPr>
          <w:p>
            <w:pPr>
              <w:spacing w:after="0"/>
              <w:rPr>
                <w:sz w:val="19"/>
                <w:szCs w:val="19"/>
                <w:color w:val="auto"/>
              </w:rPr>
            </w:pPr>
          </w:p>
        </w:tc>
        <w:tc>
          <w:tcPr>
            <w:tcW w:w="2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Trading</w:t>
            </w:r>
          </w:p>
        </w:tc>
        <w:tc>
          <w:tcPr>
            <w:tcW w:w="2460" w:type="dxa"/>
            <w:vAlign w:val="bottom"/>
          </w:tcPr>
          <w:p>
            <w:pPr>
              <w:jc w:val="center"/>
              <w:ind w:left="606"/>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54"/>
        </w:trPr>
        <w:tc>
          <w:tcPr>
            <w:tcW w:w="37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1"/>
              </w:rPr>
              <w:t>Symbol(s)</w:t>
            </w:r>
          </w:p>
        </w:tc>
        <w:tc>
          <w:tcPr>
            <w:tcW w:w="2460" w:type="dxa"/>
            <w:vAlign w:val="bottom"/>
          </w:tcPr>
          <w:p>
            <w:pPr>
              <w:jc w:val="center"/>
              <w:ind w:left="586"/>
              <w:spacing w:after="0" w:line="154"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9"/>
        </w:trPr>
        <w:tc>
          <w:tcPr>
            <w:tcW w:w="3760" w:type="dxa"/>
            <w:vAlign w:val="bottom"/>
          </w:tcPr>
          <w:p>
            <w:pPr>
              <w:jc w:val="center"/>
              <w:ind w:left="945"/>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740" w:type="dxa"/>
            <w:vAlign w:val="bottom"/>
          </w:tcPr>
          <w:p>
            <w:pPr>
              <w:spacing w:after="0"/>
              <w:rPr>
                <w:sz w:val="16"/>
                <w:szCs w:val="16"/>
                <w:color w:val="auto"/>
              </w:rPr>
            </w:pPr>
          </w:p>
        </w:tc>
        <w:tc>
          <w:tcPr>
            <w:tcW w:w="286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rPr>
              <w:t>BEAM</w:t>
            </w:r>
          </w:p>
        </w:tc>
        <w:tc>
          <w:tcPr>
            <w:tcW w:w="2460" w:type="dxa"/>
            <w:vAlign w:val="bottom"/>
          </w:tcPr>
          <w:p>
            <w:pPr>
              <w:ind w:left="540"/>
              <w:spacing w:after="0"/>
              <w:rPr>
                <w:sz w:val="20"/>
                <w:szCs w:val="20"/>
                <w:color w:val="auto"/>
              </w:rPr>
            </w:pPr>
            <w:r>
              <w:rPr>
                <w:rFonts w:ascii="Arial" w:cs="Arial" w:eastAsia="Arial" w:hAnsi="Arial"/>
                <w:sz w:val="15"/>
                <w:szCs w:val="15"/>
                <w:b w:val="1"/>
                <w:bCs w:val="1"/>
                <w:color w:val="auto"/>
                <w:w w:val="92"/>
              </w:rPr>
              <w:t>Nasdaq Global Select Market</w:t>
            </w:r>
          </w:p>
        </w:tc>
        <w:tc>
          <w:tcPr>
            <w:tcW w:w="0" w:type="dxa"/>
            <w:vAlign w:val="bottom"/>
          </w:tcPr>
          <w:p>
            <w:pPr>
              <w:spacing w:after="0"/>
              <w:rPr>
                <w:sz w:val="1"/>
                <w:szCs w:val="1"/>
                <w:color w:val="auto"/>
              </w:rPr>
            </w:pPr>
          </w:p>
        </w:tc>
      </w:tr>
      <w:tr>
        <w:trPr>
          <w:trHeight w:val="198"/>
        </w:trPr>
        <w:tc>
          <w:tcPr>
            <w:tcW w:w="9820" w:type="dxa"/>
            <w:vAlign w:val="bottom"/>
            <w:gridSpan w:val="5"/>
          </w:tcPr>
          <w:p>
            <w:pPr>
              <w:jc w:val="center"/>
              <w:ind w:left="1345"/>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49"/>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460" w:type="dxa"/>
            <w:vAlign w:val="bottom"/>
            <w:vMerge w:val="restart"/>
          </w:tcPr>
          <w:p>
            <w:pPr>
              <w:ind w:left="20"/>
              <w:spacing w:after="0" w:line="173" w:lineRule="exact"/>
              <w:rPr>
                <w:sz w:val="20"/>
                <w:szCs w:val="20"/>
                <w:color w:val="auto"/>
              </w:rPr>
            </w:pPr>
            <w:r>
              <w:rPr>
                <w:rFonts w:ascii="Arial" w:cs="Arial" w:eastAsia="Arial" w:hAnsi="Arial"/>
                <w:sz w:val="15"/>
                <w:szCs w:val="15"/>
                <w:color w:val="auto"/>
              </w:rPr>
              <w:t>YES</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1"/>
        </w:trPr>
        <w:tc>
          <w:tcPr>
            <w:tcW w:w="7360" w:type="dxa"/>
            <w:vAlign w:val="bottom"/>
            <w:gridSpan w:val="4"/>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2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60" w:type="dxa"/>
            <w:vAlign w:val="bottom"/>
            <w:gridSpan w:val="4"/>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246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460"/>
        <w:spacing w:after="0" w:line="25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640" w:val="left"/>
          <w:tab w:leader="none" w:pos="130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1" w:lineRule="exact"/>
        <w:rPr>
          <w:sz w:val="24"/>
          <w:szCs w:val="24"/>
          <w:color w:val="auto"/>
        </w:rPr>
      </w:pPr>
    </w:p>
    <w:p>
      <w:pPr>
        <w:ind w:right="6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50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 w:lineRule="exact"/>
        <w:rPr>
          <w:sz w:val="24"/>
          <w:szCs w:val="24"/>
          <w:color w:val="auto"/>
        </w:rPr>
      </w:pPr>
    </w:p>
    <w:p>
      <w:pPr>
        <w:ind w:right="5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140" w:val="left"/>
          <w:tab w:leader="none" w:pos="77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57" w:lineRule="exact"/>
        <w:rPr>
          <w:sz w:val="24"/>
          <w:szCs w:val="24"/>
          <w:color w:val="auto"/>
        </w:rPr>
      </w:pPr>
    </w:p>
    <w:p>
      <w:pPr>
        <w:jc w:val="both"/>
        <w:ind w:right="120"/>
        <w:spacing w:after="0" w:line="257" w:lineRule="auto"/>
        <w:rPr>
          <w:sz w:val="20"/>
          <w:szCs w:val="20"/>
          <w:color w:val="auto"/>
        </w:rPr>
      </w:pPr>
      <w:r>
        <w:rPr>
          <w:rFonts w:ascii="Arial" w:cs="Arial" w:eastAsia="Arial" w:hAnsi="Arial"/>
          <w:sz w:val="14"/>
          <w:szCs w:val="14"/>
          <w:color w:val="auto"/>
        </w:rPr>
        <w:t>As of June 28, 2019, the last business day of the registrant’s most recently completed second quarter, there was no public market for the registrant’s common stock. The registrant’s common stock began trading on the Nasdaq Global Select Market (“Nasdaq”) on February 6, 2020. The aggregate market value of the voting and non-voting common stock held by non-affiliates of the registrant, based on the closing price of the registrant’s common stock on Nasdaq on March 25, 2020, was approximately $684,460,600.</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25, 2020 was 51,339,708.</w:t>
      </w:r>
    </w:p>
    <w:p>
      <w:pPr>
        <w:spacing w:after="0" w:line="175"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No items are incorporated by reference into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66"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2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540" w:type="dxa"/>
            <w:vAlign w:val="bottom"/>
            <w:gridSpan w:val="21"/>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1A.</w:t>
            </w:r>
          </w:p>
        </w:tc>
        <w:tc>
          <w:tcPr>
            <w:tcW w:w="954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1B.</w:t>
            </w:r>
          </w:p>
        </w:tc>
        <w:tc>
          <w:tcPr>
            <w:tcW w:w="9540" w:type="dxa"/>
            <w:vAlign w:val="bottom"/>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Unresolved Staff Comments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50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Legal Proceedings</w:t>
              </w:r>
            </w:hyperlink>
          </w:p>
        </w:tc>
        <w:tc>
          <w:tcPr>
            <w:tcW w:w="820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38"/>
        </w:trPr>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Market for Registrant’s Common Equity, Related Stockholder Matters and Issuer Purchases of Equity Securities</w:t>
              </w:r>
            </w:hyperlink>
          </w:p>
        </w:tc>
        <w:tc>
          <w:tcPr>
            <w:tcW w:w="1460" w:type="dxa"/>
            <w:vAlign w:val="bottom"/>
          </w:tcPr>
          <w:p>
            <w:pPr>
              <w:spacing w:after="0"/>
              <w:rPr>
                <w:sz w:val="16"/>
                <w:szCs w:val="16"/>
                <w:color w:val="auto"/>
              </w:rPr>
            </w:pPr>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Selected Financial Data</w:t>
              </w:r>
            </w:hyperlink>
          </w:p>
        </w:tc>
        <w:tc>
          <w:tcPr>
            <w:tcW w:w="7820" w:type="dxa"/>
            <w:vAlign w:val="bottom"/>
            <w:gridSpan w:val="1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Quantitative and Qualitative Disclosures About Market Risk</w:t>
              </w:r>
            </w:hyperlink>
          </w:p>
        </w:tc>
        <w:tc>
          <w:tcPr>
            <w:tcW w:w="518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8.</w:t>
            </w:r>
          </w:p>
        </w:tc>
        <w:tc>
          <w:tcPr>
            <w:tcW w:w="9540" w:type="dxa"/>
            <w:vAlign w:val="bottom"/>
            <w:gridSpan w:val="2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Financial Statements and Supplementary Data</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Controls and Procedures</w:t>
              </w:r>
            </w:hyperlink>
          </w:p>
        </w:tc>
        <w:tc>
          <w:tcPr>
            <w:tcW w:w="776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9B.</w:t>
            </w:r>
          </w:p>
        </w:tc>
        <w:tc>
          <w:tcPr>
            <w:tcW w:w="9540" w:type="dxa"/>
            <w:vAlign w:val="bottom"/>
            <w:gridSpan w:val="2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38"/>
        </w:trPr>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Directors, Executive Officers and Corporate Governance</w:t>
              </w:r>
            </w:hyperlink>
          </w:p>
        </w:tc>
        <w:tc>
          <w:tcPr>
            <w:tcW w:w="5440" w:type="dxa"/>
            <w:vAlign w:val="bottom"/>
            <w:gridSpan w:val="7"/>
          </w:tcPr>
          <w:p>
            <w:pPr>
              <w:spacing w:after="0"/>
              <w:rPr>
                <w:sz w:val="16"/>
                <w:szCs w:val="16"/>
                <w:color w:val="auto"/>
              </w:rPr>
            </w:pPr>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11.</w:t>
            </w:r>
          </w:p>
        </w:tc>
        <w:tc>
          <w:tcPr>
            <w:tcW w:w="9540" w:type="dxa"/>
            <w:vAlign w:val="bottom"/>
            <w:gridSpan w:val="2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Security Ownership of Certain Beneficial Owners and Management and Related Stockholder Matters</w:t>
              </w:r>
            </w:hyperlink>
          </w:p>
        </w:tc>
        <w:tc>
          <w:tcPr>
            <w:tcW w:w="224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Certain Relationships and Related Transactions, and Director Independence</w:t>
              </w:r>
            </w:hyperlink>
          </w:p>
        </w:tc>
        <w:tc>
          <w:tcPr>
            <w:tcW w:w="408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14.</w:t>
            </w:r>
          </w:p>
        </w:tc>
        <w:tc>
          <w:tcPr>
            <w:tcW w:w="9540" w:type="dxa"/>
            <w:vAlign w:val="bottom"/>
            <w:gridSpan w:val="21"/>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Principal Accounting Fees and Services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8"/>
        </w:trPr>
        <w:tc>
          <w:tcPr>
            <w:tcW w:w="1140" w:type="dxa"/>
            <w:vAlign w:val="bottom"/>
          </w:tcPr>
          <w:p>
            <w:pPr>
              <w:ind w:left="14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540" w:type="dxa"/>
            <w:vAlign w:val="bottom"/>
            <w:gridSpan w:val="21"/>
          </w:tcPr>
          <w:p>
            <w:pPr>
              <w:spacing w:after="0" w:line="190" w:lineRule="exact"/>
              <w:rPr>
                <w:rFonts w:ascii="Arial" w:cs="Arial" w:eastAsia="Arial" w:hAnsi="Arial"/>
                <w:sz w:val="18"/>
                <w:szCs w:val="18"/>
                <w:color w:val="0000EE"/>
              </w:rPr>
            </w:pPr>
            <w:hyperlink w:anchor="page136">
              <w:r>
                <w:rPr>
                  <w:rFonts w:ascii="Arial" w:cs="Arial" w:eastAsia="Arial" w:hAnsi="Arial"/>
                  <w:sz w:val="18"/>
                  <w:szCs w:val="18"/>
                  <w:color w:val="0000EE"/>
                </w:rPr>
                <w:t>Exhibits, Financial Statement Schedules</w:t>
              </w:r>
            </w:hyperlink>
          </w:p>
        </w:tc>
        <w:tc>
          <w:tcPr>
            <w:tcW w:w="5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Form 10-K Summary</w:t>
              </w:r>
            </w:hyperlink>
          </w:p>
        </w:tc>
        <w:tc>
          <w:tcPr>
            <w:tcW w:w="664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215"/>
        </w:trPr>
        <w:tc>
          <w:tcPr>
            <w:tcW w:w="11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 Item 1A of this report. Unless legally required, we assume no obligation to update any such forward-looking information to reflect actual results or changes in the factors affecting such forward-looking information.</w:t>
      </w:r>
    </w:p>
    <w:p>
      <w:pPr>
        <w:spacing w:after="0" w:line="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BEAM, REPAIR and RESCUE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in Part I, Item 1A of this report. These and other factors could cause our future performance to differ materially from our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biotechnology company committed to creating a new class of precision genetic medicines based on our proprietary base editing technology, with a vision of providing life-long cures to patients suffering from serious diseases.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most common class of genetic mutations are errors of a single base, known as point mutations. These point mutations represent approximately 58% of all the known genetic errors associated with disease. Other natural genetic variations of a single base among human populations, revealed by population-level genomic studies, are known to protect against disease. To maximize the impact of these genetic insights, the ability to alter the human genome at the foundational level of genetic information – a single base – is crucial.</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last decade, the field of genetic medicine has reached an inflection point, with groundbreaking advances in gene therapy, cell therapy, oligonucleotides, and, more recently, gene editing. While these technologies represent dramatic advancements for genetic medicines, the ability to edit genes at the single base level has been elusive. Existing gene editing technologies, such as CRISPR, Zinc Fingers, Arcuses, and TAL Nucleases, operate by creating a targeted double-stranded break in the DNA, and then rely on cellular mechanisms to complete the editing process. Such approaches can be effective in the disruption of gene expression; however, they lack control of the editing outcome, have low efficiency of precise gene correction, and can result in unwanted DNA modifications.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which we believe will dramatically increase the impact of gene editing for a broad range of therapeutic applications. By building on the significant recent advances in the field of genetic medicine, we believe we will be able to rapidly advance our portfolio of novel base editing.</w:t>
      </w:r>
    </w:p>
    <w:p>
      <w:pPr>
        <w:spacing w:after="0" w:line="8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novel base editors have two principal components that are fused together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existing gene editing approaches are “scissors” for the genome, our base editors are “pencils,” erasing and rewriting one letter in the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83185</wp:posOffset>
            </wp:positionV>
            <wp:extent cx="5177790" cy="1825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779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tabs>
          <w:tab w:leader="none" w:pos="5780" w:val="left"/>
        </w:tabs>
        <w:rPr>
          <w:sz w:val="20"/>
          <w:szCs w:val="20"/>
          <w:color w:val="auto"/>
        </w:rPr>
      </w:pPr>
      <w:r>
        <w:rPr>
          <w:rFonts w:ascii="Arial" w:cs="Arial" w:eastAsia="Arial" w:hAnsi="Arial"/>
          <w:sz w:val="18"/>
          <w:szCs w:val="18"/>
          <w:i w:val="1"/>
          <w:iCs w:val="1"/>
          <w:color w:val="auto"/>
        </w:rPr>
        <w:t>CRISPR, Zinc Finger, Arcuses, TAL Nucleases</w:t>
      </w:r>
      <w:r>
        <w:rPr>
          <w:sz w:val="20"/>
          <w:szCs w:val="20"/>
          <w:color w:val="auto"/>
        </w:rPr>
        <w:tab/>
      </w:r>
      <w:r>
        <w:rPr>
          <w:rFonts w:ascii="Arial" w:cs="Arial" w:eastAsia="Arial" w:hAnsi="Arial"/>
          <w:sz w:val="16"/>
          <w:szCs w:val="16"/>
          <w:i w:val="1"/>
          <w:iCs w:val="1"/>
          <w:color w:val="auto"/>
        </w:rPr>
        <w:t>Base Editors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elegance and simplicity of the “pencils” approach provides the basis for an efficient, precise, and highly versatile gene editing system, capable of gene correction, gene modification, gene silencing/gene activation, and multiplex editing of several genes simultaneously. Our base editor programs will be developed for genetically defined patient populations, which can potentially enable early proof-of-concept in Phase 1 testing and create a rapid path to pivotal trials and potential approval.</w:t>
      </w:r>
    </w:p>
    <w:p>
      <w:pPr>
        <w:spacing w:after="0" w:line="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believe base editors may have broad therapeutic applicability and transformational potential for the field of precision genetic medicines. In addition to base editing, we have assembled a suite of additional next generation gene editing technologies, including RNA base editing, Cas12b nuclease editing, and prime editing, giving us a versatile platform for gene editing of serious diseases.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t>We are currently advancing a broad, diversified portfolio of 12 base editing programs against distinct editing targets, with each program progressing along a clearly defined scientific path and utilizing the full range of our development capabilities. To unlock the full potential of our base editing technology across a wide range of therapeutic applications, we are pursuing a comprehensive suite of clinically validated delivery modalities in parallel. For a given tissue type, we use the delivery modality with the most compelling biodistribution.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programs are organized by delivery modality into three distinct pipelines: electroporation for efficient delivery to blood cells and immune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lipid nanoparticles, or LNPs, for non-viral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to the liver and potentially other organs in the future; and adeno-associated viral vectors, or AAV, for viral delivery to the eye and central nervous system, or CNS. We believe our base editing programs are well-positioned to leverage the clinical, regulatory, and manufacturing advancements made to date across gene therapy, gene editing, and delivery modalities to accelerate progression to clinical trials and potential approval.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current portfolio includes the following 12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83185</wp:posOffset>
            </wp:positionV>
            <wp:extent cx="5177790" cy="2434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779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achieved proof-of-concept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with long-term engraftment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base edited human CD34 cells in mice for our HPFH program, and we have demonstrated base editing of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at therapeutically relevant levels for the majority of our remaining programs. We have also successfully demonstrated feasibility of base editing with each of our three delivery modalities in relevant cell types for electroporation and AAV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mice for LNP. Our portfolio includes a novel approach to elevating levels of fetal hemoglobin for sickle cell disease and beta-thalassemia, as well as direct correction of the sickle cell mutation itself; engineered allogeneic CAR-T products through multiplex editing of T cells from healthy donors, initially for pediatric T-cell Acute Lymphoblastic Leukemia, or T-ALL, and pediatric Acute Myeloid Leukemia, or AML; precise correction of key point mutations in two severe liver disorders, Alpha-1 Antitrypsin Deficiency and Glycogen Storage Disorder 1a; and a precise gene correction approach to treating the most prevalent point mutation causing Stargardt disease, a progressive ocular disorder for which there are no approved treatments.</w:t>
      </w:r>
    </w:p>
    <w:p>
      <w:pPr>
        <w:spacing w:after="0" w:line="5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We expect to achieve additional preclinical proofs-of-concept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additional programs in 2020, which could include engraftment results for the Makassar precise correction sickle cell program, xenograft models for our CAR-T programs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in our programs using LNP or AAV delivery. If successful, and provided the coronavirus disease of 2019, or COVID-19, does not cause our timelines to slip materially, this will allow us to initiate investigational new drug, or IND, enabling studies for multiple programs beginning in 2020. We expect to file an initial wave of IND filings beginning in 2021.</w:t>
      </w:r>
    </w:p>
    <w:p>
      <w:pPr>
        <w:spacing w:after="0" w:line="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Since our founding in 2017, we have developed and consolidated significant technology and intellectual property covering the elements of base editing, as well as additional gene editing technologies and delivery modalities, with exclusive licenses from Harvard University, or Harvard, Broad Institute of MIT and Harvard, or Broad Institute, Editas Medicine, and Bio Palette.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editors: A potential new class of medicines that perform precision chemistry on genes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human genome has four types of bases found in DNA: adenine (A), cytosine (C), guanine (G), and thymine (T). Adenine pairs with thymine, and cytosine pairs with guanine. The genome is comprised of over three billion of these base pairs in two intertwining strands of DNA; the sequence of these bases encodes genes. In a living cell, these DNA sequences are continuously copied into short ribonucleic acid transcripts, called messenger RNA, or mRNA, which are then translated into proteins that perform the functions of life. Misspellings in genes, known as mutations, can yield proteins that are dysfunctional or missing altogether, causing disease. Errors of a single base, known as point mutations, are the most common class of genetic mutations, representing approximately 58% of all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ind w:right="40"/>
        <w:spacing w:after="0" w:line="263" w:lineRule="auto"/>
        <w:rPr>
          <w:sz w:val="20"/>
          <w:szCs w:val="20"/>
          <w:color w:val="auto"/>
        </w:rPr>
      </w:pPr>
      <w:r>
        <w:rPr>
          <w:rFonts w:ascii="Arial" w:cs="Arial" w:eastAsia="Arial" w:hAnsi="Arial"/>
          <w:sz w:val="18"/>
          <w:szCs w:val="18"/>
          <w:color w:val="auto"/>
        </w:rPr>
        <w:t>the known genetic errors associated with disease. Other natural genetic variations of a single base among human populations, revealed by population-level genomic studies, are known to protect against disease. To maximize the impact of these genetic insights, the ability to alter the human genome at the foundational level of genetic information – a single base – is crucial.</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Existing gene editing technologies, including CRISPR, Zinc Fingers, Arcuses and TAL Nucleases, do not edit at the single base level. Instead, these technologies operate by creating a targeted double-stranded break in the DNA, and then rely on cellular mechanisms to complete the editing process. Such approaches can be effective in disruption of gene expression; however, they lack control of the editing outcome, have low efficiency of precise gene correction, and can result in unwanted DNA modifications.</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base editing technology is an entirely new therapeutic approach capable of changing one base in the genome without making a double-stranded break in the DNA. Base editing involves the enzymatic modification of a single type of base at a targeted location directly on the gene, specifically C-to-T or A-to-G.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existing gene editing approaches are “scissors” for the genome, our base editors are “pencils,” erasing and rewriting one letter in the gene.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elegance and simplicity of the “pencils” approach is designed to create precise, predictable and efficient genetic outcomes at a targeted sequence. We believe base editors may have broad therapeutic applicability and transformational potential for the field of precision genetic medicines.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current methods in genetic medicines</w:t>
      </w:r>
    </w:p>
    <w:p>
      <w:pPr>
        <w:spacing w:after="0" w:line="121"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In the last decade, the field of genetic medicine has reached an inflection point, with groundbreaking advances in gene therapy, cell therapy, oligonucleotides and, most recently, gene editing. Several medicines have been approved using a number of these technologies, including gene therapies, such as Luxturna</w:t>
      </w:r>
      <w:r>
        <w:rPr>
          <w:rFonts w:ascii="Arial" w:cs="Arial" w:eastAsia="Arial" w:hAnsi="Arial"/>
          <w:sz w:val="26"/>
          <w:szCs w:val="26"/>
          <w:color w:val="auto"/>
          <w:vertAlign w:val="superscript"/>
        </w:rPr>
        <w:t>™</w:t>
      </w:r>
      <w:r>
        <w:rPr>
          <w:rFonts w:ascii="Arial" w:cs="Arial" w:eastAsia="Arial" w:hAnsi="Arial"/>
          <w:sz w:val="18"/>
          <w:szCs w:val="18"/>
          <w:color w:val="auto"/>
        </w:rPr>
        <w:t>, Zolgensma</w:t>
      </w:r>
      <w:r>
        <w:rPr>
          <w:rFonts w:ascii="Arial" w:cs="Arial" w:eastAsia="Arial" w:hAnsi="Arial"/>
          <w:sz w:val="26"/>
          <w:szCs w:val="26"/>
          <w:color w:val="auto"/>
          <w:vertAlign w:val="superscript"/>
        </w:rPr>
        <w:t>®</w:t>
      </w:r>
      <w:r>
        <w:rPr>
          <w:rFonts w:ascii="Arial" w:cs="Arial" w:eastAsia="Arial" w:hAnsi="Arial"/>
          <w:sz w:val="18"/>
          <w:szCs w:val="18"/>
          <w:color w:val="auto"/>
        </w:rPr>
        <w:t>, Strimvelis</w:t>
      </w:r>
      <w:r>
        <w:rPr>
          <w:rFonts w:ascii="Arial" w:cs="Arial" w:eastAsia="Arial" w:hAnsi="Arial"/>
          <w:sz w:val="26"/>
          <w:szCs w:val="26"/>
          <w:color w:val="auto"/>
          <w:vertAlign w:val="superscript"/>
        </w:rPr>
        <w:t>®</w:t>
      </w:r>
      <w:r>
        <w:rPr>
          <w:rFonts w:ascii="Arial" w:cs="Arial" w:eastAsia="Arial" w:hAnsi="Arial"/>
          <w:sz w:val="18"/>
          <w:szCs w:val="18"/>
          <w:color w:val="auto"/>
        </w:rPr>
        <w:t>, and Zynteglo</w:t>
      </w:r>
      <w:r>
        <w:rPr>
          <w:rFonts w:ascii="Arial" w:cs="Arial" w:eastAsia="Arial" w:hAnsi="Arial"/>
          <w:sz w:val="26"/>
          <w:szCs w:val="26"/>
          <w:color w:val="auto"/>
          <w:vertAlign w:val="superscript"/>
        </w:rPr>
        <w:t>™</w:t>
      </w:r>
      <w:r>
        <w:rPr>
          <w:rFonts w:ascii="Arial" w:cs="Arial" w:eastAsia="Arial" w:hAnsi="Arial"/>
          <w:sz w:val="18"/>
          <w:szCs w:val="18"/>
          <w:color w:val="auto"/>
        </w:rPr>
        <w:t>; genetically modified cell therapies, such as Kymriah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Yescarta</w:t>
      </w:r>
      <w:r>
        <w:rPr>
          <w:rFonts w:ascii="Arial" w:cs="Arial" w:eastAsia="Arial" w:hAnsi="Arial"/>
          <w:sz w:val="26"/>
          <w:szCs w:val="26"/>
          <w:color w:val="auto"/>
          <w:vertAlign w:val="superscript"/>
        </w:rPr>
        <w:t>®</w:t>
      </w:r>
      <w:r>
        <w:rPr>
          <w:rFonts w:ascii="Arial" w:cs="Arial" w:eastAsia="Arial" w:hAnsi="Arial"/>
          <w:sz w:val="18"/>
          <w:szCs w:val="18"/>
          <w:color w:val="auto"/>
        </w:rPr>
        <w:t>; oligonucleotide therapies, such as Onpattro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Spinraza</w:t>
      </w:r>
      <w:r>
        <w:rPr>
          <w:rFonts w:ascii="Arial" w:cs="Arial" w:eastAsia="Arial" w:hAnsi="Arial"/>
          <w:sz w:val="26"/>
          <w:szCs w:val="26"/>
          <w:color w:val="auto"/>
          <w:vertAlign w:val="superscript"/>
        </w:rPr>
        <w:t>®</w:t>
      </w:r>
      <w:r>
        <w:rPr>
          <w:rFonts w:ascii="Arial" w:cs="Arial" w:eastAsia="Arial" w:hAnsi="Arial"/>
          <w:sz w:val="18"/>
          <w:szCs w:val="18"/>
          <w:color w:val="auto"/>
        </w:rPr>
        <w:t>; as well as the successful progression of several gene editing approaches to clinical trials in the United States and Europe. With the exception of oligonucleotides, which must be dosed chronically, each of these therapies has the potential for life-long outcomes with a single treatment.</w:t>
      </w:r>
    </w:p>
    <w:p>
      <w:pPr>
        <w:spacing w:after="0" w:line="9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believe we are well-positioned to accelerate progression of our base editing programs to clinical trials through potential approval by leveraging the clinical, regulatory, and manufacturing advancements made to date in the field of genetic medicine. In addition, we believe base editing technology has the potential to provide life-long cures after a single treatment by overcoming challenges associated with current methods in gene therapy and gene editing.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challenges in gene therapy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 therapy involves using viral vectors, including AAV or retroviruses such as lentiviruses, to deliver new copies of genes, or transgenes, to cells. Fine-tuning the level of expression of the transgene in different cell types and/or diseases can be challenging. Because transgenes may often not get inserted into the appropriate locus of the host genome, they do not benefit from endogenous regulation. In addition, since the mutated gene is still present, the effectiveness of the transgene may be diminished due to competition with the mutated protein.</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case of AAV gene therapy, life-long expression of the transgene is a significant hurdle, as the persistence of AAV expression has not yet been achieved in several organs, especially in muscles and the liver. Lack of persistence can be further exacerbated when treating children, since the transgene becomes diluted as the child grows and cells are rapidly dividing. Finally, preexisting immunity may limit use in some patients altogether and certain immune responses may prevent redosing in the context of lack of persistence.</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Retroviral vectors, including lentiviral vectors, work by inserting a gene payload into the patient’s chromosome, typically </w:t>
      </w:r>
      <w:r>
        <w:rPr>
          <w:rFonts w:ascii="Arial" w:cs="Arial" w:eastAsia="Arial" w:hAnsi="Arial"/>
          <w:sz w:val="18"/>
          <w:szCs w:val="18"/>
          <w:i w:val="1"/>
          <w:iCs w:val="1"/>
          <w:color w:val="auto"/>
        </w:rPr>
        <w:t>ex vivo</w:t>
      </w:r>
      <w:r>
        <w:rPr>
          <w:rFonts w:ascii="Arial" w:cs="Arial" w:eastAsia="Arial" w:hAnsi="Arial"/>
          <w:sz w:val="18"/>
          <w:szCs w:val="18"/>
          <w:color w:val="auto"/>
        </w:rPr>
        <w:t>, and have demonstrated improved durability compared to AAV therapies. However, these vectors bear the risk of random genomic integration, which creates the potential of disrupting important genes or activating cancer-causing genes.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challenges in gene editing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 editing works by disrupting, inserting, or modifying genes in the natural context of the genome. The vast majority of existing gene editing methods rely on a class of enzymes, called nucleases, to make a double-stranded break in the DNA at a targeted location. These enzymes include CRISPR, Zinc Fingers, Arcuses, and TAL Nucleases, and, while these approaches have distinct technical features, they make the same type of edit and, therefore, share several similar limitations.</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First, there is a lack of predictability in genetic outcomes when altering gene sequences with nucleases. The dominant naturally occurring DNA repair system that corrects double-stranded breaks within cells is called Non-Homologous End Joining, or NHEJ. This system can patch the broken ends of the chromosomes back together but can simultaneously insert or delete sequences at random near the location where the break occurs. While this NHEJ approach is effective if the desired outcome is to knock out or switch off the whole gene, it does not allow for precise control of the specific genetic outcome at the target site.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Second, there are potential toxicities associated with double-stranded breaks, such as cell death response and genomic instability. In addition, if the double-stranded break occurs in the wrong place, the break can also lead to unwanted gene disruptions. Multiple edits, and thus multiple double-stranded breaks, can compound this issue and lead to large-scale genomic translocations and rearrangements, potentially limiting the applicability of nuclease-based approaches in multiplex editing.</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Third, while gene disruption with nucleases is highly efficient, making specific sequence changes to correct or modify genes remains largely inefficient. To change a gene sequence, gene editing using nucleases relies on a DNA repair pathway called Homology Directed Repair, or HDR. HDR is a low-efficiency DNA repair pathway, typically yielding single digit percentage editing. This pathway also requires the simultaneous delivery of an additional DNA template containing the desired, corrected gene sequence, which needs to be positioned at the precise location where the double-stranded break has occurred. The requirement of an additional DNA template also significantly increases the complexity of delivery. More recently, approaches have been developed to insert sequences into certain highly expressed genes, such as the albumin locus in liver cells. This strategy can only be used to address diseases that are associated with circulating proteins, and the efficiency of these approaches remains low.</w:t>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Finally, gene editing through HDR does not allow for the correction of genes in non-dividing cells, since this DNA repair machinery is only expressed in dividing cells, further limiting their applications.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base editing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 editing is an emerging new class of precision genetic medicines using a completely novel mechanism for editing DNA, creating potential therapeutic options designed to overcome the limitations of existing approaches and expand the potential of genetic medicines:</w:t>
      </w:r>
    </w:p>
    <w:p>
      <w:pPr>
        <w:spacing w:after="0" w:line="166" w:lineRule="exact"/>
        <w:rPr>
          <w:sz w:val="20"/>
          <w:szCs w:val="20"/>
          <w:color w:val="auto"/>
        </w:rPr>
      </w:pPr>
    </w:p>
    <w:p>
      <w:pPr>
        <w:ind w:left="740" w:right="20" w:hanging="368"/>
        <w:spacing w:after="0" w:line="28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Highly precise and predictable gene editing. </w:t>
      </w:r>
      <w:r>
        <w:rPr>
          <w:rFonts w:ascii="Arial" w:cs="Arial" w:eastAsia="Arial" w:hAnsi="Arial"/>
          <w:sz w:val="18"/>
          <w:szCs w:val="18"/>
          <w:color w:val="auto"/>
        </w:rPr>
        <w:t>Our base editing approach uses a chemical reaction that enables precise genetic outcomes, making</w:t>
      </w:r>
      <w:r>
        <w:rPr>
          <w:rFonts w:ascii="Arial" w:cs="Arial" w:eastAsia="Arial" w:hAnsi="Arial"/>
          <w:sz w:val="18"/>
          <w:szCs w:val="18"/>
          <w:b w:val="1"/>
          <w:bCs w:val="1"/>
          <w:color w:val="auto"/>
        </w:rPr>
        <w:t xml:space="preserve"> </w:t>
      </w:r>
      <w:r>
        <w:rPr>
          <w:rFonts w:ascii="Arial" w:cs="Arial" w:eastAsia="Arial" w:hAnsi="Arial"/>
          <w:sz w:val="18"/>
          <w:szCs w:val="18"/>
          <w:color w:val="auto"/>
        </w:rPr>
        <w:t>only one type of base edit at the desired target location.</w:t>
      </w:r>
    </w:p>
    <w:p>
      <w:pPr>
        <w:spacing w:after="0" w:line="161" w:lineRule="exact"/>
        <w:rPr>
          <w:rFonts w:ascii="Arial" w:cs="Arial" w:eastAsia="Arial" w:hAnsi="Arial"/>
          <w:sz w:val="18"/>
          <w:szCs w:val="18"/>
          <w:color w:val="auto"/>
        </w:rPr>
      </w:pPr>
    </w:p>
    <w:p>
      <w:pPr>
        <w:jc w:val="both"/>
        <w:ind w:left="740" w:right="60" w:hanging="368"/>
        <w:spacing w:after="0" w:line="314"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Highly efficient levels of gene correction. </w:t>
      </w:r>
      <w:r>
        <w:rPr>
          <w:rFonts w:ascii="Arial" w:cs="Arial" w:eastAsia="Arial" w:hAnsi="Arial"/>
          <w:sz w:val="16"/>
          <w:szCs w:val="16"/>
          <w:color w:val="auto"/>
        </w:rPr>
        <w:t>In contrast to HDR, the efficiency and precision of base editing allows therapeutically relevant levels</w:t>
      </w:r>
      <w:r>
        <w:rPr>
          <w:rFonts w:ascii="Arial" w:cs="Arial" w:eastAsia="Arial" w:hAnsi="Arial"/>
          <w:sz w:val="16"/>
          <w:szCs w:val="16"/>
          <w:b w:val="1"/>
          <w:bCs w:val="1"/>
          <w:color w:val="auto"/>
        </w:rPr>
        <w:t xml:space="preserve"> </w:t>
      </w:r>
      <w:r>
        <w:rPr>
          <w:rFonts w:ascii="Arial" w:cs="Arial" w:eastAsia="Arial" w:hAnsi="Arial"/>
          <w:sz w:val="16"/>
          <w:szCs w:val="16"/>
          <w:color w:val="auto"/>
        </w:rPr>
        <w:t>of editing at targeted locations, which are unachievable by HDR methods in most cell types. For our most advanced programs, these levels range from 50%-90% editing of the target base, whereas HDR-based methods have typically shown less than 10% editing of the target base.</w:t>
      </w:r>
    </w:p>
    <w:p>
      <w:pPr>
        <w:spacing w:after="0" w:line="141" w:lineRule="exact"/>
        <w:rPr>
          <w:rFonts w:ascii="Arial" w:cs="Arial" w:eastAsia="Arial" w:hAnsi="Arial"/>
          <w:sz w:val="16"/>
          <w:szCs w:val="16"/>
          <w:color w:val="auto"/>
        </w:rPr>
      </w:pPr>
    </w:p>
    <w:p>
      <w:pPr>
        <w:ind w:left="740" w:right="340" w:hanging="368"/>
        <w:spacing w:after="0" w:line="28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 therapeutic application. </w:t>
      </w:r>
      <w:r>
        <w:rPr>
          <w:rFonts w:ascii="Arial" w:cs="Arial" w:eastAsia="Arial" w:hAnsi="Arial"/>
          <w:sz w:val="18"/>
          <w:szCs w:val="18"/>
          <w:color w:val="auto"/>
        </w:rPr>
        <w:t>Base editing enables a wide variety of editing strategies, including gene correction, gene modification, gene</w:t>
      </w:r>
      <w:r>
        <w:rPr>
          <w:rFonts w:ascii="Arial" w:cs="Arial" w:eastAsia="Arial" w:hAnsi="Arial"/>
          <w:sz w:val="18"/>
          <w:szCs w:val="18"/>
          <w:b w:val="1"/>
          <w:bCs w:val="1"/>
          <w:color w:val="auto"/>
        </w:rPr>
        <w:t xml:space="preserve"> </w:t>
      </w:r>
      <w:r>
        <w:rPr>
          <w:rFonts w:ascii="Arial" w:cs="Arial" w:eastAsia="Arial" w:hAnsi="Arial"/>
          <w:sz w:val="18"/>
          <w:szCs w:val="18"/>
          <w:color w:val="auto"/>
        </w:rPr>
        <w:t>silencing/gene activation, and multiplex editing, with therapeutic potential in many areas.</w:t>
      </w:r>
    </w:p>
    <w:p>
      <w:pPr>
        <w:spacing w:after="0" w:line="161" w:lineRule="exact"/>
        <w:rPr>
          <w:rFonts w:ascii="Arial" w:cs="Arial" w:eastAsia="Arial" w:hAnsi="Arial"/>
          <w:sz w:val="18"/>
          <w:szCs w:val="18"/>
          <w:color w:val="auto"/>
        </w:rPr>
      </w:pPr>
    </w:p>
    <w:p>
      <w:pPr>
        <w:ind w:left="740" w:right="260" w:hanging="368"/>
        <w:spacing w:after="0" w:line="28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Activity in both dividing and non-dividing cells. </w:t>
      </w:r>
      <w:r>
        <w:rPr>
          <w:rFonts w:ascii="Arial" w:cs="Arial" w:eastAsia="Arial" w:hAnsi="Arial"/>
          <w:sz w:val="18"/>
          <w:szCs w:val="18"/>
          <w:color w:val="auto"/>
        </w:rPr>
        <w:t>Precise gene correction with base editing is not reliant on HDR, which is only expressed in</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cells. As a result, base editing can be effective in both dividing and non-dividing cells.</w:t>
      </w:r>
    </w:p>
    <w:p>
      <w:pPr>
        <w:spacing w:after="0" w:line="161" w:lineRule="exact"/>
        <w:rPr>
          <w:rFonts w:ascii="Arial" w:cs="Arial" w:eastAsia="Arial" w:hAnsi="Arial"/>
          <w:sz w:val="18"/>
          <w:szCs w:val="18"/>
          <w:color w:val="auto"/>
        </w:rPr>
      </w:pPr>
    </w:p>
    <w:p>
      <w:pPr>
        <w:ind w:left="740" w:right="300" w:hanging="368"/>
        <w:spacing w:after="0" w:line="312"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No requirement for a DNA template. </w:t>
      </w:r>
      <w:r>
        <w:rPr>
          <w:rFonts w:ascii="Arial" w:cs="Arial" w:eastAsia="Arial" w:hAnsi="Arial"/>
          <w:sz w:val="17"/>
          <w:szCs w:val="17"/>
          <w:color w:val="auto"/>
        </w:rPr>
        <w:t>Because base editing corrects DNA directly, there is no requirement for delivering an additional DNA</w:t>
      </w:r>
      <w:r>
        <w:rPr>
          <w:rFonts w:ascii="Arial" w:cs="Arial" w:eastAsia="Arial" w:hAnsi="Arial"/>
          <w:sz w:val="17"/>
          <w:szCs w:val="17"/>
          <w:b w:val="1"/>
          <w:bCs w:val="1"/>
          <w:color w:val="auto"/>
        </w:rPr>
        <w:t xml:space="preserve"> </w:t>
      </w:r>
      <w:r>
        <w:rPr>
          <w:rFonts w:ascii="Arial" w:cs="Arial" w:eastAsia="Arial" w:hAnsi="Arial"/>
          <w:sz w:val="17"/>
          <w:szCs w:val="17"/>
          <w:color w:val="auto"/>
        </w:rPr>
        <w:t>template with the correct sequence, as is the case in HDR-based methods, which we believe may simplify delivery.</w:t>
      </w:r>
    </w:p>
    <w:p>
      <w:pPr>
        <w:spacing w:after="0" w:line="139" w:lineRule="exact"/>
        <w:rPr>
          <w:rFonts w:ascii="Arial" w:cs="Arial" w:eastAsia="Arial" w:hAnsi="Arial"/>
          <w:sz w:val="17"/>
          <w:szCs w:val="17"/>
          <w:color w:val="auto"/>
        </w:rPr>
      </w:pPr>
    </w:p>
    <w:p>
      <w:pPr>
        <w:ind w:left="740" w:right="260" w:hanging="368"/>
        <w:spacing w:after="0" w:line="261"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Avoidance of unwanted DNA modifications associated with double-stranded breaks. </w:t>
      </w:r>
      <w:r>
        <w:rPr>
          <w:rFonts w:ascii="Arial" w:cs="Arial" w:eastAsia="Arial" w:hAnsi="Arial"/>
          <w:sz w:val="18"/>
          <w:szCs w:val="18"/>
          <w:color w:val="auto"/>
        </w:rPr>
        <w:t>Base editors do not create double-stranded breaks in</w:t>
      </w:r>
      <w:r>
        <w:rPr>
          <w:rFonts w:ascii="Arial" w:cs="Arial" w:eastAsia="Arial" w:hAnsi="Arial"/>
          <w:sz w:val="18"/>
          <w:szCs w:val="18"/>
          <w:b w:val="1"/>
          <w:bCs w:val="1"/>
          <w:color w:val="auto"/>
        </w:rPr>
        <w:t xml:space="preserve"> </w:t>
      </w:r>
      <w:r>
        <w:rPr>
          <w:rFonts w:ascii="Arial" w:cs="Arial" w:eastAsia="Arial" w:hAnsi="Arial"/>
          <w:sz w:val="18"/>
          <w:szCs w:val="18"/>
          <w:color w:val="auto"/>
        </w:rPr>
        <w:t>DNA, thereby avoiding many of the concerns associated with double-stranded breaks, including unwanted gene disruptions, translocations, or deletions. With base editing, we are also able to make multiple simultaneous edits, called multiplexing, without any detectable chromosomal rearrangements.</w:t>
      </w:r>
    </w:p>
    <w:p>
      <w:pPr>
        <w:spacing w:after="0" w:line="179" w:lineRule="exact"/>
        <w:rPr>
          <w:rFonts w:ascii="Arial" w:cs="Arial" w:eastAsia="Arial" w:hAnsi="Arial"/>
          <w:sz w:val="18"/>
          <w:szCs w:val="18"/>
          <w:color w:val="auto"/>
        </w:rPr>
      </w:pPr>
    </w:p>
    <w:p>
      <w:pPr>
        <w:ind w:left="740" w:right="200" w:hanging="368"/>
        <w:spacing w:after="0" w:line="261"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Permanent editing of genes. </w:t>
      </w:r>
      <w:r>
        <w:rPr>
          <w:rFonts w:ascii="Arial" w:cs="Arial" w:eastAsia="Arial" w:hAnsi="Arial"/>
          <w:sz w:val="18"/>
          <w:szCs w:val="18"/>
          <w:color w:val="auto"/>
        </w:rPr>
        <w:t>Base editing is permanent once the edit is made, creating the potential for a life-long therapeutic outcome.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durability of base editing extends to tissues with high cell turnover, as occurs in young children, since the edit will be passed on as cells divide. Furthermore, because the edits persist after the editor is gone, the expression of the base editor can be transient, thus significantly lowering delivery hurdles compared to gene therapies.</w:t>
      </w:r>
    </w:p>
    <w:p>
      <w:pPr>
        <w:spacing w:after="0" w:line="179" w:lineRule="exact"/>
        <w:rPr>
          <w:rFonts w:ascii="Arial" w:cs="Arial" w:eastAsia="Arial" w:hAnsi="Arial"/>
          <w:sz w:val="18"/>
          <w:szCs w:val="18"/>
          <w:color w:val="auto"/>
        </w:rPr>
      </w:pPr>
    </w:p>
    <w:p>
      <w:pPr>
        <w:ind w:left="740" w:right="140" w:hanging="368"/>
        <w:spacing w:after="0" w:line="28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Preservation of natural regulation. </w:t>
      </w:r>
      <w:r>
        <w:rPr>
          <w:rFonts w:ascii="Arial" w:cs="Arial" w:eastAsia="Arial" w:hAnsi="Arial"/>
          <w:sz w:val="18"/>
          <w:szCs w:val="18"/>
          <w:color w:val="auto"/>
        </w:rPr>
        <w:t>Base editing modifies genes in their native genomic setting, allowing the modified gene to benefit from its</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regulatory circuitry and ensuring a normal number of copies of the gene are present in the cell.</w:t>
      </w:r>
    </w:p>
    <w:p>
      <w:pPr>
        <w:spacing w:after="0" w:line="161" w:lineRule="exact"/>
        <w:rPr>
          <w:rFonts w:ascii="Arial" w:cs="Arial" w:eastAsia="Arial" w:hAnsi="Arial"/>
          <w:sz w:val="18"/>
          <w:szCs w:val="18"/>
          <w:color w:val="auto"/>
        </w:rPr>
      </w:pPr>
    </w:p>
    <w:p>
      <w:pPr>
        <w:ind w:left="740" w:hanging="368"/>
        <w:spacing w:after="0" w:line="26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Versatile and modular product engine. </w:t>
      </w:r>
      <w:r>
        <w:rPr>
          <w:rFonts w:ascii="Arial" w:cs="Arial" w:eastAsia="Arial" w:hAnsi="Arial"/>
          <w:sz w:val="18"/>
          <w:szCs w:val="18"/>
          <w:color w:val="auto"/>
        </w:rPr>
        <w:t>The same base editor can be repurposed to target different gene sequences by merely replacing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guide RNA, creating significant leverage from our initial platform investments and with the potential to drive high levels of efficiency throughout the drug discovery, development, and manufacturing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base editing platform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novel DNA base editors have two principal components that are fused together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 This proprietary combination enables the precise and targeted editing of a single base pair of DNA, which has not been previously possible.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ind w:right="220"/>
        <w:spacing w:after="0" w:line="311" w:lineRule="auto"/>
        <w:rPr>
          <w:sz w:val="20"/>
          <w:szCs w:val="20"/>
          <w:color w:val="auto"/>
        </w:rPr>
      </w:pPr>
      <w:r>
        <w:rPr>
          <w:rFonts w:ascii="Arial" w:cs="Arial" w:eastAsia="Arial" w:hAnsi="Arial"/>
          <w:sz w:val="16"/>
          <w:szCs w:val="16"/>
          <w:color w:val="auto"/>
        </w:rPr>
        <w:t>CRISPR proteins enable precise targeting of genomic DNA sequences. They have been adapted and engineered over the years to target specific genomic locations with high specificity in human cells. CRISPR proteins incorporate a programmable component called a guide RNA. The guide RNA includes a region of approximately 20 bases, which allows the CRISPR protein to recognize any DNA sequence that is complementary to the guide RNA.</w:t>
      </w:r>
    </w:p>
    <w:p>
      <w:pPr>
        <w:spacing w:after="0" w:line="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complementary sequence on DNA, also approximately 20 bases, is known as a protospacer. The short sequence of about three bases immediately following the protospacer on the genomic DNA is referred to as the protospacer adjacent motif, or PAM. The presence of the PAM is necessary for RNA-DNA pairing to occur when a matching protospacer sequence is present.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figure below is a graphical representation of the base editor and its components, including the guide RNA with the single-stranded portion that is complementary to the protospacer in the genomic 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48895</wp:posOffset>
            </wp:positionV>
            <wp:extent cx="3737610" cy="2820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761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In our base editors, the first component is the CRISPR protein. We are currently using a Cas9 protein for our DNA base editors. We also have ongoing efforts to create base editors with other Cas proteins, including Cas12b. The targeting ability of the CRISPR protein has been preserved, but the cutting ability has been modified such that the CRISPR protein does not make a double-stranded break in the DNA. Our base editors benefit from an additional feature of the CRISPR protein, which, upon binding to its double-stranded DNA target, opens a four to five base single-stranded segment, known as the editing window.</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second component of our base editors is a deaminase, a class of naturally occurring enzymes. For our </w:t>
      </w:r>
      <w:r>
        <w:rPr>
          <w:rFonts w:ascii="Arial" w:cs="Arial" w:eastAsia="Arial" w:hAnsi="Arial"/>
          <w:sz w:val="18"/>
          <w:szCs w:val="18"/>
          <w:u w:val="single" w:color="auto"/>
          <w:color w:val="auto"/>
        </w:rPr>
        <w:t>C</w:t>
      </w:r>
      <w:r>
        <w:rPr>
          <w:rFonts w:ascii="Arial" w:cs="Arial" w:eastAsia="Arial" w:hAnsi="Arial"/>
          <w:sz w:val="18"/>
          <w:szCs w:val="18"/>
          <w:color w:val="auto"/>
        </w:rPr>
        <w:t xml:space="preserve">ytosine </w:t>
      </w:r>
      <w:r>
        <w:rPr>
          <w:rFonts w:ascii="Arial" w:cs="Arial" w:eastAsia="Arial" w:hAnsi="Arial"/>
          <w:sz w:val="18"/>
          <w:szCs w:val="18"/>
          <w:u w:val="single" w:color="auto"/>
          <w:color w:val="auto"/>
        </w:rPr>
        <w:t>B</w:t>
      </w:r>
      <w:r>
        <w:rPr>
          <w:rFonts w:ascii="Arial" w:cs="Arial" w:eastAsia="Arial" w:hAnsi="Arial"/>
          <w:sz w:val="18"/>
          <w:szCs w:val="18"/>
          <w:color w:val="auto"/>
        </w:rPr>
        <w:t xml:space="preserve">ase </w:t>
      </w:r>
      <w:r>
        <w:rPr>
          <w:rFonts w:ascii="Arial" w:cs="Arial" w:eastAsia="Arial" w:hAnsi="Arial"/>
          <w:sz w:val="18"/>
          <w:szCs w:val="18"/>
          <w:u w:val="single" w:color="auto"/>
          <w:color w:val="auto"/>
        </w:rPr>
        <w:t>E</w:t>
      </w:r>
      <w:r>
        <w:rPr>
          <w:rFonts w:ascii="Arial" w:cs="Arial" w:eastAsia="Arial" w:hAnsi="Arial"/>
          <w:sz w:val="18"/>
          <w:szCs w:val="18"/>
          <w:color w:val="auto"/>
        </w:rPr>
        <w:t xml:space="preserve">ditors, referred to as “CBEs,” we use a deaminase that acts only on single-stranded DNA. This helps to minimize edits in other parts of the genome, where DNA is predominantly double-stranded. Similarly, for our </w:t>
      </w:r>
      <w:r>
        <w:rPr>
          <w:rFonts w:ascii="Arial" w:cs="Arial" w:eastAsia="Arial" w:hAnsi="Arial"/>
          <w:sz w:val="18"/>
          <w:szCs w:val="18"/>
          <w:u w:val="single" w:color="auto"/>
          <w:color w:val="auto"/>
        </w:rPr>
        <w:t>A</w:t>
      </w:r>
      <w:r>
        <w:rPr>
          <w:rFonts w:ascii="Arial" w:cs="Arial" w:eastAsia="Arial" w:hAnsi="Arial"/>
          <w:sz w:val="18"/>
          <w:szCs w:val="18"/>
          <w:color w:val="auto"/>
        </w:rPr>
        <w:t xml:space="preserve">denine </w:t>
      </w:r>
      <w:r>
        <w:rPr>
          <w:rFonts w:ascii="Arial" w:cs="Arial" w:eastAsia="Arial" w:hAnsi="Arial"/>
          <w:sz w:val="18"/>
          <w:szCs w:val="18"/>
          <w:u w:val="single" w:color="auto"/>
          <w:color w:val="auto"/>
        </w:rPr>
        <w:t>B</w:t>
      </w:r>
      <w:r>
        <w:rPr>
          <w:rFonts w:ascii="Arial" w:cs="Arial" w:eastAsia="Arial" w:hAnsi="Arial"/>
          <w:sz w:val="18"/>
          <w:szCs w:val="18"/>
          <w:color w:val="auto"/>
        </w:rPr>
        <w:t xml:space="preserve">ase </w:t>
      </w:r>
      <w:r>
        <w:rPr>
          <w:rFonts w:ascii="Arial" w:cs="Arial" w:eastAsia="Arial" w:hAnsi="Arial"/>
          <w:sz w:val="18"/>
          <w:szCs w:val="18"/>
          <w:u w:val="single" w:color="auto"/>
          <w:color w:val="auto"/>
        </w:rPr>
        <w:t>E</w:t>
      </w:r>
      <w:r>
        <w:rPr>
          <w:rFonts w:ascii="Arial" w:cs="Arial" w:eastAsia="Arial" w:hAnsi="Arial"/>
          <w:sz w:val="18"/>
          <w:szCs w:val="18"/>
          <w:color w:val="auto"/>
        </w:rPr>
        <w:t>ditors, referred to as “ABEs,” we use a different, engineered deaminase that also acts only on single-stranded DNA.</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deaminase makes a predictable chemical modification, called deamination, of the amine group on either adenine or cytosine. As shown in the figure below, the conversion of an amine group of A results in the formation of inosine, which is read by the DNA polymerase as a G, which subsequently leads to an A-to-G change. The deaminase in a CBE will convert an amine group of C, resulting in the formation of uracil, which is read by the DNA polymerase as a T, which subsequently leads to a C-to-T change.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294640</wp:posOffset>
            </wp:positionV>
            <wp:extent cx="5177790" cy="1929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1777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shown in the figure below, the two components of our base editors, the CRISPR protein and the deaminase, are fused together to form a single protein. When introduced into a cell, the CRISPR targets the desired genomic location by recognizing a complementary section on the DNA to the section encoded in the guide RNA. The deaminase then makes the desired edit to a target base in the editing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57150</wp:posOffset>
            </wp:positionV>
            <wp:extent cx="5134610" cy="2280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346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example shown, a C is edited to a U on one strand of the DNA, which is read as a T. Once this strand has been edited, the intermediate DNA consists of an edited strand, containing a U at the target locus, and an unedited strand with a G. The U:G is a mismatch, which the cell will normally attempt to repair in a process that can potentially lose the edit. In order to preserve the editing, we modify the CRISPR in our base editors to cleave the unedited single strand of the DNA, referred to as nicking, rather than creating double-stranded breaks. Nicking increases the efficiency of editing by inducing the cell to use the newly edited strand, and not the unedited strand, as the template for repair, resulting in a U:A pair without any translocations. Upon DNA repair or replication, the U is read as a T, resulting in a T:A pair. Therefore, the permanent conversion of a C:G base pair to a T:A base pair is completed.</w:t>
      </w:r>
    </w:p>
    <w:p>
      <w:pPr>
        <w:spacing w:after="0" w:line="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Analogously, when an ABE is used instead of a CBE, an A:T pair is converted to a G:C pair. Because the DNA is double-stranded, by targeting the non-coding strand, we can also convert a T:A pair to a C:G and a G:C pair to a A:T pair in the coding strand. For example, using ABE to install an A-to-G edit on the non-coding strand of the DNA will cause a T-to-C change in the coding sequence of the gene once the base pair has been fully modified.</w:t>
      </w:r>
    </w:p>
    <w:p>
      <w:pPr>
        <w:spacing w:after="0" w:line="4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modular and individual components of our base editors can be rapidly customized for specific diseases, creating new therapeutic programs with significant efficiencies in development. By changing the guide RNA portions of the CRISPR protein, we can quickly and precisely retarget base editors to different genomic locations based on their gene sequences. By changing the deaminase, we can control which base is edited (e.g., C or A). As a result, we believe our base editing platform is highly versatile, efficient, and scalable for discovery of drug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Diverse therapeutic applications of base editing</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the unique advantages of our base editing platform – single base editing precision, predictable editing outcome, high editing efficiency, and the avoidance of double-stranded breaks – make base editing a compelling approach for a wide range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therapeutic applications. This includes gene correction, gene modification, gene silencing and gene activation, as well as multiplex editing of several genes simultaneously.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Correction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Errors of a single base, known as point mutations, are the most common form of genetic mutations, representing approximately 58% of all the known genetic errors associated with disease, as shown in the figure below. For example, sickle cell disease is caused by a single point mutation at position 6 in the adult hemoglobin gene, while alpha-1 antitrypsin deficiency is caused by a single point mutation at position 342 in the SERPINA1 gene.</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base editors may be an ideal tool for repairing point mutations. Also shown in the figure below, our base editors are capable of correcting approximately 61% of the known point mutations that cause human disease. Our ABEs can address approximately 47% of point mutations, while our CBEs can address approximately 14%, making these editors potentially powerful tools for the treatment of a wide range of diseases. These changes (A to G, G to A, C to T, or T to C) are known as transition mutations. To address the remaining point mutations within the genome, we have an active research effort to develop editors that can make different chemical modifications, such as changing C to G or A to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198120</wp:posOffset>
            </wp:positionV>
            <wp:extent cx="5194935" cy="270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493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Modification</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to repairing point mutations, base editors are also capable of making other kinds of precise modifications to genes that could be used to treat disease. Natural genetic variations of a single base among human populations, revealed by population-level genomic studies, are now known to protect against or modify risk for a disease. For example, the risk of Alzheimer’s disease is significantly higher in patients with the apolipoprotein E4 genotype (APOE4), reflecting a variation of just one base in the apolipoprotein gene (APP), whereas it is significantly lower in patients with the “Icelandic” variant of the amylolid precursor protein gene, reflecting a single base change variant (A673T). Several genes, including proprotein convertase subtilisin/kexin type 9 (PCSK9), have also been associated with an increased risk of coronary artery diseases. Therefore, base editors could also potentially prevent or modify risk of disease by making these kinds of precise single-base modifications to genes, informed by human clinical genetics.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Gene Silencing or Activation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Upregulation or downregulation, including silencing and activation, of gene expression is a desirable therapeutic approach to cure many diseases. The high level of precision of base editors is ideally suited to alter regulatory regions of genes, ensuring that only a few bases at precise locations are altered to achieve the desired effect without causing broader disruptions to adjacent regions that may still have important regulatory functions. For example, we have demonstrated re-activation of expression of fetal hemoglobin by precisely changing the regulatory region of the relevant genes to which one or more repressor proteins can bind, including B-cell lymphoma/leukemia 11A, or BCL11A. Both our C and A base editors can also be used to silence the expression of genes, with editing rates that are highly comparable to those achieved with nuclease-based editors but without requiring a double-stranded break. Gene silencing, such as targeting surface proteins in a CAR-T cell, can be achieved either by the conversion of certain short gene sequences, called codons, into STOP codons or by the disruption of splice donor-acceptor sites, in each case with a single base conversion,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45720</wp:posOffset>
            </wp:positionV>
            <wp:extent cx="4277360" cy="171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Multiplex base editing</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they avoid creating double-stranded breaks, base editors are particularly advantageous for situations in which multiple sequences in the genome must be simultaneously targeted. This could include targeting duplicated or repetitive sequences in the genome, as is the case with the identical regulatory regions of the two neighboring genes for fetal hemoglobin, or targeting several genes at once, such as in the creation of advanced cell therapies like CAR-T cells with a combination of features that could dramatically enhance their therapeutic potential.</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simultaneous creation of multiple double-stranded breaks by nucleases can cause unwanted large-scale genomic rearrangements, such as translocations and deletions. These genomic rearrangements occur more frequently as the number of double-stranded breaks increases. Conversely, base editors do not create double-stranded breaks, and we have demonstrated in cell lines that they can edit multiple locations simultaneously without causing any detectable chromosomal rearrangements.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there are manufacturing benefits as cells that have three or more nuclease edits appear to have a significant growth deficit compared to cells that have been edited the same number of times with a base editor.</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our base editors can provide a significant and meaningful advancement in therapies where more complex genome editing is required, such as targeting multiple sequences across the genome or creating highly engineered cellular therapies.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portfolio of precision gene editing technologies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Building on the expertise of our academic founders and our innovative research culture, we plan to explore new and complementary technologies in base editing, gene editing, and genetic medicine over the long term to advance a broad portfolio across multiple delivery pipelines. As part of this strategy, we have licensed a portfolio of three additional complementary technologies – RNA base editing, Cas12b nuclease editing, and prime editing. Combined with base editing, we have assembled a broad and versatile portfolio of next generation gene editing technologies for the treatment of severe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40005</wp:posOffset>
            </wp:positionV>
            <wp:extent cx="5263515" cy="237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351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license agreement with the Broad Institute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 This enables us to change protein expression, potentially correcting or altering the function of the resulting protein and correcting disease. Our RNA base editing technologies include the REPAIR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for A-to-I editing, as well as the RESCUE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for C-to-U editing. When delivered through a long-lasting viral vector, RNA base editing may provide a complementary approach to DNA base editing for permanent correction of gene expression. Additionally, RNA editing could potentially be beneficial in situations where a transient change is desirable, such as in regenerative medicine.</w:t>
      </w:r>
    </w:p>
    <w:p>
      <w:pPr>
        <w:spacing w:after="0" w:line="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Broad Institute license also gives us access to the Cas12b nuclease family, which provides several potential strategic advantages for our portfolio. First, the distinct PAM sequence and conformation of Cas12b allows us to create DNA base editors that can bind to different target sites in the genome, further expanding the range of sites that we can edit. Second, having a nuclease allows us to make “cut” edits, which may be appropriate for some applications that require a double stranded break, or to use the general gene targeting ability of Cas12b for other genome editing applications.</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have a license to technology referred to as “prime editing,” that is controlled by Prime Medicine, Inc. Prime editing may be able to achieve the “rewriting” of short sequences of DNA at a target location. Prime editing utilizes a CRISPR protein to target a mutation site in DNA (blue) and to nick a single strand of the target DNA. The guide RNA (green) allows the CRISPR protein to recognize a DNA sequence that is complementary to the guide RNA and also carries a primer for reverse transcription and a replacement template. The reverse transcriptase copies the template sequence in the nicked site, installing the edit (red). As with base editing, prime editing does not cause double-stranded breaks in the target DNA, resulting in lower indel rates than gene editing technologies that rely on double stranded breaks.</w:t>
      </w:r>
    </w:p>
    <w:p>
      <w:pPr>
        <w:spacing w:after="0" w:line="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Beam has the exclusive right to develop prime editing technology for the creation or correction of any single base transition mutations, as well as for the treatment of sickle cell disease. Transition mutations (i.e., A to G, G to A, C to T, or T to C) are the largest single class of disease-associated genetic mutations and include all of Beam’s current targets for base editing programs.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Leveraging our deep scientific expertise and significant ongoing investment in our platform, we also expect to develop insights into other innovative gene editing and delivery modalities. We believe that our delivery, manufacturing, and development capabilities could position us to effectively evaluate and rapidly develop such novel technologies and further extend our leadership in the field of genetic medicine.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base editing portfolio</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a diversified portfolio across multiple delivery pipelines will maximize our ability to provide life-long therapies to patients over the broadest range of diseases possible. We are currently advancing a portfolio of 12 base editing programs, with each program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both"/>
        <w:ind w:right="80"/>
        <w:spacing w:after="0" w:line="286" w:lineRule="auto"/>
        <w:rPr>
          <w:sz w:val="20"/>
          <w:szCs w:val="20"/>
          <w:color w:val="auto"/>
        </w:rPr>
      </w:pPr>
      <w:r>
        <w:rPr>
          <w:rFonts w:ascii="Arial" w:cs="Arial" w:eastAsia="Arial" w:hAnsi="Arial"/>
          <w:sz w:val="17"/>
          <w:szCs w:val="17"/>
          <w:color w:val="auto"/>
        </w:rPr>
        <w:t>progressing along a clearly defined research and development path. We are also evaluating numerous targets that are in earlier stages of research. We plan to advance multiple programs through clinical development in parallel, with each one potentially capable of delivering proof-of-concept in Phase 1 clinical studies in genetically defined patient populations and potentially reaching approval on an accelerated pathway.</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portfolio is purposefully built around a mix of strategic and technical profiles, creating significant optionality and risk diversification. We prioritize and advance programs based on a number of criteria, including high unmet medical need, editing feasibility, clinically validated delivery modalities, favorable clinical and regulatory development pathways, and evidence that base editing offers potentially compelling advantages for patients over available standards-of-care and novel therapeutic modalities in development.</w:t>
      </w:r>
    </w:p>
    <w:p>
      <w:pPr>
        <w:spacing w:after="0" w:line="79"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Our programs are organized by delivery modality into three distinct pipelines: electroporation for hematology and oncology cell therapy, LNP for the liver, and AAV for the eye and CNS. We have achieved proof-of-concept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with long-term engraftment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base edited human CD34 cells in mice for our HPFH program, and we have demonstrated base editing of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at therapeutically relevant levels for the majority of our remaining programs.</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 xml:space="preserve">We have also successfully demonstrated feasibility of base editing with each of our three delivery modalities in relevant cell types for electroporation and AAV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mice for LNP.</w:t>
      </w:r>
    </w:p>
    <w:p>
      <w:pPr>
        <w:spacing w:after="0" w:line="7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We expect to achieve additional preclinical proofs-of-concept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additional programs in 2020, which could include engraftment results for the Makassar precise correction sickle cell program, xenograft models for our CAR-T programs 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based editing in our programs using LNP or AAV delivery. If successful, and provided the COVID-19 pandemic does not cause our timelines to slip materially, this will allow us to initiate IND-enabling studies for multiple programs beginning in 2020. We expect to file an initial wave of IND filings beginning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177790" cy="2434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779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modularity of our platform means that establishing preclinical proof-of-concept of base editing using a particular delivery modality will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 as illustrated in the figure below.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77790" cy="2005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1777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Translating base editors into product candidates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optimizing specificity and establishing manufacturing capabilities as well as delivery modalities needed to translate these base editors into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Specificity in base editing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Characterizing and optimizing the off-target profile of any editing program is a critical need in gene editing. The combination of our experienced scientific team and depth of our platform capabilities, along with our founders’ contributions, has allowed us to establish a comprehensive approach to potentially characterize and address off-target editing liabilities of base editing. For example, we have developed and in-licensed sophisticated tools to assess possible off-target base editing, and we continue to make improvements to our base editors in order to increase their specificity. Collectively, these advancements are designed to support our planned IND filings.</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comprehensive approach to addressing potential off-target effects is supported by proven industry-standard assays to predict and detect off-target editing, with some tailored specifically for base editing. Each base editor and guide RNA construct undergo extensive evaluation to characterize its on-versus off-target editing profile. Guide RNAs that have minimal binding to off-target sites would be chosen for each program, as confirmed through computational and experimental assays. We then assess the potential for the base editor to edit DNA or RNA independently of CRISPR binding, as shown in recent publications. Importantly, our deaminases only edit single-stranded DNA, ensuring that double-stranded DNA outside the editing window remain unedited. Additional proprietary insights, including further optimization of the deaminase domain, are used to potentially minimize residual risk of off-target DNA editing, or transient editing of RNA strands, by the base editor.</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Furthermore, in some editing windows, there are more than one C or A base which can be edited, potentially resulting in the modification of an additional base, called a “bystander edit,” to the targeted base. For example, a particular editing window may have two A bases, one of which is the intended target. Importantly, potential bystander edits are highly predictable based on analysis of the target gene sequence. As a result, a bystander assessment is a routine part of our early discovery process. When it occurs, bystander editing is often inconsequential, either because of the application (such as when silencing gene function by introducing premature stop codons) or because the genetic code dictates that many codon changes, including almost all third-position transitions (i.e. A-to-G or C-to-T), do not change the amino acid. Infrequently, a bystander edit may lead to an unwanted amino acid change at the target site which could counteract our effort to correct the gene sequence and restore function. In such cases, we employ multiple strategies intended to ensure that any consequence of the bystander edit is mitigated or eliminated. This may include the use of alternative editors that can bind at slightly different positions on the DNA, thus moving the editing window so that the on-target edit is retained while the bystander edit is avoided. In other cases, the bystander edit may be acceptable since the amino acid change leads to a protein with features that are indistinguishable from those of the wild type protein, as determined by biochemical assays or as validated by existing human polymorphisms. Finally, in rare cases where a base editor for a given target site creates a bystander edit which cannot be avoided and leads to a non-functional protein, such a target would no longer be pursued.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base editor product candidates</w:t>
      </w:r>
    </w:p>
    <w:p>
      <w:pPr>
        <w:spacing w:after="0" w:line="11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Many of the general principles and processes used to synthesize, formulate and deliver base editors are similar to those already in development for nuclease-based gene editing technologies. Because of this, we are able to leverage the advances already made in the field of genetic medicine manufacturing.</w:t>
      </w:r>
    </w:p>
    <w:p>
      <w:pPr>
        <w:spacing w:after="0" w:line="7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internal process development team is highly experienced across all of our delivery modalities. We have already begun process development initiatives for our most advanced programs, and we intend to transfer optimized protocols to selected contract manufacturing organizations, or CMOs.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ind w:right="80"/>
        <w:spacing w:after="0" w:line="263" w:lineRule="auto"/>
        <w:rPr>
          <w:sz w:val="20"/>
          <w:szCs w:val="20"/>
          <w:color w:val="auto"/>
        </w:rPr>
      </w:pPr>
      <w:r>
        <w:rPr>
          <w:rFonts w:ascii="Arial" w:cs="Arial" w:eastAsia="Arial" w:hAnsi="Arial"/>
          <w:sz w:val="18"/>
          <w:szCs w:val="18"/>
          <w:color w:val="auto"/>
        </w:rPr>
        <w:t>For our initial waves of clinical programs, we intend to use CMOs with relevant manufacturing experience in genetic medicines. We have partnered with a CMO that has long-standing experience in manufacturing guide RNAs under GMP standards. We have also identified CMOs for the manufacturing of all other components of the product candidates we may develop.</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Over the longer term, due to the importance of high-quality manufacturing and control of production, we may establish our own manufacturing facility. Given our investment in electroporation, viral and non-viral delivery approaches, we anticipate using a facility with the flexibility to manufacture different drug product modalities.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base editors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delivery strategy is to establish a comprehensive suite of clinically validated technologies in parallel. We believe no single technology has been able to deliver medicines to different target organs with equal efficacy. As a result, for a given tissue type, we use the delivery modality with the most compelling biodistribution. We plan to use electroporation for efficient delivery to blood cells and immune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LNP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delivery to the liver and potentially other organs in the future, and AAV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delivery to the eye and CNS. This strategy utilizes the work of others in the field who have clinically validated each of these approaches for other nucleic acid payloads. This strategy also allows us to benefit from many years of preclinical and clinical industry knowledge, which we intend to capitalize on to rapidly advance our portfolio towards clinical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 Vivo Delivery via Electroporation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Electroporation is a clinically validated technology for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of various therapeutic constructs into harvested cells, which are then reintroduced into the body. Electroporation introduces nucleic acid or proteins into cells by discharging an electrical pulse across a cell membrane. With electroporation, we introduce the base editor into the cells as a messenger RNA, or mRNA, encoding the editor, or as a purified protein along with the guide RNA for a given target. When using electroporation for delivery of base editors in hematology, the patient first undergoes a standard myeloablation procedure, which is also used in allogeneic hematopoietic stem cell transplant therapy, to remove all endogenous bone marrow hematopoietic stem cells, or HSCs. The base editors are then introduced in the HSCs using electroporation, and the HSCs are re-infused back into the patient approximately one to two months after initial extraction of the patient’s HSCs. Once reinfused, the HSCs begin repopulating a portion of the bone marrow as permanently modified HSCs in a process known as engraftment. The engrafted HSCs give rise to progenitor cell types with the corrected gene sequences.</w:t>
      </w:r>
    </w:p>
    <w:p>
      <w:pPr>
        <w:spacing w:after="0" w:line="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Electroporation has been used extensively preclinically and, more recently, clinically for gene therapy and gene editing applications. The electroporator that we are initially using is referenced in a U.S. Food and Drug Administration, or FDA, Drug Master File and has been used in more than a dozen clinical trials. We are using this technology to advance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programs in several areas, including for the treatment of diseases in hematology and oncology.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have shown high levels of editing in CD34 cells after the editor was introduced via electroporation,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288925</wp:posOffset>
            </wp:positionV>
            <wp:extent cx="2254250" cy="1739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542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Non-Viral Delivery In Vivo with Lipid Nanoparticles</w:t>
      </w:r>
    </w:p>
    <w:p>
      <w:pPr>
        <w:spacing w:after="0" w:line="117" w:lineRule="exact"/>
        <w:rPr>
          <w:sz w:val="20"/>
          <w:szCs w:val="20"/>
          <w:color w:val="auto"/>
        </w:rPr>
      </w:pPr>
    </w:p>
    <w:p>
      <w:pPr>
        <w:ind w:right="760"/>
        <w:spacing w:after="0" w:line="291" w:lineRule="auto"/>
        <w:rPr>
          <w:sz w:val="20"/>
          <w:szCs w:val="20"/>
          <w:color w:val="auto"/>
        </w:rPr>
      </w:pPr>
      <w:r>
        <w:rPr>
          <w:rFonts w:ascii="Arial" w:cs="Arial" w:eastAsia="Arial" w:hAnsi="Arial"/>
          <w:sz w:val="16"/>
          <w:szCs w:val="16"/>
          <w:color w:val="auto"/>
        </w:rPr>
        <w:t xml:space="preserve">LNPs are a clinically validated technology for delivery of nucleic acid payloads to the liver. LNPs are multi-component particles that encapsulate therapeutic elements and protect them from degradation while in an external environment, enabling the transient delivery of the base editor </w:t>
      </w:r>
      <w:r>
        <w:rPr>
          <w:rFonts w:ascii="Arial" w:cs="Arial" w:eastAsia="Arial" w:hAnsi="Arial"/>
          <w:sz w:val="16"/>
          <w:szCs w:val="16"/>
          <w:i w:val="1"/>
          <w:iCs w:val="1"/>
          <w:color w:val="auto"/>
        </w:rPr>
        <w:t>in</w:t>
      </w:r>
    </w:p>
    <w:p>
      <w:pPr>
        <w:jc w:val="both"/>
        <w:spacing w:after="0" w:line="255" w:lineRule="auto"/>
        <w:rPr>
          <w:sz w:val="20"/>
          <w:szCs w:val="20"/>
          <w:color w:val="auto"/>
        </w:rPr>
      </w:pPr>
      <w:r>
        <w:rPr>
          <w:rFonts w:ascii="Arial" w:cs="Arial" w:eastAsia="Arial" w:hAnsi="Arial"/>
          <w:sz w:val="18"/>
          <w:szCs w:val="18"/>
          <w:i w:val="1"/>
          <w:iCs w:val="1"/>
          <w:color w:val="auto"/>
        </w:rPr>
        <w:t xml:space="preserve">vivo. </w:t>
      </w:r>
      <w:r>
        <w:rPr>
          <w:rFonts w:ascii="Arial" w:cs="Arial" w:eastAsia="Arial" w:hAnsi="Arial"/>
          <w:sz w:val="18"/>
          <w:szCs w:val="18"/>
          <w:color w:val="auto"/>
        </w:rPr>
        <w:t>Multiple third-party clinical trials have demonstrated the effective delivery of silencing RNA, or siRNAs, to the liver using LNPs. We have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proprietary LNP formulations and have shown effective base editing of a surrogate target in mice at low doses, an example of which is shown in the figure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1776730</wp:posOffset>
            </wp:positionH>
            <wp:positionV relativeFrom="page">
              <wp:posOffset>294640</wp:posOffset>
            </wp:positionV>
            <wp:extent cx="3994785" cy="2186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99478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Because only one dose of a base editing therapy may be needed in a course of treatment, LNPs are a suitable delivery modality that we believe is unlikely to face complications seen with chronic use of LNPs, such as when delivering oligonucleotides. All of the components of the LNP, as well as the mRNA encoding the base editor, are well-defined and can be made synthetically, providing the opportunity for scalable manufacturing.</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our LNP formulations will be important strategic assets that will facilitate the efficient development of subsequent product candidates in our non-viral delivery pipeline. We are currently using a variety of cationic lipids from various sources to advance our programs for genetic liver diseases. We intend to identify a lead LNP formulation that demonstrates biodistribution to hepatocytes in appropriate non-human primate models, which we would then plan to use in our clinical studies.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Viral Delivery In Vivo with Adeno-Associated Virus Vectors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AAV is a clinically validated technology that has been extensively used for gene delivery to a variety of tissues. AAV is a small, non-pathogenic virus that can be repurposed to carry a therapeutic payload, making it an ideal vector for delivery of gene editing therapies. Several clinical trials have been conducted or are in progress with different AAV variants for multiple diseases, including diseases of the eye, liver, muscle, lung and CNS. We have an option to in-license a variety of AAV variants that could be selected for optimal distribution to multiple organs.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Because our DNA base editors are larger than the approximate 4.5kb packaging limit of AAV vectors, we use a novel split intein technology that is designed to deliver the base editor and guide RNA by co-infection with two viruses, where each virus contains approximately one half of the editor. High levels of base editing efficiency have been demonstrated using split editors, which are comparable to those achieved with full length editors. As shown in the figures below, our novel split editor achieves equivalent levels of editing to the full-length editor, and its activity is strictly dependent upon both halves of the split editor being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-8255</wp:posOffset>
            </wp:positionV>
            <wp:extent cx="5023485" cy="2040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2348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hematologic diseases and oncology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Sickle Cell Disease and Beta-Thalassemia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Sickle cell disease is a severe inherited blood disease caused by a single point mutation in the beta globin gene at the sixth amino acid, also known as Hemoglobin S, or HbS. This mutation makes the protein aggregate into long, rigid molecules that bend red blood cells into a sickle shape under conditions of low oxygen. Sickled cells obstruct blood vessels and die prematurely, ultimately resulting in anemia, severe pain (crises), infections, stroke and early death. Sickle cell disease is the most common inherited blood disorder in the United States, affecting an estimated 100,000 individuals, of which a significant proportion are of African American descent (1:365 births). The only potentially curative therapy currently available for patients with sickle cell disease is allogeneic Hematopoietic Stem Cell Transplant, or HSCT; however, this procedure holds a high level of risk, particularly Graft-versus-Host Disease, or GvHD, resulting in a low number of patients opting for this treatment. Other treatments generally focus on managing patients’ symptoms, including pain medicines during vaso-occlusive crises, hydroxyurea to reduce the number of pain episodes, and antibiotics and vaccines to prevent bacterial infections.</w:t>
      </w:r>
    </w:p>
    <w:p>
      <w:pPr>
        <w:spacing w:after="0" w:line="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Beta-thalassemia is an inherited blood disorder caused by any one of over 200 mutations in the hemoglobin beta gene, or HBB, which results in reduced production of functional hemoglobin. Transfusion-dependent beta-thalassemia, or TDBT, is the most severe form of this disease, often requiring multiple transfusions per year. Patients with TDBT suffer from failure to thrive, persistent infections, and life-threatening anemia. As a consequence of the frequent transfusions, patients with TDBT require iron chelation therapy, which is associated with significant toxicities, resulting in low levels of adherence.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As with sickle cell disease, the only potentially curative treatment available today is allogeneic HSCT, which holds a high level of risk, particularly GvHD, resulting in a low number of patients opting for this treatment.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to current therapeutic approaches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 efforts to treat these diseases include gene therapy and a variety of approaches to elevate a compensatory form of hemoglobin called fetal hemoglobin, or HbF. A lentiviral gene therapy for one form of beta-thalassemia has been approved in Europe; however, significant unmet medical need remains in these diseases. Lentiviral gene therapy approaches rely on random genomic insertion, which introduces the risk of disrupting important genes or activating cancer-causing genes.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Efforts by others to elevate fetal hemoglobin include knock out of a repressor protein with RNA interference, or RNAi, nuclease editing, or small molecules, with the potential drawback that other biological functions of the repressor protein will also be disrupted. Furthermore, since the two copies of the HbF gene, HBG1 and HBG2, have identical regulatory regions, use of a nuclease to directly re-activate the fetal hemoglobin genes may lead to deletions as a result of simultaneous double-stranded breaks in the neighboring genes. Reported levels of HbF upregulation for these nuclease-based approaches are approximately 30-40%, potentially reaching the threshold of therapeutic efficacy, but data suggest that higher upregulation would be beneficial if achieved.</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In sickle cell disease, attempts to directly edit the sickle cell gene with nucleases, leveraging HDR, have been limited by low efficiency, with reported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correction rates of 10%. Small molecule therapies, such as voxelotor and rivipansel, and antibodies, such as crizanlizumab, are in clinical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these diseases. However, these approaches manage, rather than cure, the disease and do not address all of its symptoms.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using base editing to pursue two complementary approaches to treating sickle cell disease and one to treat beta-thalassemia:</w:t>
      </w:r>
    </w:p>
    <w:p>
      <w:pPr>
        <w:spacing w:after="0" w:line="225"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differentiated approach to elevating fetal hemoglobin which could be used in treatments for both sickle cell disease and beta-thalassemia</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novel approach to directly correcting the sickle mutation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1: Recreate naturally occurring protective HPFH mutations to elevate HbF</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beneficial effects of HbF to compensate for mutations in adult hemoglobin were first identified in individuals with a condition known as Hereditary Persistence of Fetal Hemoglobin, or HPFH. Beta-thalassemia or sickle cell disease patients who also have HPFH are asymptomatic or experience a much milder form of their disease. HPFH is caused by single base changes in the regulatory region of the HbF genes (HBG1 and HBG2), which increases the expression of the fetal form of hemoglobin by preventing the binding of one or more repressor proteins.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right="480"/>
        <w:spacing w:after="0" w:line="342" w:lineRule="auto"/>
        <w:rPr>
          <w:sz w:val="20"/>
          <w:szCs w:val="20"/>
          <w:color w:val="auto"/>
        </w:rPr>
      </w:pPr>
      <w:r>
        <w:rPr>
          <w:rFonts w:ascii="Arial" w:cs="Arial" w:eastAsia="Arial" w:hAnsi="Arial"/>
          <w:sz w:val="16"/>
          <w:szCs w:val="16"/>
          <w:color w:val="auto"/>
        </w:rPr>
        <w:t>Using base editing, we reproduce these specific, naturally occurring base changes in the regulatory elements of the HbF genes, preventing binding of repressor proteins and leading to re-activation of HbF expression. We believe this approach offers several potential advantages over others:</w:t>
      </w:r>
    </w:p>
    <w:p>
      <w:pPr>
        <w:spacing w:after="0" w:line="120" w:lineRule="exact"/>
        <w:rPr>
          <w:sz w:val="20"/>
          <w:szCs w:val="20"/>
          <w:color w:val="auto"/>
        </w:rPr>
      </w:pPr>
    </w:p>
    <w:p>
      <w:pPr>
        <w:ind w:left="740" w:right="40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Higher levels of HbF. </w:t>
      </w:r>
      <w:r>
        <w:rPr>
          <w:rFonts w:ascii="Arial" w:cs="Arial" w:eastAsia="Arial" w:hAnsi="Arial"/>
          <w:sz w:val="18"/>
          <w:szCs w:val="18"/>
          <w:color w:val="auto"/>
        </w:rPr>
        <w:t>Our most effective base editors deliver a higher level of HbF than other editing approaches, such as nuclease editing,</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likely to correlate with further reductions in disease symptoms and improved health.</w:t>
      </w:r>
    </w:p>
    <w:p>
      <w:pPr>
        <w:spacing w:after="0" w:line="161" w:lineRule="exact"/>
        <w:rPr>
          <w:rFonts w:ascii="Arial" w:cs="Arial" w:eastAsia="Arial" w:hAnsi="Arial"/>
          <w:sz w:val="18"/>
          <w:szCs w:val="18"/>
          <w:color w:val="auto"/>
        </w:rPr>
      </w:pPr>
    </w:p>
    <w:p>
      <w:pPr>
        <w:ind w:left="740" w:right="18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High precision in editing. </w:t>
      </w:r>
      <w:r>
        <w:rPr>
          <w:rFonts w:ascii="Arial" w:cs="Arial" w:eastAsia="Arial" w:hAnsi="Arial"/>
          <w:sz w:val="18"/>
          <w:szCs w:val="18"/>
          <w:color w:val="auto"/>
        </w:rPr>
        <w:t>Our base editor alters only a few bases at targeted locations in the regulatory regions of the HbF genes, the minimal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required to re-activate HbF.</w:t>
      </w:r>
    </w:p>
    <w:p>
      <w:pPr>
        <w:spacing w:after="0" w:line="161" w:lineRule="exact"/>
        <w:rPr>
          <w:rFonts w:ascii="Arial" w:cs="Arial" w:eastAsia="Arial" w:hAnsi="Arial"/>
          <w:sz w:val="18"/>
          <w:szCs w:val="18"/>
          <w:color w:val="auto"/>
        </w:rPr>
      </w:pPr>
    </w:p>
    <w:p>
      <w:pPr>
        <w:ind w:left="740" w:right="80" w:hanging="368"/>
        <w:spacing w:after="0" w:line="26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Informed by human genetics. </w:t>
      </w:r>
      <w:r>
        <w:rPr>
          <w:rFonts w:ascii="Arial" w:cs="Arial" w:eastAsia="Arial" w:hAnsi="Arial"/>
          <w:sz w:val="18"/>
          <w:szCs w:val="18"/>
          <w:color w:val="auto"/>
        </w:rPr>
        <w:t>Our base editor program uses a precise, direct editing strategy that is informed by human genetics and aims to</w:t>
      </w:r>
      <w:r>
        <w:rPr>
          <w:rFonts w:ascii="Arial" w:cs="Arial" w:eastAsia="Arial" w:hAnsi="Arial"/>
          <w:sz w:val="18"/>
          <w:szCs w:val="18"/>
          <w:b w:val="1"/>
          <w:bCs w:val="1"/>
          <w:color w:val="auto"/>
        </w:rPr>
        <w:t xml:space="preserve"> </w:t>
      </w:r>
      <w:r>
        <w:rPr>
          <w:rFonts w:ascii="Arial" w:cs="Arial" w:eastAsia="Arial" w:hAnsi="Arial"/>
          <w:sz w:val="18"/>
          <w:szCs w:val="18"/>
          <w:color w:val="auto"/>
        </w:rPr>
        <w:t>reproduce naturally occurring mutations in the promotion of the HBG1 and HBG2 genes that lead to upregulation of HbF and prevent sickle cell disease or beta-thalassemias.</w:t>
      </w:r>
    </w:p>
    <w:p>
      <w:pPr>
        <w:spacing w:after="0" w:line="175" w:lineRule="exact"/>
        <w:rPr>
          <w:rFonts w:ascii="Arial" w:cs="Arial" w:eastAsia="Arial" w:hAnsi="Arial"/>
          <w:sz w:val="18"/>
          <w:szCs w:val="18"/>
          <w:color w:val="auto"/>
        </w:rPr>
      </w:pPr>
    </w:p>
    <w:p>
      <w:pPr>
        <w:ind w:left="740" w:right="48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Specific re-activation of HbF genes. </w:t>
      </w:r>
      <w:r>
        <w:rPr>
          <w:rFonts w:ascii="Arial" w:cs="Arial" w:eastAsia="Arial" w:hAnsi="Arial"/>
          <w:sz w:val="18"/>
          <w:szCs w:val="18"/>
          <w:color w:val="auto"/>
        </w:rPr>
        <w:t>HbF re-activation occurs without impacting the expression or function of the repressor protein itself,</w:t>
      </w:r>
      <w:r>
        <w:rPr>
          <w:rFonts w:ascii="Arial" w:cs="Arial" w:eastAsia="Arial" w:hAnsi="Arial"/>
          <w:sz w:val="18"/>
          <w:szCs w:val="18"/>
          <w:b w:val="1"/>
          <w:bCs w:val="1"/>
          <w:color w:val="auto"/>
        </w:rPr>
        <w:t xml:space="preserve"> </w:t>
      </w:r>
      <w:r>
        <w:rPr>
          <w:rFonts w:ascii="Arial" w:cs="Arial" w:eastAsia="Arial" w:hAnsi="Arial"/>
          <w:sz w:val="18"/>
          <w:szCs w:val="18"/>
          <w:color w:val="auto"/>
        </w:rPr>
        <w:t>avoiding any interference with other biological activities in which the repressor is involved.</w:t>
      </w:r>
    </w:p>
    <w:p>
      <w:pPr>
        <w:spacing w:after="0" w:line="161" w:lineRule="exact"/>
        <w:rPr>
          <w:rFonts w:ascii="Arial" w:cs="Arial" w:eastAsia="Arial" w:hAnsi="Arial"/>
          <w:sz w:val="18"/>
          <w:szCs w:val="18"/>
          <w:color w:val="auto"/>
        </w:rPr>
      </w:pPr>
    </w:p>
    <w:p>
      <w:pPr>
        <w:ind w:left="740" w:right="60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 deletions or translocations. </w:t>
      </w:r>
      <w:r>
        <w:rPr>
          <w:rFonts w:ascii="Arial" w:cs="Arial" w:eastAsia="Arial" w:hAnsi="Arial"/>
          <w:sz w:val="18"/>
          <w:szCs w:val="18"/>
          <w:color w:val="auto"/>
        </w:rPr>
        <w:t>Our base editors can precisely and directly edit both fetal hemoglobin genes simultaneously without any</w:t>
      </w:r>
      <w:r>
        <w:rPr>
          <w:rFonts w:ascii="Arial" w:cs="Arial" w:eastAsia="Arial" w:hAnsi="Arial"/>
          <w:sz w:val="18"/>
          <w:szCs w:val="18"/>
          <w:b w:val="1"/>
          <w:bCs w:val="1"/>
          <w:color w:val="auto"/>
        </w:rPr>
        <w:t xml:space="preserve"> </w:t>
      </w:r>
      <w:r>
        <w:rPr>
          <w:rFonts w:ascii="Arial" w:cs="Arial" w:eastAsia="Arial" w:hAnsi="Arial"/>
          <w:sz w:val="18"/>
          <w:szCs w:val="18"/>
          <w:color w:val="auto"/>
        </w:rPr>
        <w:t>genomic or chromosomal alterations, unlike nucleases.</w:t>
      </w:r>
    </w:p>
    <w:p>
      <w:pPr>
        <w:spacing w:after="0" w:line="161" w:lineRule="exact"/>
        <w:rPr>
          <w:rFonts w:ascii="Arial" w:cs="Arial" w:eastAsia="Arial" w:hAnsi="Arial"/>
          <w:sz w:val="18"/>
          <w:szCs w:val="18"/>
          <w:color w:val="auto"/>
        </w:rPr>
      </w:pPr>
    </w:p>
    <w:p>
      <w:pPr>
        <w:ind w:left="740" w:hanging="368"/>
        <w:spacing w:after="0" w:line="28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Non-viral delivery. </w:t>
      </w:r>
      <w:r>
        <w:rPr>
          <w:rFonts w:ascii="Arial" w:cs="Arial" w:eastAsia="Arial" w:hAnsi="Arial"/>
          <w:sz w:val="18"/>
          <w:szCs w:val="18"/>
          <w:color w:val="auto"/>
        </w:rPr>
        <w:t>Unlike lentiviral gene therapies, base editors are simple to manufacture, delivered via electroporation, and edit the genome at</w:t>
      </w:r>
      <w:r>
        <w:rPr>
          <w:rFonts w:ascii="Arial" w:cs="Arial" w:eastAsia="Arial" w:hAnsi="Arial"/>
          <w:sz w:val="18"/>
          <w:szCs w:val="18"/>
          <w:b w:val="1"/>
          <w:bCs w:val="1"/>
          <w:color w:val="auto"/>
        </w:rPr>
        <w:t xml:space="preserve"> </w:t>
      </w:r>
      <w:r>
        <w:rPr>
          <w:rFonts w:ascii="Arial" w:cs="Arial" w:eastAsia="Arial" w:hAnsi="Arial"/>
          <w:sz w:val="18"/>
          <w:szCs w:val="18"/>
          <w:color w:val="auto"/>
        </w:rPr>
        <w:t>a predictable location without integration.</w:t>
      </w:r>
    </w:p>
    <w:p>
      <w:pPr>
        <w:spacing w:after="0" w:line="166"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color w:val="auto"/>
        </w:rPr>
        <w:t>We demonstrated that edited CD34+ cells from a healthy donor engraft with high chimerism and maintain &gt;90% editing after 16 weeks in immunocompromised mice, as show in the figure below. We also showed that editing followed by in vitro erythroid differentiation of CD34+ cells from both healthy donors and sickle trait donors led to HbF levels of greater than 60%, which is expected to be clinically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267335</wp:posOffset>
            </wp:positionV>
            <wp:extent cx="5177790" cy="119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779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progressing our HPFH program towards clinical studies by conducting long-term studies to support our process development efforts prior to filing an IND. This will involve IND-enabling studies to fully characterize the edited cells and confirm the long-term persistence of editing. We have engaged with reputable CMOs to develop the manufacturing process for the guide RNA, the base editor, and the final clinical drug candidate to support our IND. We intend to have a pre-IND meeting with the FDA to confirm that our approach is suitable for progression to an IND filing.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2: Direct correction of the sickle cell point mutation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second base editing approach for sickle cell disease is a direct correction of the causative HbS point mutation at position 6 of the beta globin gene. By making a single A-to-G edit, although our clinical trials may produce different results, we have demonstrated in cell lines the ability to create the naturally occurring “Makassar” variant of hemoglobin. This variant, which was originally identified in humans in 1970, has the same function as the wild-type variant and does not cause sickle cell disease. Distinct from other approaches, cells that are successfully edited in this way are fully corrected, no longer containing the sickle protein.</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identified base editors that have demonstrated 40% to 70% correction of the sickle cell point mutation into the functional Makassar variant in primary fibroblasts isolated from patients with sickle cell disease, as shown in the figure below. Published studies suggest that 20% correction of HbS may be sufficient to cure the disease. We also show greater than 65% correction of the mutation in CD34+ cells from a SCD patient, as shown in the figure below.</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1808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advancing this program by testing levels of direct correction of the beta globin gene in CD34+ cells derived from patients with sickle cell disease. Similar to our HPFH approach, we plan to optimize our editing process and will conduct engraftment studies in mice as well as other IND-enabling studies to monitor the efficacy and safety of this editing approach, followed by human clinical trials in patients with sickle cell disease.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opportunities in hematology pipeline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Once we have established the ability to deliver base editors into CD34+ cells in a transplant setting for beta-thalassemia and sickle cell disease, we believe we will be able to rapidly accelerate other CD34+ programs. We expect that developing new programs may require only minimal incremental investment, selecting different guide RNAs, and making minor changes to the base editor. This could potentially create entirely new product candidates for different gene targets.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multiplex editing of advanced cell therapies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 Cell Therapies in Immunology/Oncology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CAR-T cell therapy is a form of immunotherapy that harness the power of T cells to recognize and kill tumors. Using a protein on their surface called a T cell receptor, or TCR, T cells can distinguish between tumor cells and healthy cells to selectively kill tumors. However, tumors have evolved numerous ways of evading TCR-mediated killing. In CAR-T cell therapy, T cells are engineered to express a protein called a chimeric antigen receptor, or CAR, that recognizes specific proteins on the surface of tumor cells and allows the T cells to kill independently of the TCR, thus circumventing the tumor cells’ evasion of the TCR.</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There are currently two FDA-approved CAR-T products that are “autologous,” or generated using cells taken directly from the patient. Following the initial isolation, these cells are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to express the CAR and are then reintroduced into the patient. These products have demonstrated dramatic efficacy in certain patients with relapsed or refractory hematologic cancers.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approaches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Despite their promising potential, autologous CAR-T therapies have several limitations, including lack of patient eligibility, delays in treatment, and unscalable and costly manufacturing processes. The ability to generate “off-the-shelf” CAR-T products that can be manufactured using standardized processes from a single healthy donor for use in multiple patients can address the above limitations. These products are known as allogeneic, and several approaches are being explored in clinical trials. However, because allogeneic CAR-T cells are isolated from a donor, these approaches introduce new complications:</w:t>
      </w:r>
    </w:p>
    <w:p>
      <w:pPr>
        <w:spacing w:after="0" w:line="184" w:lineRule="exact"/>
        <w:rPr>
          <w:sz w:val="20"/>
          <w:szCs w:val="20"/>
          <w:color w:val="auto"/>
        </w:rPr>
      </w:pPr>
    </w:p>
    <w:p>
      <w:pPr>
        <w:ind w:left="740" w:right="100" w:hanging="36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Graft-versus-Host disease. </w:t>
      </w:r>
      <w:r>
        <w:rPr>
          <w:rFonts w:ascii="Arial" w:cs="Arial" w:eastAsia="Arial" w:hAnsi="Arial"/>
          <w:sz w:val="18"/>
          <w:szCs w:val="18"/>
          <w:color w:val="auto"/>
        </w:rPr>
        <w:t>For allogeneic CAR-T approaches, the original targeting element of the TCR must be removed to prevent the CAR-T from targeting other tissues in the patient’s body.</w:t>
      </w:r>
    </w:p>
    <w:p>
      <w:pPr>
        <w:spacing w:after="0" w:line="161" w:lineRule="exact"/>
        <w:rPr>
          <w:rFonts w:ascii="Arial" w:cs="Arial" w:eastAsia="Arial" w:hAnsi="Arial"/>
          <w:sz w:val="18"/>
          <w:szCs w:val="18"/>
          <w:color w:val="auto"/>
        </w:rPr>
      </w:pPr>
    </w:p>
    <w:p>
      <w:pPr>
        <w:ind w:left="740" w:right="80" w:hanging="36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Host-versus-Graft rejection. </w:t>
      </w:r>
      <w:r>
        <w:rPr>
          <w:rFonts w:ascii="Arial" w:cs="Arial" w:eastAsia="Arial" w:hAnsi="Arial"/>
          <w:sz w:val="18"/>
          <w:szCs w:val="18"/>
          <w:color w:val="auto"/>
        </w:rPr>
        <w:t>To prevent recognition and subsequent rejection by the patient’s immune system, the proteins of the donor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immune system recognizes on the surface of the CAR-T cells must be removed.</w:t>
      </w:r>
    </w:p>
    <w:p>
      <w:pPr>
        <w:spacing w:after="0" w:line="166"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Additional obstacles for CAR-T therapies include: limited persistence and proliferation within the host; heterogeneity of antigen expression within the tumor that promotes resistance; poor trafficking to the tumor site; and functional suppression by the hostile tumor microenvironment. These collective hurdles require T cell engineering strategies, such as multiplex editing, that target a large and growing list of candidate genes in the same cell.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3" w:lineRule="auto"/>
        <w:rPr>
          <w:sz w:val="20"/>
          <w:szCs w:val="20"/>
          <w:color w:val="auto"/>
        </w:rPr>
      </w:pPr>
      <w:r>
        <w:rPr>
          <w:rFonts w:ascii="Arial" w:cs="Arial" w:eastAsia="Arial" w:hAnsi="Arial"/>
          <w:sz w:val="16"/>
          <w:szCs w:val="16"/>
          <w:color w:val="auto"/>
        </w:rPr>
        <w:t>We believe that multiple factors need to be engineered in CAR-T cells to augment their efficacy to treat a broader range of hematological malignancies and solid tumors. While it is possible to use nucleases to knock out multiple genes at the same time, multiplex editing with nucleases creates simultaneous double-stranded breaks across the genome. We believe that the high probability of unwanted genomic rearrangements, which increases dramatically with the number of double-stranded breaks made, limits the number of simultaneous edits that can be made in a CAR-T product. In addition, the numerous double-stranded breaks impact cell viability and cell yield, which leads to an inefficient manufacturing process. Overall, this may limit the ability to use nuclease-based technologies to develop highly engineered cell therapies that can overcome the obstacles described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Multiplex base editing for allogeneic cell therapies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believe that base editing is an ideal tool to simultaneously multiplex edit a large number of genes, without chromosomal rearrangements, to endow allogeneic CAR-T cells with a combination of features that may dramatically enhance their therapeutic potential. We aim to generate CAR-T product candidates with several potential advantages, which include:</w:t>
      </w:r>
    </w:p>
    <w:p>
      <w:pPr>
        <w:spacing w:after="0" w:line="180" w:lineRule="exact"/>
        <w:rPr>
          <w:sz w:val="20"/>
          <w:szCs w:val="20"/>
          <w:color w:val="auto"/>
        </w:rPr>
      </w:pPr>
    </w:p>
    <w:p>
      <w:pPr>
        <w:ind w:left="740" w:right="160" w:hanging="368"/>
        <w:spacing w:after="0" w:line="261"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 efficient manufacturing process. </w:t>
      </w:r>
      <w:r>
        <w:rPr>
          <w:rFonts w:ascii="Arial" w:cs="Arial" w:eastAsia="Arial" w:hAnsi="Arial"/>
          <w:sz w:val="18"/>
          <w:szCs w:val="18"/>
          <w:color w:val="auto"/>
        </w:rPr>
        <w:t>We intend to introduce the editor and several guide RNAs for the different edits simultaneously. This</w:t>
      </w:r>
      <w:r>
        <w:rPr>
          <w:rFonts w:ascii="Arial" w:cs="Arial" w:eastAsia="Arial" w:hAnsi="Arial"/>
          <w:sz w:val="18"/>
          <w:szCs w:val="18"/>
          <w:b w:val="1"/>
          <w:bCs w:val="1"/>
          <w:color w:val="auto"/>
        </w:rPr>
        <w:t xml:space="preserve"> </w:t>
      </w:r>
      <w:r>
        <w:rPr>
          <w:rFonts w:ascii="Arial" w:cs="Arial" w:eastAsia="Arial" w:hAnsi="Arial"/>
          <w:sz w:val="18"/>
          <w:szCs w:val="18"/>
          <w:color w:val="auto"/>
        </w:rPr>
        <w:t>single electroporation step and the lack of double-stranded breaks maximize cell yield, making the process rapid and efficient. Furthermore, by enabling an allogeneic cell source for the product candidates we may develop, we can potentially create a more scalable and cost-effective manufacturing process.</w:t>
      </w:r>
    </w:p>
    <w:p>
      <w:pPr>
        <w:spacing w:after="0" w:line="179" w:lineRule="exact"/>
        <w:rPr>
          <w:rFonts w:ascii="Arial" w:cs="Arial" w:eastAsia="Arial" w:hAnsi="Arial"/>
          <w:sz w:val="18"/>
          <w:szCs w:val="18"/>
          <w:color w:val="auto"/>
        </w:rPr>
      </w:pPr>
    </w:p>
    <w:p>
      <w:pPr>
        <w:ind w:left="740" w:right="36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potential to mitigate tumor resistance by developing multi-CAR product candidates. </w:t>
      </w:r>
      <w:r>
        <w:rPr>
          <w:rFonts w:ascii="Arial" w:cs="Arial" w:eastAsia="Arial" w:hAnsi="Arial"/>
          <w:sz w:val="18"/>
          <w:szCs w:val="18"/>
          <w:color w:val="auto"/>
        </w:rPr>
        <w:t>Variable expression or downregulation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tumor antigen can lead to resistance or relapse. By targeting more than one antigen at the same time, we can potentially reduce the ability of the tumor to escape killing.</w:t>
      </w:r>
    </w:p>
    <w:p>
      <w:pPr>
        <w:spacing w:after="0" w:line="175" w:lineRule="exact"/>
        <w:rPr>
          <w:rFonts w:ascii="Arial" w:cs="Arial" w:eastAsia="Arial" w:hAnsi="Arial"/>
          <w:sz w:val="18"/>
          <w:szCs w:val="18"/>
          <w:color w:val="auto"/>
        </w:rPr>
      </w:pPr>
    </w:p>
    <w:p>
      <w:pPr>
        <w:ind w:left="740" w:right="4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Prevention of CAR-T cell fratricide. </w:t>
      </w:r>
      <w:r>
        <w:rPr>
          <w:rFonts w:ascii="Arial" w:cs="Arial" w:eastAsia="Arial" w:hAnsi="Arial"/>
          <w:sz w:val="18"/>
          <w:szCs w:val="18"/>
          <w:color w:val="auto"/>
        </w:rPr>
        <w:t>When targeting hematological tumors, the shared antigens that are expressed on both the malignant blood</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the CAR-T cells leads to fratricide, or cell-to-cell killing of CAR-T cells. We can use base editing to eliminate the antigens from the CAR-T cells, preventing fratricide.</w:t>
      </w:r>
    </w:p>
    <w:p>
      <w:pPr>
        <w:spacing w:after="0" w:line="175" w:lineRule="exact"/>
        <w:rPr>
          <w:rFonts w:ascii="Arial" w:cs="Arial" w:eastAsia="Arial" w:hAnsi="Arial"/>
          <w:sz w:val="18"/>
          <w:szCs w:val="18"/>
          <w:color w:val="auto"/>
        </w:rPr>
      </w:pPr>
    </w:p>
    <w:p>
      <w:pPr>
        <w:ind w:left="740" w:right="6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Broader availability to patients. </w:t>
      </w:r>
      <w:r>
        <w:rPr>
          <w:rFonts w:ascii="Arial" w:cs="Arial" w:eastAsia="Arial" w:hAnsi="Arial"/>
          <w:sz w:val="18"/>
          <w:szCs w:val="18"/>
          <w:color w:val="auto"/>
        </w:rPr>
        <w:t>Our allogeneic approach opens up the potential to treat more patients, including those who might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autologous CAR-T due to inadequate T cell yield or function or those who require rapid treatment and cannot wait for an autologous process.</w:t>
      </w:r>
    </w:p>
    <w:p>
      <w:pPr>
        <w:spacing w:after="0" w:line="175" w:lineRule="exact"/>
        <w:rPr>
          <w:rFonts w:ascii="Arial" w:cs="Arial" w:eastAsia="Arial" w:hAnsi="Arial"/>
          <w:sz w:val="18"/>
          <w:szCs w:val="18"/>
          <w:color w:val="auto"/>
        </w:rPr>
      </w:pPr>
    </w:p>
    <w:p>
      <w:pPr>
        <w:ind w:left="740" w:right="10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potential for reduced susceptibility to the immunosuppressive tumor microenvironment. </w:t>
      </w:r>
      <w:r>
        <w:rPr>
          <w:rFonts w:ascii="Arial" w:cs="Arial" w:eastAsia="Arial" w:hAnsi="Arial"/>
          <w:sz w:val="18"/>
          <w:szCs w:val="18"/>
          <w:color w:val="auto"/>
        </w:rPr>
        <w:t>By editing one or more genes on the CAR-T</w:t>
      </w:r>
      <w:r>
        <w:rPr>
          <w:rFonts w:ascii="Arial" w:cs="Arial" w:eastAsia="Arial" w:hAnsi="Arial"/>
          <w:sz w:val="18"/>
          <w:szCs w:val="18"/>
          <w:b w:val="1"/>
          <w:bCs w:val="1"/>
          <w:color w:val="auto"/>
        </w:rPr>
        <w:t xml:space="preserve"> </w:t>
      </w:r>
      <w:r>
        <w:rPr>
          <w:rFonts w:ascii="Arial" w:cs="Arial" w:eastAsia="Arial" w:hAnsi="Arial"/>
          <w:sz w:val="18"/>
          <w:szCs w:val="18"/>
          <w:color w:val="auto"/>
        </w:rPr>
        <w:t>cells, such as PD-1 or LAG-3, we prevent the tumor microenvironment from dampening T cell response, potentially preventing premature exhaustion of the CAR-T cells.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figure below shows the results of proof-of-concept experiments that demonstrate the ability of base editing to make simultaneous multiplex edits with very high efficiencies and without the generation of chromosomal rearrangements. The panel on the left of the figure below shows the editing of three genes (ß2M, PD1 and TRAC) with very high efficiencies (85% to 95%). In these experiments, we saw no significant loss of efficiency between the editing of a single gene and the simultaneous editing of three genes. The high level of genetic editing resulted in the expected loss of expression of the corresponding proteins on the surface of the cells, as shown by the panel in the middle of the figure below, which demonstrates that 95% of cells achieved complete loss of CD3 (TRAC gene) and of ß2M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234315</wp:posOffset>
            </wp:positionV>
            <wp:extent cx="5160645" cy="2254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06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spacing w:after="0" w:line="211" w:lineRule="auto"/>
        <w:rPr>
          <w:sz w:val="20"/>
          <w:szCs w:val="20"/>
          <w:color w:val="auto"/>
        </w:rPr>
      </w:pPr>
      <w:r>
        <w:rPr>
          <w:rFonts w:ascii="Arial" w:cs="Arial" w:eastAsia="Arial" w:hAnsi="Arial"/>
          <w:sz w:val="18"/>
          <w:szCs w:val="18"/>
          <w:color w:val="auto"/>
        </w:rPr>
        <w:t>Importantly, the table in the figure below shows no chromosomal rearrangements, as detected by a sensitive method (UDiTaS</w:t>
      </w:r>
      <w:r>
        <w:rPr>
          <w:rFonts w:ascii="Arial" w:cs="Arial" w:eastAsia="Arial" w:hAnsi="Arial"/>
          <w:sz w:val="26"/>
          <w:szCs w:val="26"/>
          <w:color w:val="auto"/>
          <w:vertAlign w:val="superscript"/>
        </w:rPr>
        <w:t>TM</w:t>
      </w:r>
      <w:r>
        <w:rPr>
          <w:rFonts w:ascii="Arial" w:cs="Arial" w:eastAsia="Arial" w:hAnsi="Arial"/>
          <w:sz w:val="18"/>
          <w:szCs w:val="18"/>
          <w:color w:val="auto"/>
        </w:rPr>
        <w:t>) following editing with the C base editor. By contrast, in Cas9 nuclease-treated cells, chromosomal rearrangements were readily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163830</wp:posOffset>
            </wp:positionV>
            <wp:extent cx="5203190" cy="2040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31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Notably, as shown in the figure below, nuclease-treated cells also demonstrated a growth deficit compared to controls, as the number of simultaneous edits rises. By contrast, base edited cells grew normally, consistent with a potentially more efficient manufacturing process for base edited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203190" cy="2357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31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Finally, as shown in the figure below, the triple-edited cells were highly functional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that measured secreted interferon gamma, a biomarker of T cell activity. High levels of interferon were only released after the CAR-T cells interacted with cells expressing the targeted antigen and not with cells lacking the antigen, demonstrating the functional recognition of the antigen by the CAR.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1450975</wp:posOffset>
            </wp:positionH>
            <wp:positionV relativeFrom="page">
              <wp:posOffset>226060</wp:posOffset>
            </wp:positionV>
            <wp:extent cx="4654550" cy="2339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6545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initial CAR-T therapeutic programs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leveraging our highly efficient multiplex base editor technology to generate advanced allogeneic CAR-T cells with four to five simultaneous base edits in addition to the insertion of the CAR. Our initial focus will be on hematologic malignancies, and we are developing allogeneic CAR-T product candidates that have four edits each, enabling a high degree of engineering and functionality. We intend to leverage collaborations with one or more academic institutions experienced in CAR-T therapy to advance these programs.</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initial indications that we plan to target with these product candidates are relapsed, refractory, pediatric T-cell Acute Lymphoblastic Leukemia, or T-ALL, and pediatric Acute Myeloid Leukemia, or AML. While several trials are ongoing with CAR-T or bispecific antibody product candidates for T-ALL and AML, we do not believe that any of the approaches have all of the attributes of product candidates that are enabled by our multiplex editing. We believe that our approach has the potential to produce higher response rates and deeper remissions than existing approaches. Longer term, expansion from pediatric into adult populations with either T-cell malignancies or AML may represent additional opportunities for these product candidates.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highly engineered CAR-T product candidates we are developing for T-ALL and AML include the following simultaneous edits:</w:t>
      </w:r>
    </w:p>
    <w:p>
      <w:pPr>
        <w:spacing w:after="0" w:line="221" w:lineRule="exact"/>
        <w:rPr>
          <w:sz w:val="20"/>
          <w:szCs w:val="20"/>
          <w:color w:val="auto"/>
        </w:rPr>
      </w:pPr>
    </w:p>
    <w:p>
      <w:pPr>
        <w:ind w:left="740" w:right="42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Prevent graft-vs-host. </w:t>
      </w:r>
      <w:r>
        <w:rPr>
          <w:rFonts w:ascii="Arial" w:cs="Arial" w:eastAsia="Arial" w:hAnsi="Arial"/>
          <w:sz w:val="18"/>
          <w:szCs w:val="18"/>
          <w:color w:val="auto"/>
        </w:rPr>
        <w:t>Editing out the TCR to ensure that the CAR-T cell only attacks the CAR antigen on the tumor and not the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healthy cells.</w:t>
      </w:r>
    </w:p>
    <w:p>
      <w:pPr>
        <w:spacing w:after="0" w:line="161"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Enable allogeneic cell source. </w:t>
      </w:r>
      <w:r>
        <w:rPr>
          <w:rFonts w:ascii="Arial" w:cs="Arial" w:eastAsia="Arial" w:hAnsi="Arial"/>
          <w:sz w:val="18"/>
          <w:szCs w:val="18"/>
          <w:color w:val="auto"/>
        </w:rPr>
        <w:t>Another edit to enable the use of healthy donor cells.</w:t>
      </w:r>
    </w:p>
    <w:p>
      <w:pPr>
        <w:spacing w:after="0" w:line="225" w:lineRule="exact"/>
        <w:rPr>
          <w:rFonts w:ascii="Arial" w:cs="Arial" w:eastAsia="Arial" w:hAnsi="Arial"/>
          <w:sz w:val="18"/>
          <w:szCs w:val="18"/>
          <w:color w:val="auto"/>
        </w:rPr>
      </w:pPr>
    </w:p>
    <w:p>
      <w:pPr>
        <w:ind w:left="740" w:right="32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Minimize interference by the tumor microenvironment. </w:t>
      </w:r>
      <w:r>
        <w:rPr>
          <w:rFonts w:ascii="Arial" w:cs="Arial" w:eastAsia="Arial" w:hAnsi="Arial"/>
          <w:sz w:val="18"/>
          <w:szCs w:val="18"/>
          <w:color w:val="auto"/>
        </w:rPr>
        <w:t>An additional edit to minimize exhaustion by the T cell and prolong efficacy for</w:t>
      </w:r>
      <w:r>
        <w:rPr>
          <w:rFonts w:ascii="Arial" w:cs="Arial" w:eastAsia="Arial" w:hAnsi="Arial"/>
          <w:sz w:val="18"/>
          <w:szCs w:val="18"/>
          <w:b w:val="1"/>
          <w:bCs w:val="1"/>
          <w:color w:val="auto"/>
        </w:rPr>
        <w:t xml:space="preserve"> </w:t>
      </w:r>
      <w:r>
        <w:rPr>
          <w:rFonts w:ascii="Arial" w:cs="Arial" w:eastAsia="Arial" w:hAnsi="Arial"/>
          <w:sz w:val="18"/>
          <w:szCs w:val="18"/>
          <w:color w:val="auto"/>
        </w:rPr>
        <w:t>attacking the tumor.</w:t>
      </w:r>
    </w:p>
    <w:p>
      <w:pPr>
        <w:spacing w:after="0" w:line="161" w:lineRule="exact"/>
        <w:rPr>
          <w:rFonts w:ascii="Arial" w:cs="Arial" w:eastAsia="Arial" w:hAnsi="Arial"/>
          <w:sz w:val="18"/>
          <w:szCs w:val="18"/>
          <w:color w:val="auto"/>
        </w:rPr>
      </w:pPr>
    </w:p>
    <w:p>
      <w:pPr>
        <w:ind w:left="740" w:right="12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Prevent fratricide. </w:t>
      </w:r>
      <w:r>
        <w:rPr>
          <w:rFonts w:ascii="Arial" w:cs="Arial" w:eastAsia="Arial" w:hAnsi="Arial"/>
          <w:sz w:val="18"/>
          <w:szCs w:val="18"/>
          <w:color w:val="auto"/>
        </w:rPr>
        <w:t>Additional edits to eliminate antigens that are shared between malignant cells and CAR-T cells, to prevent fratricide for T-ALL.</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In the below figure, the image on the left shows some of the potential targets that may be edited to produce advanced product attributes, and the chart on the right shows the efficiency of silencing various target genes using multiplex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280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We are in the process of finalizing the selection and evaluation of the CAR antigens for the product candidates we are developing in T-ALL and AML, testing cell killing and T cell activation in the presence of tumor cells. We then plan to conduct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of our CAR-T product candidates in animal models of these diseases. We have engaged with reputable CMOs to develop the manufacturing process for the guide RNA, the base editor, and the final clinical drug candidate to support our IND-enabling studies and, eventually, the filing of the IND. We plan to conduct clinical studies at sites both in the United States and Europe and to have pre-IND, or equivalent, engagements with the relevant authorities to ensure that our plans can successfully support IND filings or equivalent.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opportunities in advanced cell therapy pipeline beyond our initial product candidates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the versatility of our base editing platform positions us to rapidly expand our portfolio of advanced cell therapies beyond the initial product candidates we may develop. Applying the same multiplex editing principles to other validated and emerging hematologic targets potentially will allow us to directly benefit from the learnings of our two initial programs. Furthermore, the ability to create CAR-T products with numerous edits to checkpoints and other immune signaling/microenvironment receptors could also unlock solid tumors, a much larger opportunity that has been difficult to target with existing CAR-T therapies.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Beyond CAR-T in hematology and solid tumors, other kinds of cell therapies could also benefit from these same approaches. In oncology, CAR-NK cells, TCR-modified T cells, and induced pluripotent stem cells are likely to expand the therapeutic landscape of engineered cell therapies; each could also benefit from the multiplex editing strategies described above. Beyond oncology, engineered immune cells may be useful for autoimmune, neurological, and other disorders.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Non-Viral delivery for liver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Alpha-1 Antitrypsin Deficiency, or AATD, is a severe inherited genetic disorder that can cause progressive lung and liver disease. AATD is the result of a mutation in the SERPINA1 gene that normally produces secreted alpha-1 antitrypsin, or AAT. AAT modulates various proteases such as neutrophil elastase, an enzyme that normally fights infections but that can also attack normal lung tissue if not adequately controlled by AAT. The most severe form of AATD arises when a patient has a point mutation in both copies of the SERPINA1 gene at amino acid 342 position (E342K, also known as the “Z” allele). This point mutation causes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and require patients to undergo a liver transplant. It is estimated that approximately 60,000 individuals in the United States have two copies of the Z allele.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Limitations of current approaches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There are currently no curative treatments for patients with AATD. The most common treatment is intravenous protein replacement therapy, where purified human AAT is infused weekly to increase circulating AAT levels. While this treatment may slow the progression of the lung component of the disease, it will not cure the disease and has no protective effect on the liver component caused by the accumulation of the mutant protein.</w:t>
      </w:r>
    </w:p>
    <w:p>
      <w:pPr>
        <w:spacing w:after="0" w:line="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Recent efforts to use genetic tools to address AATD have included gene therapy, AAT protein knock out, and SERPINA1 gene editing. The high volume of systemic AAT circulation required presents a challenge for gene therapy, particularly given recent data have shown that expression of AAV gene therapies in the liver can wane over time. AAV gene therapies can also be diluted by cell growth over time. AAT knock out with RNAi or gene editing in the liver may ameliorate liver toxicity but is likely to lower circulating AAT levels and exacerbate the progression of the lung component of the disease. Finally, the use of nuclease-based technology to directly correct the AATD gene is severely limited by the low efficiency of HDR.</w:t>
      </w:r>
    </w:p>
    <w:p>
      <w:pPr>
        <w:spacing w:after="0" w:line="5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Small molecule drugs are also entering development which can bind the Z form of AAT, assisting in partial restoration of AAT secretion and folding. However, the functional effects of the Z protein bound to a small molecule have not yet been characterized, and such therapies would require chronic dosing.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Direct correction of the AATD point mutation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the high efficiency and precision of our base editors, we aim to directly correct the E342K point mutation back to the wild type sequence, an approach that has numerous potential advantages:</w:t>
      </w:r>
    </w:p>
    <w:p>
      <w:pPr>
        <w:spacing w:after="0" w:line="166" w:lineRule="exact"/>
        <w:rPr>
          <w:sz w:val="20"/>
          <w:szCs w:val="20"/>
          <w:color w:val="auto"/>
        </w:rPr>
      </w:pPr>
    </w:p>
    <w:p>
      <w:pPr>
        <w:ind w:left="740" w:right="680" w:hanging="368"/>
        <w:spacing w:after="0" w:line="347"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Ameliorating both lung and liver components of the disease. </w:t>
      </w:r>
      <w:r>
        <w:rPr>
          <w:rFonts w:ascii="Arial" w:cs="Arial" w:eastAsia="Arial" w:hAnsi="Arial"/>
          <w:sz w:val="16"/>
          <w:szCs w:val="16"/>
          <w:color w:val="auto"/>
        </w:rPr>
        <w:t>Direct correction of SERPINA1 simultaneously addresses both the lung</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by restoring AAT secretion and production, and the liver component, by removing the buildup of toxic AAT protein.</w:t>
      </w:r>
    </w:p>
    <w:p>
      <w:pPr>
        <w:spacing w:after="0" w:line="115" w:lineRule="exact"/>
        <w:rPr>
          <w:rFonts w:ascii="Arial" w:cs="Arial" w:eastAsia="Arial" w:hAnsi="Arial"/>
          <w:sz w:val="16"/>
          <w:szCs w:val="16"/>
          <w:color w:val="auto"/>
        </w:rPr>
      </w:pPr>
    </w:p>
    <w:p>
      <w:pPr>
        <w:ind w:left="74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One-time treatment. </w:t>
      </w:r>
      <w:r>
        <w:rPr>
          <w:rFonts w:ascii="Arial" w:cs="Arial" w:eastAsia="Arial" w:hAnsi="Arial"/>
          <w:sz w:val="18"/>
          <w:szCs w:val="18"/>
          <w:color w:val="auto"/>
        </w:rPr>
        <w:t>Unlike chronic therapies such as small molecules or RNAi, our base editor therapy could represent a one-time correction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disease after transient expression of the base editor in hepatocytes.</w:t>
      </w:r>
    </w:p>
    <w:p>
      <w:pPr>
        <w:spacing w:after="0" w:line="161" w:lineRule="exact"/>
        <w:rPr>
          <w:rFonts w:ascii="Arial" w:cs="Arial" w:eastAsia="Arial" w:hAnsi="Arial"/>
          <w:sz w:val="18"/>
          <w:szCs w:val="18"/>
          <w:color w:val="auto"/>
        </w:rPr>
      </w:pPr>
    </w:p>
    <w:p>
      <w:pPr>
        <w:ind w:left="740" w:right="20" w:hanging="368"/>
        <w:spacing w:after="0" w:line="266"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Permanent editing for life-long effect. </w:t>
      </w:r>
      <w:r>
        <w:rPr>
          <w:rFonts w:ascii="Arial" w:cs="Arial" w:eastAsia="Arial" w:hAnsi="Arial"/>
          <w:sz w:val="18"/>
          <w:szCs w:val="18"/>
          <w:color w:val="auto"/>
        </w:rPr>
        <w:t>Unlike AAV gene therapies which may decline over time or be diluted by cell growth, the correction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SERPINA1 gene would represent a permanent life-long genetic modification. It would also be passed on through cell divisions during normal growth, thereby enabling treatment of young children.</w:t>
      </w:r>
    </w:p>
    <w:p>
      <w:pPr>
        <w:spacing w:after="0" w:line="175" w:lineRule="exact"/>
        <w:rPr>
          <w:rFonts w:ascii="Arial" w:cs="Arial" w:eastAsia="Arial" w:hAnsi="Arial"/>
          <w:sz w:val="18"/>
          <w:szCs w:val="18"/>
          <w:color w:val="auto"/>
        </w:rPr>
      </w:pPr>
    </w:p>
    <w:p>
      <w:pPr>
        <w:ind w:left="740" w:right="74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Natural regulation. </w:t>
      </w:r>
      <w:r>
        <w:rPr>
          <w:rFonts w:ascii="Arial" w:cs="Arial" w:eastAsia="Arial" w:hAnsi="Arial"/>
          <w:sz w:val="18"/>
          <w:szCs w:val="18"/>
          <w:color w:val="auto"/>
        </w:rPr>
        <w:t>Direct correction of the SERPINA1 gene would also benefit from normal endogenous regulation, restoring normal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and levels of AAT over time.</w:t>
      </w:r>
    </w:p>
    <w:p>
      <w:pPr>
        <w:spacing w:after="0" w:line="161" w:lineRule="exact"/>
        <w:rPr>
          <w:rFonts w:ascii="Arial" w:cs="Arial" w:eastAsia="Arial" w:hAnsi="Arial"/>
          <w:sz w:val="18"/>
          <w:szCs w:val="18"/>
          <w:color w:val="auto"/>
        </w:rPr>
      </w:pPr>
    </w:p>
    <w:p>
      <w:pPr>
        <w:ind w:left="740" w:right="22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Survival advantage of edited cells. </w:t>
      </w:r>
      <w:r>
        <w:rPr>
          <w:rFonts w:ascii="Arial" w:cs="Arial" w:eastAsia="Arial" w:hAnsi="Arial"/>
          <w:sz w:val="18"/>
          <w:szCs w:val="18"/>
          <w:color w:val="auto"/>
        </w:rPr>
        <w:t>Because of the toxicity of mutant AAT proteins, liver cells that are successfully corrected in this way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a survival advantage in the liver and, over time, make up an increasing proportion of total liver cells.</w:t>
      </w:r>
    </w:p>
    <w:p>
      <w:pPr>
        <w:spacing w:after="0" w:line="1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Using molecular evolution techniques and structural biology insights, two of the core strengths of our platform discovery efforts, in six months, we have developed a novel base editor capable of correcting the E342K mutation in human cells, increasing the editing efficiency from 10% to 80% </w:t>
      </w:r>
      <w:r>
        <w:rPr>
          <w:rFonts w:ascii="Arial" w:cs="Arial" w:eastAsia="Arial" w:hAnsi="Arial"/>
          <w:sz w:val="18"/>
          <w:szCs w:val="18"/>
          <w:i w:val="1"/>
          <w:iCs w:val="1"/>
          <w:color w:val="auto"/>
        </w:rPr>
        <w:t>in vitro</w:t>
      </w:r>
      <w:r>
        <w:rPr>
          <w:rFonts w:ascii="Arial" w:cs="Arial" w:eastAsia="Arial" w:hAnsi="Arial"/>
          <w:sz w:val="18"/>
          <w:szCs w:val="18"/>
          <w:color w:val="auto"/>
        </w:rPr>
        <w: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151130</wp:posOffset>
            </wp:positionV>
            <wp:extent cx="4380230" cy="2408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802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currently conducting preclinical studies to confirm the ability to correct the E342K sequence in existing and enhanced mouse models of AATD. We are also optimizing LNP formulations in mice and in NHPs. These LNPs will encapsulate an mRNA coding for the base editor and the guide RNA targeting the specific SERPINA1 mutation for clinical delivery. The final selected formulation for clinical delivery will then be tested in IND-enabling studies before initiating clinical development in patients with AATD.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Glycogen Storage Disease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Glycogen Storage Disease Type 1a, also known as Von Gierke disease, is an inborn disorder of glucose metabolism caused by mutations in the G6PC gene, which codes for the glucose-6-phosphatase protein, or G6Pase. Deficiencies in G6Pase activity result in hypoglycemia, or low blood glucose levels, which can be fatal if patients do not adhere to a strict regimen of slow-release forms of glucose, administered every one to four hours (including overnight). The inability to release glucose from the liver also leads to the accumulation of a multi-branched form of glucose, known as glycogen, in the liver and kidneys, resulting in functional impairment of these organs. Hepatocellular adenomas are a common sequaele in patients with GSD1a. Research has shown that approximately 10% of individuals with GSD1a, affected by hepatocellular adenomas, are at risk of progressing to malignant hepatocellular carcinomas. GSD1a occurs in approximately 1:100,000 births worldwide.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approaches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are no disease-modifying therapies available for patients with GSD1a. Current approaches to treatment in development include AAV gene therapy and mRNA therapy to add back functional G6PC at the DNA and RNA level, respectively. In addition, gene editing approaches are being developed to correct the G6PC gene. AAV gene therapy to the liver can wane over time leading to uncertain durability of expression, a key concern in a disease for which life-long expression of G6PC in a high proportion of liver cells is needed to control systemic glucose metabolism during fasting periods. In addition, AAV gene therapies lack the endogenous regulation of this critical metabolic enzyme. Furthermore, the ability to treat young children may be limited by the dilution of the transgene as the patients grow. mRNA replacement therapy is being explored but would also require chronic treatment. Lastly, gene editing to correct the G6PC gene has been limited by the low efficiency of HDR.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Direct correction of prevalent GSD1a point mutations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approach to treating patients with GSD1a is to apply base editing via LNP delivery to repair the two most prevalent mutations that cause the disease, R83C and Q347X. It is estimated that these two-point mutations account for 900 and 500 patients, respectively, in the United States, representing approximately 59% of all GSD1a patients. Animal studies have shown that as little as 11% of normal G6Pase activity in liver cells is sufficient to restore fasting glucose; however, this level must be maintained in order to preserve glucose control and alleviate other serious, and potentially fatal, GSD1a sequelae. Our approach to directly correcting these point mutations with base editors has several potential advantages:</w:t>
      </w:r>
    </w:p>
    <w:p>
      <w:pPr>
        <w:spacing w:after="0" w:line="172" w:lineRule="exact"/>
        <w:rPr>
          <w:sz w:val="20"/>
          <w:szCs w:val="20"/>
          <w:color w:val="auto"/>
        </w:rPr>
      </w:pPr>
    </w:p>
    <w:p>
      <w:pPr>
        <w:ind w:left="740" w:right="160" w:hanging="368"/>
        <w:spacing w:after="0" w:line="28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One-time treatment. </w:t>
      </w:r>
      <w:r>
        <w:rPr>
          <w:rFonts w:ascii="Arial" w:cs="Arial" w:eastAsia="Arial" w:hAnsi="Arial"/>
          <w:sz w:val="18"/>
          <w:szCs w:val="18"/>
          <w:color w:val="auto"/>
        </w:rPr>
        <w:t>We believe that base editing has the potential to provide a one-time correction of the disease after transient expression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 editor in hepatocytes.</w:t>
      </w:r>
    </w:p>
    <w:p>
      <w:pPr>
        <w:spacing w:after="0" w:line="161" w:lineRule="exact"/>
        <w:rPr>
          <w:rFonts w:ascii="Arial" w:cs="Arial" w:eastAsia="Arial" w:hAnsi="Arial"/>
          <w:sz w:val="18"/>
          <w:szCs w:val="18"/>
          <w:color w:val="auto"/>
        </w:rPr>
      </w:pPr>
    </w:p>
    <w:p>
      <w:pPr>
        <w:ind w:left="740" w:right="140" w:hanging="368"/>
        <w:spacing w:after="0" w:line="347"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Permanent editing for life-long effect. </w:t>
      </w:r>
      <w:r>
        <w:rPr>
          <w:rFonts w:ascii="Arial" w:cs="Arial" w:eastAsia="Arial" w:hAnsi="Arial"/>
          <w:sz w:val="16"/>
          <w:szCs w:val="16"/>
          <w:color w:val="auto"/>
        </w:rPr>
        <w:t>We believe the correction of the G6PC gene by base editing would be permanent, creating a persistent,</w:t>
      </w:r>
      <w:r>
        <w:rPr>
          <w:rFonts w:ascii="Arial" w:cs="Arial" w:eastAsia="Arial" w:hAnsi="Arial"/>
          <w:sz w:val="16"/>
          <w:szCs w:val="16"/>
          <w:b w:val="1"/>
          <w:bCs w:val="1"/>
          <w:color w:val="auto"/>
        </w:rPr>
        <w:t xml:space="preserve"> </w:t>
      </w:r>
      <w:r>
        <w:rPr>
          <w:rFonts w:ascii="Arial" w:cs="Arial" w:eastAsia="Arial" w:hAnsi="Arial"/>
          <w:sz w:val="16"/>
          <w:szCs w:val="16"/>
          <w:color w:val="auto"/>
        </w:rPr>
        <w:t>life-long genetic modification that would be passed on through cell division during normal growth, enabling treatment of young children.</w:t>
      </w:r>
    </w:p>
    <w:p>
      <w:pPr>
        <w:spacing w:after="0" w:line="115" w:lineRule="exact"/>
        <w:rPr>
          <w:rFonts w:ascii="Arial" w:cs="Arial" w:eastAsia="Arial" w:hAnsi="Arial"/>
          <w:sz w:val="16"/>
          <w:szCs w:val="16"/>
          <w:color w:val="auto"/>
        </w:rPr>
      </w:pPr>
    </w:p>
    <w:p>
      <w:pPr>
        <w:ind w:left="740" w:right="40" w:hanging="368"/>
        <w:spacing w:after="0" w:line="28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Natural regulation. </w:t>
      </w:r>
      <w:r>
        <w:rPr>
          <w:rFonts w:ascii="Arial" w:cs="Arial" w:eastAsia="Arial" w:hAnsi="Arial"/>
          <w:sz w:val="18"/>
          <w:szCs w:val="18"/>
          <w:color w:val="auto"/>
        </w:rPr>
        <w:t>Direct correction of the G6PC gene at its locus would restore the natural control of expression of the G6Pase protein,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needs to be tightly coordinated to maintain effective glucose control during fast and fed cycles.</w:t>
      </w:r>
    </w:p>
    <w:p>
      <w:pPr>
        <w:spacing w:after="0" w:line="16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have identified product candidates that can correct up to 80% of the alleles in cells harboring the Q347X point mutation and approximately 60% of the alleles in cells harboring the R83C mutation as shown in the figures below. Correction of at least 11% is expected to be clinically relevant and potentially disease modifying for GSD1a patients.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1519555</wp:posOffset>
            </wp:positionH>
            <wp:positionV relativeFrom="page">
              <wp:posOffset>226060</wp:posOffset>
            </wp:positionV>
            <wp:extent cx="4517390" cy="2623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51739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current efforts are aimed at confirming the precise correction of the R83C and the Q347X mutations in transgenic mice harboring the specific mutations. In addition, we are optimizing LNP formulations, which will encapsulate an mRNA coding for the base editor and the guide RNA targeting the specific G6PC mutations, for clinical delivery. The final formulation for clinical delivery will be selected and tested in IND-enabling studies before initiating clinical development for GSD1a patients with these specific mutations.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opportunities in non-viral delivery pipeline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Once we have established the ability to deliver base editors via LNPs to hepatocytes, we could potentially advance other base editing liver programs to the clinic quickly. This highlights the versatility and modularity of our platform that potentially enables the creation of new product candidates by merely changing the guide RNA. The development of additional LNP formulations may also unlock tissues beyond the liver.</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Finally, we have entered into a strategic collaboration with Verve Therapeutics to investigate gene editing strategies to modify genes associated with an increased risk of coronary artery diseases, initially focusing on the highest risk patient populations.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delivery for ocular and CNS disorders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Opportunity</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Stargardt disease is an inherited disorder of the central region of the retina, called the macula, which is responsible for sharp, central vision. The disease causes progressive degeneration of the macula, typically resulting in vision loss typically beginning in adolescence, and ultimately leading to central and night vision blindness.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most common form of Stargardt disease is caused by autosomal recessive mutations in the ABCA4 gene, leading to abnormal accumulation of lipofuscin, a fatty yellow pigment, in retinal cells. This biochemical defect eventually leads to the death of photoreceptors, which are the cells that convert light into the electrical signals that are transmitted to the brain.</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most prevalent mutation in the ABCA4 gene that leads to Stargardt disease is the G1961E point mutation. Approximately 5,500 individuals in the United States are affected by this mutation.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approaches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currently no approved therapies for Stargardt disease. Although AAV gene therapy has been shown to be effective in other retinal disorders, the ABCA4 gene cannot be packaged into a single AAV vector due to its large size.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Direct correction of the most prevalent Stargardt mutation</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base editing approach is to repair the G1961E point mutation in the ABCA4 gene. Disease modeling using tiny spot stimuli, or light stimuli through holes that are equivalent in size to a single photoreceptor cell, suggests that only 12%-20% of these cells are sufficient to preserve vision. We anticipate, therefore, that editing percentages in the range of 12%-20% of these cells would be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disease-modifying, since each edited cell will be fully corrected and protected from the biochemical defect. Our base editing approach has several key potential advantages:</w:t>
      </w:r>
    </w:p>
    <w:p>
      <w:pPr>
        <w:spacing w:after="0" w:line="166" w:lineRule="exact"/>
        <w:rPr>
          <w:sz w:val="20"/>
          <w:szCs w:val="20"/>
          <w:color w:val="auto"/>
        </w:rPr>
      </w:pPr>
    </w:p>
    <w:p>
      <w:pPr>
        <w:ind w:left="740" w:right="300" w:hanging="368"/>
        <w:spacing w:after="0" w:line="312"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No limitation of gene size. </w:t>
      </w:r>
      <w:r>
        <w:rPr>
          <w:rFonts w:ascii="Arial" w:cs="Arial" w:eastAsia="Arial" w:hAnsi="Arial"/>
          <w:sz w:val="17"/>
          <w:szCs w:val="17"/>
          <w:color w:val="auto"/>
        </w:rPr>
        <w:t>Because we are editing the gene in its natural environment, we only need to deliver the editor to correct the point</w:t>
      </w:r>
      <w:r>
        <w:rPr>
          <w:rFonts w:ascii="Arial" w:cs="Arial" w:eastAsia="Arial" w:hAnsi="Arial"/>
          <w:sz w:val="17"/>
          <w:szCs w:val="17"/>
          <w:b w:val="1"/>
          <w:bCs w:val="1"/>
          <w:color w:val="auto"/>
        </w:rPr>
        <w:t xml:space="preserve"> </w:t>
      </w:r>
      <w:r>
        <w:rPr>
          <w:rFonts w:ascii="Arial" w:cs="Arial" w:eastAsia="Arial" w:hAnsi="Arial"/>
          <w:sz w:val="17"/>
          <w:szCs w:val="17"/>
          <w:color w:val="auto"/>
        </w:rPr>
        <w:t>mutation. It may be challenging to deliver this large, membrane-bound protein using existing gene therapy approaches.</w:t>
      </w:r>
    </w:p>
    <w:p>
      <w:pPr>
        <w:spacing w:after="0" w:line="139" w:lineRule="exact"/>
        <w:rPr>
          <w:rFonts w:ascii="Arial" w:cs="Arial" w:eastAsia="Arial" w:hAnsi="Arial"/>
          <w:sz w:val="17"/>
          <w:szCs w:val="17"/>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One-time treatment. </w:t>
      </w:r>
      <w:r>
        <w:rPr>
          <w:rFonts w:ascii="Arial" w:cs="Arial" w:eastAsia="Arial" w:hAnsi="Arial"/>
          <w:sz w:val="18"/>
          <w:szCs w:val="18"/>
          <w:color w:val="auto"/>
        </w:rPr>
        <w:t>Our base editor therapy could represent a one-time correction of the disease.</w:t>
      </w:r>
    </w:p>
    <w:p>
      <w:pPr>
        <w:spacing w:after="0" w:line="225" w:lineRule="exact"/>
        <w:rPr>
          <w:rFonts w:ascii="Arial" w:cs="Arial" w:eastAsia="Arial" w:hAnsi="Arial"/>
          <w:sz w:val="18"/>
          <w:szCs w:val="18"/>
          <w:color w:val="auto"/>
        </w:rPr>
      </w:pPr>
    </w:p>
    <w:p>
      <w:pPr>
        <w:ind w:left="740" w:right="140" w:hanging="368"/>
        <w:spacing w:after="0" w:line="282"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Natural regulation. </w:t>
      </w:r>
      <w:r>
        <w:rPr>
          <w:rFonts w:ascii="Arial" w:cs="Arial" w:eastAsia="Arial" w:hAnsi="Arial"/>
          <w:sz w:val="18"/>
          <w:szCs w:val="18"/>
          <w:color w:val="auto"/>
        </w:rPr>
        <w:t>Direct correction of the ABCA4 gene would benefit from normal endogenous regulation, restoring normal production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levels of the ABCA4 protein, which is critical for eliminating a key toxic metabolic byproduct in photoreceptor cells.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identified a base editor that is able to edit approximately 45% of the alleles in recombinant cells carrying the human mutated sequence,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142875</wp:posOffset>
            </wp:positionV>
            <wp:extent cx="2185670" cy="1877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8567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Given that the base editor is larger than the packaging capacity of a single AAV, we use a split AAV system that delivers the base editor via two AAV vectors. Once inside the cell, the two halves of the editor are recombined to create a functional base editor. As shown in the figure below, in human retinal pigment epithelial cells, or ARPE-19 cells, we have demonstrated approximately 50% editing of a surrogate base positioned immediately adjacent to the target base, which would be present in a diseased cell. If edited, this surrogate base would result in a synonymous change (i.e., no change to the amino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154305</wp:posOffset>
            </wp:positionV>
            <wp:extent cx="2185670" cy="1979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8567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will progress towards clinical studies by testing the AAV split editors in non-human primate studies, where the editors will be delivered via sub-retinal injection to mimic the anticipated route of administration in the clinic. A retinal-specific protomer is also being tested to express the editor in the retina and minimize expression in other organs, in case of leakage. We also plan to test the editor for editing efficiency in human retinal organoids. We will subsequently conduct IND-enabling studies before initiating clinical development in Stargardt patients carrying the G1961E mutation. Finally, we are exploring the development of base editing of additional commonly occurring point mutations in Stargardt to expand the addressable patient population.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Expansion opportunities in viral delivery pipeline</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Once we have established delivery to the eye of a base editor in an AAV, there are several other diseases of the eye where our editing technologies could be applied. By merely changing the guide RNA, we may be able to rapidly create new product candidates using the same AAV production and delivery approaches pioneered in the Stargardt program.</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ability to deliver base editors with AAV may also open up therapeutic opportunities in other tissues where AAV has been a clinically validated delivery approach. Beyond the eye, we are investigating the opportunity to edit numerous genes responsible for certain diseases of the CNS.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pharmaceutical and biotechnology industries, including the gene therapy and gene editing fields,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including Sangamo Biosciences, Precision BioSciences, and bluebird bio. In addition, we face competition from companies utilizing gene therapy, oligonucleotides, and CAR-T therapeutic approaches.</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Arial" w:cs="Arial" w:eastAsia="Arial" w:hAnsi="Arial"/>
          <w:sz w:val="16"/>
          <w:szCs w:val="16"/>
          <w:i w:val="1"/>
          <w:iCs w:val="1"/>
          <w:color w:val="auto"/>
        </w:rPr>
        <w:t>Risk factors—Risks related to our intellectual property</w:t>
      </w:r>
      <w:r>
        <w:rPr>
          <w:rFonts w:ascii="Arial" w:cs="Arial" w:eastAsia="Arial" w:hAnsi="Arial"/>
          <w:sz w:val="16"/>
          <w:szCs w:val="16"/>
          <w:color w:val="auto"/>
        </w:rPr>
        <w:t>,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and our in-licensed patents and patent applications cover various aspects of our base editing platform and our programs, including:</w:t>
      </w:r>
    </w:p>
    <w:p>
      <w:pPr>
        <w:spacing w:after="0" w:line="248"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C-to-T DNA base editors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A-to-G DNA base editors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A-to-I RNA base editors, or REPAIR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C-to-U RNA base editors, or RESCUE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CRISPR/Cas12b systems for nuclease editing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Novel guide RNA sequences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Systems and methods for increasing the specificity of base editing</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Multiplex base editing in immune cells </w:t>
      </w:r>
      <w:r>
        <w:rPr>
          <w:rFonts w:ascii="Arial" w:cs="Arial" w:eastAsia="Arial" w:hAnsi="Arial"/>
          <w:sz w:val="18"/>
          <w:szCs w:val="18"/>
          <w:i w:val="1"/>
          <w:iCs w:val="1"/>
          <w:color w:val="auto"/>
        </w:rPr>
        <w:t>ex vivo</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Methods for evaluating base editing specificity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Therapeutic methods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modality</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We also intend to obtain rights to delivery modalities through one or more licenses from third parties and to protect our own intellectual property to delivery modalities.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 of December 31, 2019, we owned approximately 31 pending U.S. provisional patent applications and approximately eight pending international patent applications, or PCT applications. Our owned patent applications are related to our DNA base editing technology, including claims to base editor variants with enhanced activities (e.g., nucleobase deaminating activity) or novel properties (e.g., PAM recognition), methods of using such base editors, methods of using such base editors for therapeutic indications, multiplex base editing in immune cells </w:t>
      </w:r>
      <w:r>
        <w:rPr>
          <w:rFonts w:ascii="Arial" w:cs="Arial" w:eastAsia="Arial" w:hAnsi="Arial"/>
          <w:sz w:val="16"/>
          <w:szCs w:val="16"/>
          <w:i w:val="1"/>
          <w:iCs w:val="1"/>
          <w:color w:val="auto"/>
        </w:rPr>
        <w:t>ex vivo</w:t>
      </w:r>
      <w:r>
        <w:rPr>
          <w:rFonts w:ascii="Arial" w:cs="Arial" w:eastAsia="Arial" w:hAnsi="Arial"/>
          <w:sz w:val="16"/>
          <w:szCs w:val="16"/>
          <w:color w:val="auto"/>
        </w:rPr>
        <w:t>, guide RNAs that target base editors to therapeutically relevant DNA sequences, and methods for evaluating base editing specificity. One of these PCT applications is co-owned with Broad Institute and President and Fellows of Harvard College, or Harvard. If issued as U.S. patents, and if the appropriate maintenance fees are paid, the U.S. patents would be expected to expire between 2039 and 2040, excluding any additional term for patent term adjustments or patent term extensions.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DNA base editing</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As of December 31, 2019, we in-licensed approximately 17 U.S. patents, approximately 26 pending U.S. patent applications, three pending PCT applications, nine ex-U.S. patents, and 126 pending ex-U.S. patent applications, related to DNA base editing from Broad Institute, Harvard, Editas Medicine Inc., or Editas, and Bio Palette Co., Ltd., or Bio Palette. The patents and patent applications outside of the United States were filed primarily in Europe, Japan, and China, although some of our in-licensed patent families were filed in a larger number of countries.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guide RNAs that target base editors to therapeutically relevant DNA sequences. The in-licensed patents and applications also cover various aspects related to the platform technology, including base editing systems that employ </w:t>
      </w:r>
      <w:r>
        <w:rPr>
          <w:rFonts w:ascii="Arial" w:cs="Arial" w:eastAsia="Arial" w:hAnsi="Arial"/>
          <w:sz w:val="16"/>
          <w:szCs w:val="16"/>
          <w:i w:val="1"/>
          <w:iCs w:val="1"/>
          <w:color w:val="auto"/>
        </w:rPr>
        <w:t>S. pyogenes</w:t>
      </w:r>
      <w:r>
        <w:rPr>
          <w:rFonts w:ascii="Arial" w:cs="Arial" w:eastAsia="Arial" w:hAnsi="Arial"/>
          <w:sz w:val="16"/>
          <w:szCs w:val="16"/>
          <w:color w:val="auto"/>
        </w:rPr>
        <w:t xml:space="preserve"> Cas9, </w:t>
      </w:r>
      <w:r>
        <w:rPr>
          <w:rFonts w:ascii="Arial" w:cs="Arial" w:eastAsia="Arial" w:hAnsi="Arial"/>
          <w:sz w:val="16"/>
          <w:szCs w:val="16"/>
          <w:i w:val="1"/>
          <w:iCs w:val="1"/>
          <w:color w:val="auto"/>
        </w:rPr>
        <w:t>S.</w:t>
      </w:r>
    </w:p>
    <w:p>
      <w:pPr>
        <w:spacing w:after="0" w:line="1"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i w:val="1"/>
          <w:iCs w:val="1"/>
          <w:color w:val="auto"/>
        </w:rPr>
        <w:t xml:space="preserve">aureus </w:t>
      </w:r>
      <w:r>
        <w:rPr>
          <w:rFonts w:ascii="Arial" w:cs="Arial" w:eastAsia="Arial" w:hAnsi="Arial"/>
          <w:sz w:val="17"/>
          <w:szCs w:val="17"/>
          <w:color w:val="auto"/>
        </w:rPr>
        <w:t>Cas9, Cas9 PAM variants, inactive forms of Cas9, and/or Cas9 nickases, and systems for delivery of base editors. Our current in-licensed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patent applications on DNA base editing, if the appropriate maintenance fees are paid, are expected to expire between 2034 and 2038, excluding any additional term for patent term adjustments or patent term extensions (or the corresponding foreign equivalent).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Base Editing</w:t>
      </w:r>
    </w:p>
    <w:p>
      <w:pPr>
        <w:spacing w:after="0" w:line="11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As of December 31, 2019, we in-licensed approximately nine pending U.S. patent applications, five pending PCT applications, and 25 pending ex-U.S. patent applications, related to RNA base editing from Broad Institute. The patents and patent applications outside of the United States were filed in Australia, Canada, Europe, and Russia.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Our current in-licensed patents and patent applications on RNA base editing, if the appropriate maintenance fees are paid, are expected to expire between 2036 and 2038, excluding any additional term for patent term adjustments or patent term extensions (or the corresponding foreign equivalent).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CRISPR/Cas12b</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December 31, 2019, we in-licensed approximately one pending U.S. patent applications, four pending PCT applications, and four pending ex-U.S. patent applications, related to editing using Cas12b from Broad Institute. The patents and patent applications outside of the United States were filed in Australia, Canada, Europe, and Russia. The patents and applications from our in-licensed portfolio for Cas12b editing include claims to methods of using Cas12b to modify DNA (e.g., nuclease cleavage of DNA) and engineered and/or non-naturally occurring compositions including Cas12b as a component. Our current in-licensed patents and patent applications on Cas12b base editing, if the appropriate maintenance fees are paid, are expected to expire between 2036 and 2039, excluding any additional term for patent term adjustments or patent term extensions (or the corresponding foreign equivalent).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Rest of platform</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of December 31, 2019, we in-licensed approximately ten U.S. patents, approximately 12 pending U.S. patent applications, one pending PCT application, four ex-U.S. patents, and 60 pending ex-U.S. patent applications, related to the balance of our platform from universities and institutions. The patents and patent applications outside of the United States were filed primarily in Europe, Japan, and China, although some of our in-licensed patent families were filed in a larger number of countries.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on the balance of our platform, if the appropriate maintenance fees are paid, are expected to expire between 2034 and 2039, excluding any additional term for patent term adjustments or patent term extensions (or the corresponding foreign equivalent).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CRISPR/Cas9 and CRISPR/Cas12a</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We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Arial" w:cs="Arial" w:eastAsia="Arial" w:hAnsi="Arial"/>
          <w:sz w:val="17"/>
          <w:szCs w:val="17"/>
          <w:i w:val="1"/>
          <w:iCs w:val="1"/>
          <w:color w:val="auto"/>
        </w:rPr>
        <w:t>Business—Intellectual property—Intellectual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licenses </w:t>
      </w:r>
      <w:r>
        <w:rPr>
          <w:rFonts w:ascii="Arial" w:cs="Arial" w:eastAsia="Arial" w:hAnsi="Arial"/>
          <w:sz w:val="17"/>
          <w:szCs w:val="17"/>
          <w:color w:val="auto"/>
        </w:rPr>
        <w:t>and Item 1A.,</w:t>
      </w:r>
      <w:r>
        <w:rPr>
          <w:rFonts w:ascii="Arial" w:cs="Arial" w:eastAsia="Arial" w:hAnsi="Arial"/>
          <w:sz w:val="17"/>
          <w:szCs w:val="17"/>
          <w:i w:val="1"/>
          <w:iCs w:val="1"/>
          <w:color w:val="auto"/>
        </w:rPr>
        <w:t xml:space="preserve"> Risk factors—Risks related to our intellectual property</w:t>
      </w:r>
      <w:r>
        <w:rPr>
          <w:rFonts w:ascii="Arial" w:cs="Arial" w:eastAsia="Arial" w:hAnsi="Arial"/>
          <w:sz w:val="17"/>
          <w:szCs w:val="17"/>
          <w:color w:val="auto"/>
        </w:rPr>
        <w:t>, in this Annual Report on Form 10-K.</w:t>
      </w:r>
    </w:p>
    <w:p>
      <w:pPr>
        <w:spacing w:after="0" w:line="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Arial" w:cs="Arial" w:eastAsia="Arial" w:hAnsi="Arial"/>
          <w:sz w:val="16"/>
          <w:szCs w:val="16"/>
          <w:i w:val="1"/>
          <w:iCs w:val="1"/>
          <w:color w:val="auto"/>
        </w:rPr>
        <w:t>.</w:t>
      </w:r>
      <w:r>
        <w:rPr>
          <w:rFonts w:ascii="Arial" w:cs="Arial" w:eastAsia="Arial" w:hAnsi="Arial"/>
          <w:sz w:val="16"/>
          <w:szCs w:val="16"/>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our Intellectual property</w:t>
      </w:r>
      <w:r>
        <w:rPr>
          <w:rFonts w:ascii="Arial" w:cs="Arial" w:eastAsia="Arial" w:hAnsi="Arial"/>
          <w:sz w:val="16"/>
          <w:szCs w:val="16"/>
          <w:color w:val="auto"/>
        </w:rPr>
        <w:t>, in this Annual Report on Form 10-K.</w:t>
      </w:r>
    </w:p>
    <w:p>
      <w:pPr>
        <w:spacing w:after="0" w:line="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intellectual property</w:t>
      </w:r>
      <w:r>
        <w:rPr>
          <w:rFonts w:ascii="Arial" w:cs="Arial" w:eastAsia="Arial" w:hAnsi="Arial"/>
          <w:sz w:val="17"/>
          <w:szCs w:val="17"/>
          <w:color w:val="auto"/>
        </w:rPr>
        <w:t>, in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owned two trademark applications for BEAM THERAPEUTICS with the Patent and Trademark Office.</w:t>
      </w:r>
    </w:p>
    <w:p>
      <w:pPr>
        <w:spacing w:after="0" w:line="117" w:lineRule="exact"/>
        <w:rPr>
          <w:sz w:val="20"/>
          <w:szCs w:val="20"/>
          <w:color w:val="auto"/>
        </w:rPr>
      </w:pPr>
    </w:p>
    <w:p>
      <w:pPr>
        <w:ind w:right="960"/>
        <w:spacing w:after="0" w:line="344" w:lineRule="auto"/>
        <w:rPr>
          <w:sz w:val="20"/>
          <w:szCs w:val="20"/>
          <w:color w:val="auto"/>
        </w:rPr>
      </w:pPr>
      <w:r>
        <w:rPr>
          <w:rFonts w:ascii="Arial" w:cs="Arial" w:eastAsia="Arial" w:hAnsi="Arial"/>
          <w:sz w:val="16"/>
          <w:szCs w:val="16"/>
          <w:color w:val="auto"/>
        </w:rPr>
        <w:t>As of December 31, 2019, we in-licensed five registered ex-U.S. trademarks, 18 trademark applications, including approximately two pending U.S. trademark applications and 16 pending ex-U.S. trademark applications, for the use of REPAIR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RESCUE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from Broad Institute.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President and Fellows of Harvard College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June 2017, we entered into a license agreement with Harvard, and, in December 2017, we entered into an amendment to such license agreement, pursuant to which we received an exclusive, worldwide, royalty-bearing, sublicensable license under certain patent rights owned or controlled by Harvard to make, have made, offer for sale, sell, have sold and import products in the field of the prevention or treatment of any and all human diseases and conditions, excluding human germline modification and products for non-human animal and plant applications. We refer to this license agreement as the Harvard License Agreement.</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licensed patents are directed, among other things, to C-to-T, A-to-G, and C-to-G base editors, for the treatment of certain diseases and conditions and to base editing, more generally.</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in our discretion to better position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terminate the Harvard License Agreement, subject to certain exceptions and opportunities for us to cure such failure. Additionally, we are required to initiate a discovery program in accordance with the development plan and development milestones for the development of a licensed product covered by certain sub-categories of licensed patents.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the we do not have plans to seek regulatory approval.</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licenses granted to us under the Harvard License Agreement are exclusive, Harvard may grant a license to a third party under the licensed patents to research, develop, and commercialize a product directed to a particular target, or a proposed product, in the field under limited circumstances. If a third party that is not a specified competitor of ours inquires with Harvard for such a license, attempts to enter into a sublicense agreement with us and fails to do so after a certain period of time and presents to Harvard a proposal including certain information describing the proposed development and commercialization of such a proposed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collaboration partners who are working with us to develop one or more licensed products. In addition, any such sublicense agreement must include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certain customary provisions to ensure our ability to comply with the Harvard License Agreement. We are also responsible for any breaches of a sublicense agreement by the applicable sublicensee, if such breach results in a material breach of the Harvard License Agreement.</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subject to our receipt of regulatory approval in the United States, Japan and the European Union, or EU. If we undergo a change of control during the term of the Harvard License Agreement, then certain of the milestone payments would be increased. We paid Harvard a total of $9.0 million upon the completion of our Series A and Series B financings. We may additionally owe Harvard success payments ranging from $5.0 million to a maximum total of $105.0 million.</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 cure period for us to terminate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between 10% and 20% depending on the date in which such sublicense agreement is executed and the stage of development our licensed products at such time.</w:t>
      </w:r>
    </w:p>
    <w:p>
      <w:pPr>
        <w:spacing w:after="0" w:line="7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6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Unless earlier terminated, the Harvard License Agreement will remain in effect until the later of the last-to-expire valid claim of a licensed patent covering our licensed products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Upon expiration or termination of the Harvard License Agreement, the licenses granted to us will terminate and all rights under the licensed patent rights will revert to Harvard.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Editas Medicine, Inc.</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2018, we entered into a license agreement with Editas pursuant to which we received an exclusive (even as to Editas), royalty-bearing, sublicenseable, worldwide license under certain patent rights owned or controlled by Editas related to certain base editing technologies and CRISPR technology to develop, commercialize, make, have made, use, offer for sale, sell and import base editing products for the treatment of human diseases or conditions. We refer to this license agreement as the Editas License Agreement. The license we received is non-exclusive with respect to certain specified targets. Our licensed field excludes the treatment of certain diseases and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non-sublicenseable, non-exclusive license under a separate set of patent rights owned or controlled by Editas to conduct research activities in our licensed field and for which we have an option to obtain an exclusive license from Editas.</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ind w:right="280"/>
        <w:spacing w:after="0" w:line="263" w:lineRule="auto"/>
        <w:rPr>
          <w:sz w:val="20"/>
          <w:szCs w:val="20"/>
          <w:color w:val="auto"/>
        </w:rPr>
      </w:pPr>
      <w:r>
        <w:rPr>
          <w:rFonts w:ascii="Arial" w:cs="Arial" w:eastAsia="Arial" w:hAnsi="Arial"/>
          <w:sz w:val="18"/>
          <w:szCs w:val="18"/>
          <w:color w:val="auto"/>
        </w:rPr>
        <w:t>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Under the Editas License Agreement, we are required to use commercially reasonable efforts to develop a licensed product in our licensed field in each of the United States, Japan, the United Kingdom, or U.K., Germany, France, Italy and Spain, including filing the first IND for a licensed product within a certain period of time following the execution of the Editas License Agreement.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the upfront fee we paid to Editas, our issuance of Series A-1 Preferred Stock and Series A-2 Preferred Stock to Editas, or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licensed product-by-licensed product and country-by-country basis upon the later of</w:t>
      </w:r>
    </w:p>
    <w:p>
      <w:pPr>
        <w:spacing w:after="0" w:line="2" w:lineRule="exact"/>
        <w:rPr>
          <w:sz w:val="20"/>
          <w:szCs w:val="20"/>
          <w:color w:val="auto"/>
        </w:rPr>
      </w:pPr>
    </w:p>
    <w:p>
      <w:pPr>
        <w:ind w:right="20" w:firstLine="8"/>
        <w:spacing w:after="0" w:line="255"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Editas is responsible for the prosecution and maintenance of all licensed patents, provided that we have certain information, comment, and review rights for certain of the licensed patents.</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following written notice to Editas.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Agreement, we can elect to reduce our royalty payment obligations under the Editas License Agreement by certain specified percentages.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Broad Institute, Inc.</w:t>
      </w:r>
    </w:p>
    <w:p>
      <w:pPr>
        <w:spacing w:after="0" w:line="11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May 2018, our affiliate, Blink Therapeutics Inc., or Blink, entered into a license agreement with Broad Institute and, in September 2018, Blink and Broad Institute entered into an amendment to such License Agreement. Under the Broad License Agreement, Blink is granted certain rights to RNA base editing technology, including the RNA editor platforms RESCUE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REPAIR</w:t>
      </w:r>
      <w:r>
        <w:rPr>
          <w:rFonts w:ascii="Arial" w:cs="Arial" w:eastAsia="Arial" w:hAnsi="Arial"/>
          <w:sz w:val="25"/>
          <w:szCs w:val="25"/>
          <w:color w:val="auto"/>
          <w:vertAlign w:val="superscript"/>
        </w:rPr>
        <w:t>™</w:t>
      </w:r>
      <w:r>
        <w:rPr>
          <w:rFonts w:ascii="Arial" w:cs="Arial" w:eastAsia="Arial" w:hAnsi="Arial"/>
          <w:sz w:val="17"/>
          <w:szCs w:val="17"/>
          <w:color w:val="auto"/>
        </w:rPr>
        <w:t>, which use Cas13 linked to a deaminase to deliver single base A-to-I or C-to-U editing of RNA transcripts, respectively, as well as the Cas12b nuclease family of gene editing enzymes.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 specifically, under the Broad License Agreement, Broad Institute granted Blink an exclusive license under certain patent rights to the extent owned or controlled by Broad Institute (including via an interinstitutional agreement with the Massachusetts Institute of Technology, or MIT, and Harvard) comprising of (i) an exclusive license under certain patent rights claiming or disclosing novel CRISPR enzymes and systems (including those related to DNA cleaving) or systems, methods and compositions for targeted nucleic acid editing, in each case to exploit products covered by such patents, (ii) an exclusive license under certain product-specific patent rights claiming or disclosing novel CRISPR enzymes and systems, methods and compositions for targeted nucleic acid editing, in each case to exploit base editor products covered by such patents and (iii) an exclusive license under certain patent rights generally related to gene targeting to exploit base editor products covered by such patents.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Broad License Agreement, Blink has also been granted (i) a non-exclusive license under all patents exclusively licensed to Blink under the Broad License Agreement to exploit certain products in our field that were made, discovered, developed or determined to have utility through the use of such patents in a research or discovery program commencing before May 2021 or through the use of transferred materials from Broad Institute but that are not covered by the licensed patents and (ii) a non-exclusive internal research license under all patents exclusively licensed to Blink. All licenses granted to Blink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Broad License Agreement, Blink is required to use commercially reasonable efforts to develop licensed products in accordance with a development plan that Blink prepared and submitted to Broad Institute. The development plan includes certain development milestones that Blink is required to meet, as well as the timelines for the completion thereof, and Blink may update the development plan from time to time if Blink believes, in its good faith judgment, that such update is needed in order to improve Blink’s ability to meet such development milestones. Blink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Blink is successfully able to gain regulatory approval in any country to introduce a licensed product into the commercial market in such country, then Blink is also required to use commercially reasonable efforts to commercialize such licensed product and make such licensed product reasonably available to the public.</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Additionally, Blink is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Blink fails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Blink’s rights with respect to gene targeting licensed patents shall convert to non-exclusive so that such rights may be licensed for use to such terminated base editor licensed patents.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 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Blink of the request and requester, and the nature of the specific proposed product. Broad Institute is not required to share any other information provided by the requester to Blink in connection with the inclusive innovation model. If Blink is not researching, developing or commercializing such a proposed product, then Blink can notify Broad Institute as to whether in good faith it is interested in developing such proposed product, entering into a sublicense agreement with such requesting third party to develop such proposed product, or entering into a sublicense with another third party to develop such proposed product. If Blink informs Broad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00"/>
        <w:spacing w:after="0" w:line="254" w:lineRule="auto"/>
        <w:rPr>
          <w:sz w:val="20"/>
          <w:szCs w:val="20"/>
          <w:color w:val="auto"/>
        </w:rPr>
      </w:pPr>
      <w:r>
        <w:rPr>
          <w:rFonts w:ascii="Arial" w:cs="Arial" w:eastAsia="Arial" w:hAnsi="Arial"/>
          <w:sz w:val="18"/>
          <w:szCs w:val="18"/>
          <w:color w:val="auto"/>
        </w:rPr>
        <w:t>Institute that it is interested in developing such proposed product, then Blink will prepare a development plan, similar in scope to the development plan under the Broad License Agreement, to develop such proposed product and must commence the development program for such proposed product within a specified period. If Blink informs Broad Institute that it is interested in entering into a sublicense agreement pursuant to which the inquiring third party or another third party would receive a sublicense from Blink under the licensed patents to develop such proposed product, then Blink may enter into such a sublicense agreement and provide reasonable evidence thereof during the period. If Blink declines to conduct the foregoing activities or does not complete such activities within the specified period, which period is reduced by the period of time the requesting third party has previously negotiated with Blink, then Broad Institute may grant a license to the applicable third party under the licensed patents to research, develop, and commercialize such proposed product.</w:t>
      </w:r>
    </w:p>
    <w:p>
      <w:pPr>
        <w:spacing w:after="0" w:line="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Blink is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Blink’s ability to comply with the Broad License Agreement. Blink is also responsible for any breaches of a sublicense agreement by the applicable sublicensee and is responsible for all payments due under the Broad License Agreement by operation of any such sublicense.</w:t>
      </w:r>
    </w:p>
    <w:p>
      <w:pPr>
        <w:spacing w:after="0" w:line="4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Broad License Agreement, Blink is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We paid Broad Institute a total of $9.0 million upon the completion of our Series A and Series B financings. Blink may additionally owe Broad Institute success payments ranging from $5.0 million to a maximum total of $105.0 million.</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Blink is also required to pay royalties in the low single digits for products covered by the licensed patents with such royalty reduced by a certain percentage for products enabled by the licensed patents, but not covered by the licensed patents. The royalty rate payable by Blink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Blink sublicenses its rights to develop or commercialize a licensed product under the Broad License Agreement to a third party and receives non-royalty sublicense income, then Broad Institute is entitled to a percentage of such consideration, ranging from the high single digits to an amount between 10% and 20%, dependent on the development stage of products under the Broad License Agreement at the time of sublicense execution.</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Broad Institute is responsible for the prosecution and maintenance of all licensed patents, provided that Blink has certain consultation, comment, and review rights with respect to such prosecution and maintenance activities of exclusively licensed patent rights.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earlier terminated, the Broad License Agreement will remain in effect until the later of the last-to-expire valid claim of a licensed patent covering our licensed products or the end of the last to expire royalty term. Blink may terminate the Broad License Agreement for its convenience following written notice to Broad Institute. Either party may terminate the Broad License Agreement for a material breach of the other party, subject to a notice and cure period. Broad Institute may also terminate the Broad License Agreement in the event of Blink’s bankruptcy or insolvency, if Blink fails to procure and maintain insurance or if Blink, its affiliates or sublicensees bringing patent challenges relating to any licensed patents (subject to a cure period for Blink to terminate the sublicensee that has taken the applicable action).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Bio Palette Co., Ltd.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27, 2019, we entered into a license agreement with Bio Palette Co., Ltd., or Bio Palette, pursuant to which we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We refer to this agreement as the Bio Palette License Agreement. In addition, we granted Bio Palette an exclusive (even as to Beam) license under certain patent rights related to base editing and gene editing owned or controlled by Beam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Bio Palette comes into the control of any other patent right that is useful within a certain defined field and intends to grant a license under that patent right in certain defined fields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320"/>
        <w:spacing w:after="0" w:line="342" w:lineRule="auto"/>
        <w:rPr>
          <w:sz w:val="20"/>
          <w:szCs w:val="20"/>
          <w:color w:val="auto"/>
        </w:rPr>
      </w:pPr>
      <w:r>
        <w:rPr>
          <w:rFonts w:ascii="Arial" w:cs="Arial" w:eastAsia="Arial" w:hAnsi="Arial"/>
          <w:sz w:val="16"/>
          <w:szCs w:val="16"/>
          <w:color w:val="auto"/>
        </w:rPr>
        <w:t>As part of the agreement, if we form a Scientific Advisory Board, then Bio Palette will have the right to appoint two representatives to such board for a period of five years. Additionally, we and Bio Palette agree to communicate with each other regarding potential base editing collaborations in Japan.</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in the microbiome field in Asia that receives regulatory approval, Bio Palette is required to use commercially reasonable efforts to commercialize such licensed product in the relevant country.</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and Bio Palette are both permitted to sublicense the licensed patents to affiliates and third parties, provided that the applicable terms of the Bio Palette License Agreement and the applicable head licenses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Upon the execution of the Bio Palette License Agreement, we paid Bio Palette an upfront fee of $500,000. If a certain Bio Palette patent issues in the United States, we will pay an additional amount in the low seven figures and will issue to Bio Palette an additional number of shares of the Company’s common stock in the five figures.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are responsible for the prosecution and maintenance of patents licensed by us to Bio Palette.</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currently have no manufacturing capabilities. For our initial wave of clinical programs, we intend to use CMOs with relevant manufacturing experience in genetic medicines. We partnered with a CMO that has long-standing experience in manufacturing guide RNAs under GMP standards. We have also identified CMOs for manufacturing of all other components of our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Failure to comply with the applicable regulatory requirements at any time during the product development process or post-approval may subject an applicant for marketing approval to delays in development or approval, as well as administrative and judicial sanctions.</w:t>
      </w:r>
    </w:p>
    <w:p>
      <w:pPr>
        <w:spacing w:after="0" w:line="5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drug and biological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120"/>
        <w:spacing w:after="0" w:line="259" w:lineRule="auto"/>
        <w:rPr>
          <w:sz w:val="20"/>
          <w:szCs w:val="20"/>
          <w:color w:val="auto"/>
        </w:rPr>
      </w:pPr>
      <w:r>
        <w:rPr>
          <w:rFonts w:ascii="Arial" w:cs="Arial" w:eastAsia="Arial" w:hAnsi="Arial"/>
          <w:sz w:val="18"/>
          <w:szCs w:val="18"/>
          <w:color w:val="auto"/>
        </w:rPr>
        <w:t>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 We cannot predict whether legislative changes will be enacted or if regulatory authorities’ guidance or interpretations will 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Licensure and regulation of biologics in the United States</w:t>
      </w:r>
    </w:p>
    <w:p>
      <w:pPr>
        <w:spacing w:after="0" w:line="117"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170" w:lineRule="exact"/>
        <w:rPr>
          <w:sz w:val="20"/>
          <w:szCs w:val="20"/>
          <w:color w:val="auto"/>
        </w:rPr>
      </w:pPr>
    </w:p>
    <w:p>
      <w:pPr>
        <w:ind w:left="740" w:right="60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regulations;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236" w:lineRule="exact"/>
        <w:rPr>
          <w:rFonts w:ascii="Arial" w:cs="Arial" w:eastAsia="Arial" w:hAnsi="Arial"/>
          <w:sz w:val="17"/>
          <w:szCs w:val="17"/>
          <w:color w:val="auto"/>
        </w:rPr>
      </w:pPr>
    </w:p>
    <w:p>
      <w:pPr>
        <w:ind w:left="740" w:right="26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170" w:lineRule="exact"/>
        <w:rPr>
          <w:rFonts w:ascii="Arial" w:cs="Arial" w:eastAsia="Arial" w:hAnsi="Arial"/>
          <w:sz w:val="18"/>
          <w:szCs w:val="18"/>
          <w:color w:val="auto"/>
        </w:rPr>
      </w:pPr>
    </w:p>
    <w:p>
      <w:pPr>
        <w:ind w:left="740" w:right="26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225" w:lineRule="exact"/>
        <w:rPr>
          <w:rFonts w:ascii="Arial" w:cs="Arial" w:eastAsia="Arial" w:hAnsi="Arial"/>
          <w:sz w:val="18"/>
          <w:szCs w:val="18"/>
          <w:color w:val="auto"/>
        </w:rPr>
      </w:pPr>
    </w:p>
    <w:p>
      <w:pPr>
        <w:ind w:left="740" w:hanging="368"/>
        <w:spacing w:after="0" w:line="279"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third parties, at which the product, or components thereof, are produced to assess compliance with current Good Manufacturing Practices, or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171" w:lineRule="exact"/>
        <w:rPr>
          <w:rFonts w:ascii="Arial" w:cs="Arial" w:eastAsia="Arial" w:hAnsi="Arial"/>
          <w:sz w:val="17"/>
          <w:szCs w:val="17"/>
          <w:color w:val="auto"/>
        </w:rPr>
      </w:pPr>
    </w:p>
    <w:p>
      <w:pPr>
        <w:ind w:left="740" w:right="10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GCPs and the integrity of clinical data in support of the BLA;</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the application fee under the Prescription Drug User Free Act, or PDUFA, unless exempted; and</w:t>
      </w:r>
    </w:p>
    <w:p>
      <w:pPr>
        <w:spacing w:after="0" w:line="225" w:lineRule="exact"/>
        <w:rPr>
          <w:rFonts w:ascii="Arial" w:cs="Arial" w:eastAsia="Arial" w:hAnsi="Arial"/>
          <w:sz w:val="18"/>
          <w:szCs w:val="18"/>
          <w:color w:val="auto"/>
        </w:rPr>
      </w:pPr>
    </w:p>
    <w:p>
      <w:pPr>
        <w:ind w:left="740" w:right="320" w:hanging="368"/>
        <w:spacing w:after="0" w:line="30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including applicable Good Laboratory Practices requirements. The results of the preclinical tests, together with manufacturing information and analytical data, are submitted to the FDA as part of an IND application.</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IND is an exemption from the FDCA that allows an unapproved drug or biological product to be shipped in interstate commerce for use in an investigational clinical trial. The IND seeks FDA authorization to test the drug or biological product candidate in humans and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Preclinical or nonclinical testing typically continues even after the IND is submitted.</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FDA may, at any time during the initial 30-day IND review period or while clinical trials are ongoing under the IND, impose a partial or complete clinical hold based on concerns for patient safety and/or noncompliance with regulatory requirements. This order issued by the FDA would delay a proposed clinical study or cause suspension of an ongoing study until all outstanding concerns have been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adequately addressed, and the FDA has notified the company that investigations may proceed. Imposition of a clinical hold could cause significant delays or difficulties in completing planned clinical studies in a timely manner.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6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FDA regulatory requirements in order to use the trial as support for an IND or application for marketing approval in the U.S. Specifically, the FDA requires that such trials be conducted in accordance with GCP requirements intended to ensure the protection of human subjects and the quality and integrity of the study data, including requirements for review and approval by an independent ethics committee and obtaining subjects’ informed consent.</w:t>
      </w:r>
    </w:p>
    <w:p>
      <w:pPr>
        <w:spacing w:after="0" w:line="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subject to review and approval of an Institutional Biosafety Committee, or IBC, in accordance with NIH Guidelines for Research Involving Recombinant or Synthetic Nucleic Acid Molecules.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170" w:lineRule="exact"/>
        <w:rPr>
          <w:sz w:val="20"/>
          <w:szCs w:val="20"/>
          <w:color w:val="auto"/>
        </w:rPr>
      </w:pPr>
    </w:p>
    <w:p>
      <w:pPr>
        <w:ind w:left="740" w:right="500" w:hanging="368"/>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186" w:lineRule="exact"/>
        <w:rPr>
          <w:rFonts w:ascii="Arial" w:cs="Arial" w:eastAsia="Arial" w:hAnsi="Arial"/>
          <w:sz w:val="18"/>
          <w:szCs w:val="18"/>
          <w:color w:val="auto"/>
        </w:rPr>
      </w:pPr>
    </w:p>
    <w:p>
      <w:pPr>
        <w:jc w:val="both"/>
        <w:ind w:left="740" w:right="300" w:hanging="368"/>
        <w:spacing w:after="0" w:line="311"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48" w:lineRule="exact"/>
        <w:rPr>
          <w:rFonts w:ascii="Arial" w:cs="Arial" w:eastAsia="Arial" w:hAnsi="Arial"/>
          <w:sz w:val="16"/>
          <w:szCs w:val="16"/>
          <w:color w:val="auto"/>
        </w:rPr>
      </w:pPr>
    </w:p>
    <w:p>
      <w:pPr>
        <w:ind w:left="740" w:right="80" w:hanging="368"/>
        <w:spacing w:after="0" w:line="275"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the FDA may approve a BLA for a product candidate but require the sponsor to conduct additional clinical trials to further assess the product candidate’s safety or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genome editing products, and up to five years for AAV vectors. FDA recommends that these long-term follow-up studies include, at a minimum, five years of annual physical examinations followed by annual queries, either in-person or by phone or written questionnaire, for the remaining observation period.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to FDA outlining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applicant may request an amendment to the plan at any time.</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applicant,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certain clinical trials must be submitted within specific timeframes to the NIH for public dissemination on its ClinicalTrials.gov website.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Similar requirements for posting clinical trial information in clinical trial registries exist in the EU and in other countries outside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be transferred to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prior to administration to the recipient. The Center for Biologics Evaluation and Research, or CBER, at FDA regulates gene therapy products. Within CBER, the review of gene therapy and related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both"/>
        <w:ind w:right="80"/>
        <w:spacing w:after="0" w:line="263" w:lineRule="auto"/>
        <w:rPr>
          <w:sz w:val="20"/>
          <w:szCs w:val="20"/>
          <w:color w:val="auto"/>
        </w:rPr>
      </w:pPr>
      <w:r>
        <w:rPr>
          <w:rFonts w:ascii="Arial" w:cs="Arial" w:eastAsia="Arial" w:hAnsi="Arial"/>
          <w:sz w:val="18"/>
          <w:szCs w:val="18"/>
          <w:color w:val="auto"/>
        </w:rPr>
        <w:t>products is consolidated in the Office of Tissues and Advanced Therapies, and the FDA has established the Cellular, Tissue and Gene Therapies Advisory Committee to advise CBER on its reviews. CBER works closely with the NIH, and the FDA and the NIH have published a number of guidance documents with respect to the development of gene therapy products.</w:t>
      </w:r>
    </w:p>
    <w:p>
      <w:pPr>
        <w:spacing w:after="0" w:line="7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Although the FDA’s guidance documents are not legally binding, we believe that our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chemistry, manufacturing, and controls, or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product candidate development, preclinical testing, and clinical trials, along with descriptions of the manufacturing process, information on the chemistry and composition of the biological product candidate, proposed labeling, and other relevant information are submitted to the FDA as part of a BLA requesting license to market the product. Under federal law, the submission of most BLAs is subject to an application user fee, which for federal fiscal year 2020 is $2,942,965 for an application requiring clinical data. The sponsor of an approved BLA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from filing in which to complete its initial review of a standard application and respond to the applicant, and six months for a priority review application. A major amendment to a BLA submitted at any time during the review cycle, including in response to a request from the FDA, may extend the goal date by three months. The FDA does not always meet its PDUFA goal dates for standard and priority BLAs.</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its review of a BLA, the FDA may refer the application to an advisory committee for review, evaluation, and recommendation as to whether the application should be approved and under what conditions. In particular, the FDA may refer applications for novel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60"/>
        <w:spacing w:after="0" w:line="263" w:lineRule="auto"/>
        <w:rPr>
          <w:sz w:val="20"/>
          <w:szCs w:val="20"/>
          <w:color w:val="auto"/>
        </w:rPr>
      </w:pPr>
      <w:r>
        <w:rPr>
          <w:rFonts w:ascii="Arial" w:cs="Arial" w:eastAsia="Arial" w:hAnsi="Arial"/>
          <w:sz w:val="18"/>
          <w:szCs w:val="18"/>
          <w:color w:val="auto"/>
        </w:rPr>
        <w:t>biological products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 about a BLA.</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that the facility where the product will be manufactured meets standards designed to ensure that it continues to be safe, pure, and potent.</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and any FDA audits of non-clinical and clinical trial sites to assure compliance with GCP, the FDA may issue an approval letter or a complete response letter. An approval letter authorizes commercial marketing of the product with specific labeling for specific indications. If the application is not approved, the FDA will issue a complete response letter, which will contain the conditions that must be met in order to secure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safety or efficacy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application before the application is complete in some circumstances. Fast track designation may be rescinded if FDA believes that the product no longer meets the qualifying criteria.</w:t>
      </w:r>
    </w:p>
    <w:p>
      <w:pPr>
        <w:spacing w:after="0" w:line="4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is intended to direct overall attention and resources to the evaluation of such applications, and it shortens the FDA’s goal for taking action on a marketing application from ten months to six months from filing.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5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applicant otherwise.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FDA approval of a BLA, the sponsor must comply with extensive post-approval regulatory requirements applicable to biological products, including any additional post-approval requirements that the FDA may impose as part of the approval process. These post-approval requirements include, among other things:</w:t>
      </w:r>
    </w:p>
    <w:p>
      <w:pPr>
        <w:spacing w:after="0" w:line="184"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 keeping requirements;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certain adverse experiences with the product and production problems to the FDA;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submission of updated safety and efficacy information to the FDA;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drug sampling and distribution requirements;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notifying FDA and gaining its approval of specified manufacturing and labeling changes; and</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requirements concerning advertising, promotional labeling, industry-sponsored scientific and educational activities and other promotional activities.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the sponsor and its third-party manufacturers are subject to periodic unannounced regulatory inspections for compliance with ongoing regulatory requirements, including cGMP and pharmacovigilance regulations. Accordingly, the sponsor and its third-party manufacturers must continue to expend time, money, and effort in the areas of production and quality control to maintain compliance with cGMP regulations and other regulatory requirements.</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strictly regulates the advertising and labeling of prescription drug products, including biological products.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If a company is found to have promoted off-label uses, it may become subject to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ind w:right="500"/>
        <w:spacing w:after="0" w:line="263" w:lineRule="auto"/>
        <w:rPr>
          <w:sz w:val="20"/>
          <w:szCs w:val="20"/>
          <w:color w:val="auto"/>
        </w:rPr>
      </w:pPr>
      <w:r>
        <w:rPr>
          <w:rFonts w:ascii="Arial" w:cs="Arial" w:eastAsia="Arial" w:hAnsi="Arial"/>
          <w:sz w:val="18"/>
          <w:szCs w:val="18"/>
          <w:color w:val="auto"/>
        </w:rPr>
        <w:t>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184"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Gene therapy products present novel issues for assessing when two products are the “same” for orphan exclusivity purposes. On January 28. 2020, the FDA issued a non-binding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or patent periods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 FDA has approved over 25 biosimilar products for use in the United States to date. No interchangeable biosimilars, however, have been approved.</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20"/>
        <w:spacing w:after="0" w:line="257" w:lineRule="auto"/>
        <w:rPr>
          <w:sz w:val="20"/>
          <w:szCs w:val="20"/>
          <w:color w:val="auto"/>
        </w:rPr>
      </w:pPr>
      <w:r>
        <w:rPr>
          <w:rFonts w:ascii="Arial" w:cs="Arial" w:eastAsia="Arial" w:hAnsi="Arial"/>
          <w:sz w:val="18"/>
          <w:szCs w:val="18"/>
          <w:color w:val="auto"/>
        </w:rPr>
        <w:t>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w:t>
      </w:r>
    </w:p>
    <w:p>
      <w:pPr>
        <w:spacing w:after="0" w:line="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have been ongoing federal legislative and administrative efforts as well as judicial challenges seeking to repeal, modify or invalidate some or all of the provisions of the PPACA. While none of those efforts have focused on changes to the provisions of the ACA related to the biosimilar regulatory framework, if those efforts continue and if the ACA is repealed, substantially modified, or invalidated, it is unclear what, if any, impact such action would have on biosimilar regulation.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applicant failed to exercise due diligence, plus the time between the submission date of an application and the ultimate approval date less any dime during which the applicant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of companion diagnostics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on issues related to co-development of the products.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FDA previously has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for federal fiscal year 2020, the standard fee for review of a PMA is $340,995 and the small business fee is $85,249.</w:t>
      </w:r>
    </w:p>
    <w:p>
      <w:pPr>
        <w:spacing w:after="0" w:line="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line="279" w:lineRule="auto"/>
        <w:rPr>
          <w:sz w:val="20"/>
          <w:szCs w:val="20"/>
          <w:color w:val="auto"/>
        </w:rPr>
      </w:pPr>
      <w:r>
        <w:rPr>
          <w:rFonts w:ascii="Arial" w:cs="Arial" w:eastAsia="Arial" w:hAnsi="Arial"/>
          <w:sz w:val="17"/>
          <w:szCs w:val="17"/>
          <w:color w:val="auto"/>
        </w:rPr>
        <w:t>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obtain a marketing authorization for a gene therapy product under the EU regulatory system, an applicant must submit an application via the centralized procedure administered by the European Medicines Agency (EMA). Specifically,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200"/>
        <w:spacing w:after="0" w:line="277" w:lineRule="auto"/>
        <w:rPr>
          <w:sz w:val="20"/>
          <w:szCs w:val="20"/>
          <w:color w:val="auto"/>
        </w:rPr>
      </w:pPr>
      <w:r>
        <w:rPr>
          <w:rFonts w:ascii="Arial" w:cs="Arial" w:eastAsia="Arial" w:hAnsi="Arial"/>
          <w:sz w:val="18"/>
          <w:szCs w:val="18"/>
          <w:color w:val="auto"/>
        </w:rPr>
        <w:t>market another version of the product if such company obtained marketing authorization based on an MAA with a complete independent data package of pharmaceutical tests, preclinical tests and clinical trials.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 has been implemented through national legislation of the member states. Under this system, an applicant must obtain approval from the competent national authority of each EU member state in which the clinical trial is to be conducted. Furthermore, the applicant may only start a clinical trial at a specific study site after the local competent ethics committee has issued a favorable opinion. In April 2014, the EU adopted a new Clinical Trials Regulation (EU) No 536/2014, which is set to replace the current Clinical Trials Directive 2001/20/EC six months after the clinical trial portal is announced by the European Commission to be ready for use. This new legislation, which will be directly applicable in all member states, aims at simplifying and streamlining the approval of clinical trials in the EU by allowing for a streamlined application procedure via a single-entry point and strictly defined deadlines for the assessment of clinical trial applications.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marketing authorization</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color w:val="auto"/>
        </w:rPr>
        <w:t>For medicinal products where the benefit of immediate availability outweighs the risk of less comprehensive data than normally required, based on the scope and criteria defined in legislation and guidelines, it is possible to obtain from the EMA a conditional marketing authorization with a 12 month validity period and annual renewal pursuant to Regulation No 507/2006. These are granted only if the CHMP finds that all four requirements are met:</w:t>
      </w:r>
    </w:p>
    <w:p>
      <w:pPr>
        <w:spacing w:after="0" w:line="2" w:lineRule="exact"/>
        <w:rPr>
          <w:sz w:val="20"/>
          <w:szCs w:val="20"/>
          <w:color w:val="auto"/>
        </w:rPr>
      </w:pPr>
    </w:p>
    <w:p>
      <w:pPr>
        <w:ind w:right="6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 (ii) it is likely that the applicant will be able to provide comprehensive data; (iii) unmet medical needs will be fulfilled; and (iv) the benefit to public health of the medicinal product’s immediate availability on the market outweighs the risks due to need for further data.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Brexit and the regulatory framework in the U.K</w:t>
      </w:r>
    </w:p>
    <w:p>
      <w:pPr>
        <w:spacing w:after="0" w:line="117"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The withdrawal of the U.K. from the EU occurred on January 31, 2020, which is commonly known as “Brexit.” A “transition period” through December 31, 2020 has been established to allow the U.K. and EU to negotiate the terms of the U.K.’s withdrawal.</w:t>
      </w:r>
    </w:p>
    <w:p>
      <w:pPr>
        <w:spacing w:after="0" w:line="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regarding individuals who are located in the European Economic Area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Consumer Privacy Act</w:t>
      </w:r>
    </w:p>
    <w:p>
      <w:pPr>
        <w:spacing w:after="0" w:line="11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part, on the availability of coverage and the adequacy of reimbursement from third-party payors.</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party payor’s decision to cover a particular drug product or service does not ensure that other payors will also provide coverage for the drug product or will provide coverage at an adequate reimbursement rate.</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cost-effectiveness of new products and services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noted above, the marketability of any product candidates for which we receive regulatory approval for commercial sale may suffer if the government and third-party payors fail to provide coverage and adequate reimbursement. There is an emphasis on cost containment measures in the United States and we expect will continue to increase the pressure on pharmaceutical pricing.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5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8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176" w:lineRule="exact"/>
        <w:rPr>
          <w:sz w:val="20"/>
          <w:szCs w:val="20"/>
          <w:color w:val="auto"/>
        </w:rPr>
      </w:pPr>
    </w:p>
    <w:p>
      <w:pPr>
        <w:ind w:left="740" w:right="40" w:hanging="368"/>
        <w:spacing w:after="0" w:line="26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183"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ind w:left="740" w:right="52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170"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23" w:lineRule="exact"/>
        <w:rPr>
          <w:rFonts w:ascii="Arial" w:cs="Arial" w:eastAsia="Arial" w:hAnsi="Arial"/>
          <w:sz w:val="16"/>
          <w:szCs w:val="16"/>
          <w:color w:val="auto"/>
        </w:rPr>
      </w:pPr>
    </w:p>
    <w:p>
      <w:pPr>
        <w:ind w:left="740" w:right="120" w:hanging="368"/>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so-called “federal sunshine” law under the Patient Protection and Affordable Care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 and</w:t>
      </w:r>
    </w:p>
    <w:p>
      <w:pPr>
        <w:spacing w:after="0" w:line="186"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and other reform</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Federal and state governments continue to propose and pass legislation designed to reform delivery of, or payment for, health care, which include initiatives to reduce the cost of healthcare. For example, in March 2010, the United States Congress enacted the Patient Protection and Affordable Care Act and the Health Care and Education Reconciliation Act, or the Healthcare Reform Act, which expanded health care coverage through Medicaid expansion and the implementation of the individual mandate for health insurance coverage and which included changes to the coverage and reimbursement of drug products under government healthcare programs. Under the Trump administration, there have been ongoing efforts to modify or repeal all or certain provisions of the Healthcare Reform Act. For example, tax reform legislation was enacted at the end of 2017 that eliminates the tax penalty established under Healthcare Reform Act for individuals who do not maintain mandated health insurance coverage beginning in 2019. The Healthcare Reform Act has also been subject to judicial challenge. In December 2018, a federal district court, in a challenge brought by a number of state attorneys general, found the Healthcare Reform Act unconstitutional in its entirety because, once Congress repealed the individual mandate provision, there was no longer a basis to rely on Congressional taxing authority to support enactment of the law. In December 2019, a federal appeals court agreed that the individual mandate was unconstitutional but remanded the case back to the district court to assess more carefully whether any provisions of the Healthcare Reform Act were severable and could survive. In March 2020, the Supreme Court agreed to hear the case. Pending resolution of the litigation, the Healthcare Reform Act is still operational in all respects.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have also been other reform initiatives under the Trump Administration, including initiatives focused on drug pricing. For example, the Bipartisan Budget Act of 2018 contained various provisions that affect coverage and reimbursement of drugs, including an increase in the discount that manufacturers of Medicare Part D brand name drugs must provide to Medicare Part D beneficiaries during the coverage gap from 50% to 70% that took effect in 2019. As another example, in 2018, President Trump and the Secretary of the Department of Health and Human Services, or HHS, released a “blueprint” to lower prescription drug prices and out-of-pocket costs. Certain proposals in the blueprint, and related drug pricing measures proposed since the blueprint, could cause significant operational and reimbursement changes for the pharmaceutical industry. As another example, legislation passed in 2019 revised how certain prices reported by pharmaceutical manufacturers under the Medicaid drug rebate program are calculated, a revision that the Congressional Budget Office has estimated will save the federal government approximately $3 billion over the next ten years.</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have also been efforts by federal and state government officials or legislators to implement measures to regulate prices or payment for pharmaceutical products, including legislation on drug importation.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w:t>
      </w:r>
    </w:p>
    <w:p>
      <w:pPr>
        <w:spacing w:after="0" w:line="7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General legislative cost control measures may also affect reimbursement for our product candidates. The Budget Control Act, as amended, resulted in the imposition of 2% reductions in Medicare (but not Medicaid) payments to providers in 2013 and will remain in effect through 2029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60"/>
        <w:spacing w:after="0" w:line="286" w:lineRule="auto"/>
        <w:rPr>
          <w:sz w:val="20"/>
          <w:szCs w:val="20"/>
          <w:color w:val="auto"/>
        </w:rPr>
      </w:pPr>
      <w:r>
        <w:rPr>
          <w:rFonts w:ascii="Arial" w:cs="Arial" w:eastAsia="Arial" w:hAnsi="Arial"/>
          <w:sz w:val="17"/>
          <w:szCs w:val="17"/>
          <w:color w:val="auto"/>
        </w:rPr>
        <w:t>Adoption of new legislation at the federal or state level could affect demand for, or pricing of, our current or future products if approved for sale. We cannot, however, predict the ultimate content, timing or effect of any changes to the Healthcare Reform Act or other federal and state reform efforts. There is no assurance that federal or state health care reform will not adversely affect our future business and financial results.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December 31, 2019, we had 118 full-time employees. Of these full-time employees, 97 are engaged in research and development activities. None of our employees is represented by a labor union or covered by a collective bargaining agreement or represented by a trade or labor union.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were incorporated in Delaware in January 2017. Our principal executive offices are located at 26 Landsdowne Street, 2nd Floor, Cambridge, MA 02139, and our telephone number is 857-327-8775.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62"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Since inception, we have incurred significant operating losses. Our net loss was $78.3 million and $116.7 million for the years ended December 31, 2019 and 2018, respectively. As of December 31, 2019, we had an accumulated deficit of $203.0 million. We have financed our operations primarily through</w:t>
      </w:r>
    </w:p>
    <w:p>
      <w:pPr>
        <w:spacing w:after="0" w:line="1" w:lineRule="exact"/>
        <w:rPr>
          <w:sz w:val="20"/>
          <w:szCs w:val="20"/>
          <w:color w:val="auto"/>
        </w:rPr>
      </w:pPr>
    </w:p>
    <w:p>
      <w:pPr>
        <w:ind w:right="80"/>
        <w:spacing w:after="0" w:line="320" w:lineRule="auto"/>
        <w:rPr>
          <w:sz w:val="20"/>
          <w:szCs w:val="20"/>
          <w:color w:val="auto"/>
        </w:rPr>
      </w:pPr>
      <w:r>
        <w:rPr>
          <w:rFonts w:ascii="Arial" w:cs="Arial" w:eastAsia="Arial" w:hAnsi="Arial"/>
          <w:sz w:val="16"/>
          <w:szCs w:val="16"/>
          <w:color w:val="auto"/>
        </w:rPr>
        <w:t>private placements of our preferred stock and proceeds from the sale of common stock in our initial public offering, or IPO.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42"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medicines for which we may obtain marketing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research and development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clinical and commercial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should we decided to do so, build and maintain a commercial-scale current Good Manufacturing Practices, or cGMP, manufacturing facility.</w:t>
      </w:r>
    </w:p>
    <w:p>
      <w:pPr>
        <w:spacing w:after="0" w:line="3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not initiated clinical development of any product candidate and expect that it will be many years, if ever, before we have a product candidate ready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all our research programs.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since the closing of our IPO,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December 31, 2019, our cash, cash equivalents, and marketable securities were $91.8 million. We believe that our existing cash, cash equivalents, and marketable securities, together with proceeds from our IPO of $188.3 million, net of underwriting discounts and estimated offering costs,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188"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continuing to build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 we may develop;</w:t>
      </w:r>
    </w:p>
    <w:p>
      <w:pPr>
        <w:spacing w:after="0" w:line="225" w:lineRule="exact"/>
        <w:rPr>
          <w:rFonts w:ascii="Arial" w:cs="Arial" w:eastAsia="Arial" w:hAnsi="Arial"/>
          <w:sz w:val="18"/>
          <w:szCs w:val="18"/>
          <w:color w:val="auto"/>
        </w:rPr>
      </w:pPr>
    </w:p>
    <w:p>
      <w:pPr>
        <w:ind w:left="740" w:right="680"/>
        <w:spacing w:after="0" w:line="277" w:lineRule="auto"/>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formulation development, and clinical trials for the product candidates we may develop;</w:t>
      </w:r>
    </w:p>
    <w:p>
      <w:pPr>
        <w:spacing w:after="0" w:line="170"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25"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we may develop for which we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any collaborations that we may establish and of our license agreements;</w:t>
      </w:r>
    </w:p>
    <w:p>
      <w:pPr>
        <w:spacing w:after="0" w:line="225"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 candidates, intellectual property and technologies;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an early-stage company. We were founded and commenced operations in January 2017. Our operations to date have been limited to organizing and staffing our company, business planning, raising capital, acquiring and developing our platform and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limited operating history, particularly in light of the rapidly evolving base editing and gene editing field, may make it difficult to evaluate our technology and industry and predict our future performance. Our very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become profitable.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7"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 product candidates and complete research and preclinical and clinical development of any product candidates we may identify;</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225"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70"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of our product candidates for which we obtain regulatory and marketing approval;</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3" w:name="page54"/>
    <w:bookmarkEnd w:id="53"/>
    <w:p>
      <w:pPr>
        <w:ind w:left="740" w:right="8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22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protect, enforce, defend, and expand our portfolio of intellectual property rights, including patents, trade secrets, and know-how;</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avoid and defend against third-party interference, infringement, and other intellectual property claims;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Even if one or more of the product candidates we may develop are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ability to utilize our net operating loss carryforwards and certain other tax attributes may be limited.</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its equity ownership over a three-year period, the corporation’s ability to use its pre-change net operating loss carryforwards, or NOLs, and other pre-change tax attributes (such as research and development tax credits) to offset its post-change income or taxes may be limited. Our prior equity offerings and other changes in our stock ownership may have resulted in such ownership changes. In addition, we may experience ownership changes in the future as a result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2017, the Tax Act was signed into law. The Tax Act, among other things, contains significant changes to corporate taxation, including</w:t>
      </w:r>
    </w:p>
    <w:p>
      <w:pPr>
        <w:spacing w:after="0" w:line="46" w:lineRule="exact"/>
        <w:rPr>
          <w:sz w:val="20"/>
          <w:szCs w:val="20"/>
          <w:color w:val="auto"/>
        </w:rPr>
      </w:pPr>
    </w:p>
    <w:p>
      <w:pPr>
        <w:ind w:right="100" w:firstLine="8"/>
        <w:spacing w:after="0" w:line="253"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(iv) immediate deductions for certain new investments instead of deductions for depreciation expense over time, and (v) modifying or repealing many business deductions and credits. Any federal NOL incurred in 2018 and in future years may now be carried forward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20"/>
        <w:spacing w:after="0" w:line="277" w:lineRule="auto"/>
        <w:rPr>
          <w:sz w:val="20"/>
          <w:szCs w:val="20"/>
          <w:color w:val="auto"/>
        </w:rPr>
      </w:pPr>
      <w:r>
        <w:rPr>
          <w:rFonts w:ascii="Arial" w:cs="Arial" w:eastAsia="Arial" w:hAnsi="Arial"/>
          <w:sz w:val="18"/>
          <w:szCs w:val="18"/>
          <w:color w:val="auto"/>
        </w:rPr>
        <w:t>indefinitely pursuant to the Tax Act. It is uncertain if and to what extent various states will conform to the newly enacted federal tax law. We will continue to examine the impact the Tax Act may have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been clinically tested, nor are we aware of any clinical trials for safety or efficacy having been completed by third parties using our base editing or similar technologies.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setting, optimizing the efficiency and specificity of such product candidates, and ensuring the therapeutic selectivity of such product candidates. There can be no assurance we will be successful in solving any or all of these issues.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 for more information.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success of our business depends primarily upon our ability to identify, develop, and commercialize product candidates based on our gene editing platform. All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date, we have focused our efforts on gene editing technologies using base editing. Other companies have previously undertaken research and development of gene editing technologies using zinc finger nucleases, engineered meganucleases, and transcription activator-like effector nucleases, or TALENs, but to date none has obtained marketing approval for a product candidate. There can be no certainty that base editing technology will lead to the development of genetic medicines or that other gene editing technologies will not be considered better or more attractive for the development of medicines. For example, Feng Zhang’s group at MIT and Broad Institute, and, separately, Samuel Sternberg’s group at Columbia University recently announced the discovery of the use of transposons, or “jumping genes.” Transposons can insert themselves into different places in the genome and can be programmed to carry specific DNA sequences to specific sites, without the need for making double-stranded breaks in DNA. In addition, we have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line="284" w:lineRule="auto"/>
        <w:rPr>
          <w:sz w:val="20"/>
          <w:szCs w:val="20"/>
          <w:color w:val="auto"/>
        </w:rPr>
      </w:pPr>
      <w:r>
        <w:rPr>
          <w:rFonts w:ascii="Arial" w:cs="Arial" w:eastAsia="Arial" w:hAnsi="Arial"/>
          <w:sz w:val="16"/>
          <w:szCs w:val="16"/>
          <w:color w:val="auto"/>
        </w:rPr>
        <w:t xml:space="preserve">become aware of novel gene editing technology recently developed by one of our founders David Liu, and his group at Broad Institute. We have secured an exclusive license from Prime Medicine, Inc., or Prime Medicine, a company founded by David Liu, to pursue this new technology in certain fields and for certain applications similar to those we are already pursuing with base editing. Our license does not cover all fields and applications of this new technology for gene editing and Prime Medicine retains broad rights to use this technology outside of the fields licensed to us. It is possible that this gene editing technology developed by David Liu’s group is competitive with our business, and it is also possible that such gene editing technology may potentially be considered more attractive than base editing. Therefore, Prime Medicine may pursue this technology in other fields and for other applications and may develop competing products using such technology. For more information regarding our agreement with Prime Medicine, see Item 13,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and related party transactions, director independence—License and collaboration agreement</w:t>
      </w:r>
      <w:r>
        <w:rPr>
          <w:rFonts w:ascii="Arial" w:cs="Arial" w:eastAsia="Arial" w:hAnsi="Arial"/>
          <w:sz w:val="16"/>
          <w:szCs w:val="16"/>
          <w:color w:val="auto"/>
        </w:rPr>
        <w:t>, in this Annual Report on Form 10-K. Similarly,</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new gene editing technology that has not been discovered yet may be determined to be more attractive than base editing. Moreover, if we decide to develop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as discussed above, David Liu and his group at Broad Institute have developed novel gene editing technology outside of the field of his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We are very early in our development efforts and have focused our research and development efforts to date on base editing technology, identifying our initial targeted disease indications and our initial product candidates. We have not yet achieved preclinical proof of 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the majority of our programs and there is no guarantee that we will achieve it for these programs. Our future success depends heavily on the successful development of our base editing product candidates. Currently, all of our product candidates are in preclinical development or in discovery. We have invested substantially all of our efforts and financial resources in building our base editing platform, and the identification and preclinical development of our current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Commencing clinical trials in the United States is also subject to acceptance by the FDA of our Investigational New Drug application, or IND, and finalizing the trial design based on discussions with the FDA and other regulatory authorities. In the event that the FDA requires us to complete additional preclinical studies or we are required to satisfy other FDA requests, the start of our first clinical trials may be delayed. Even after we receive and incorporate guidance from these regulatory authorities, the FDA or other regulatory authorities could disagree that we have satisfied their requirements to commence our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in Europe.</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product candidates we may identify and develop will depend on many factors, including the following:</w:t>
      </w:r>
    </w:p>
    <w:p>
      <w:pPr>
        <w:spacing w:after="0" w:line="187"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IND-enabling studies, and clinical trials;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for clinical supply and commercial manufacturing and, where applicable, commercial manufacturing capabilities;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left="740" w:right="6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development of our internal manufacturing processes and transfer to larger-scale facilities operated by either a contract manufacturing organization, or CMO, or by us;</w:t>
      </w:r>
    </w:p>
    <w:p>
      <w:pPr>
        <w:spacing w:after="0" w:line="399"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non-patent exclusivity for our medicines;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supplying the product at a price that is acceptable to the pricing or reimbursement authorities in different countries.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If any of the product candidates we may develop, or the delivery modes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not evaluated any product candidates in human clinical trials. Moreover, there have been only a limited number of clinical trials involving the use of gene editing technologies and none involving base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and death. There can be no assurance that base editing technologies will not cause undesirable side effects, as improper editing of a patient’s DNA could lead to lymphoma, leukemia, or other cancers, or other aberrantly functioning cells.</w:t>
      </w:r>
    </w:p>
    <w:p>
      <w:pPr>
        <w:spacing w:after="0" w:line="5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76" w:lineRule="exact"/>
        <w:rPr>
          <w:sz w:val="20"/>
          <w:szCs w:val="20"/>
          <w:color w:val="auto"/>
        </w:rPr>
      </w:pPr>
    </w:p>
    <w:p>
      <w:pPr>
        <w:ind w:firstLine="4"/>
        <w:spacing w:after="0" w:line="270" w:lineRule="auto"/>
        <w:rPr>
          <w:sz w:val="20"/>
          <w:szCs w:val="20"/>
          <w:color w:val="auto"/>
        </w:rPr>
      </w:pPr>
      <w:r>
        <w:rPr>
          <w:rFonts w:ascii="Arial" w:cs="Arial" w:eastAsia="Arial" w:hAnsi="Arial"/>
          <w:sz w:val="17"/>
          <w:szCs w:val="17"/>
          <w:color w:val="auto"/>
        </w:rPr>
        <w:t>In certain of our programs, we plan to use lipid nanoparticles, or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opsonation reactions, antibody reactions including IgA, IgM, IgE or IgG or some combination thereof, or reactions to the PEG from some lipids or PEG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7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Our viral vectors including AAV or lentiviruses, which are relatively new approaches used for disease treatment, also have known side effects, and for which additional risks could develop in the future. In past clinical trials that were conducted by others with non-AAV vectors, several significant side effects were caused by gene therapy treatments, including reported cases of leukemia and death.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20"/>
        <w:spacing w:after="0" w:line="296" w:lineRule="auto"/>
        <w:rPr>
          <w:sz w:val="20"/>
          <w:szCs w:val="20"/>
          <w:color w:val="auto"/>
        </w:rPr>
      </w:pPr>
      <w:r>
        <w:rPr>
          <w:rFonts w:ascii="Arial" w:cs="Arial" w:eastAsia="Arial" w:hAnsi="Arial"/>
          <w:sz w:val="16"/>
          <w:szCs w:val="16"/>
          <w:color w:val="auto"/>
        </w:rPr>
        <w:t>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Furthermore, the FDA has stated that lentiviral vectors possess characteristics that may pose high risks of delayed adverse events. Such delayed adverse events may occur in other viral vectors, including AAV vectors, at a lower rate.</w:t>
      </w:r>
    </w:p>
    <w:p>
      <w:pPr>
        <w:spacing w:after="0" w:line="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side effects and adverse events caused by our product candidates, the conditioning, administration process or related procedures which may be used in our electroporation pipeline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If in the future we are unable to demonstrate that such adverse events were caused by the conditioning regimens used, or administration process or related procedure, the FDA, the European Commission, EMA or other regulatory authorities could order us to cease further development of, or deny approval of, our product candidates for any or all target indications. Even if we are able to demonstrate that adverse events are not related to the drug product or the administration of such drug product, such occurrences could affect patient recruitment, the ability of enrolled patients to complete the clinical trial, or the commercial viability of any product candidates that obtain regulatory approval.</w:t>
      </w:r>
    </w:p>
    <w:p>
      <w:pPr>
        <w:spacing w:after="0" w:line="8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192"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the approved use of such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not tested any of our proposed delivery modalities and product candidates in clinical trials and any favorable preclinical results are not predictive of results that may be observed in clinical trials.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tested any of our proposed delivery modalities in clinical trials. For example, we intend to use novel split intein technology for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 We also intend to use LNPs to deliver some of our base editors. While LNPs have been used to deliver smaller molecules, such as RNAi, they have not been clinically proven to deliver larger RNA molecules, such as the ones we intend to use for our base editors. Furthermore, as with many AAV-mediated gene therapy approaches, certain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jc w:val="both"/>
        <w:ind w:right="200"/>
        <w:spacing w:after="0" w:line="311" w:lineRule="auto"/>
        <w:rPr>
          <w:sz w:val="20"/>
          <w:szCs w:val="20"/>
          <w:color w:val="auto"/>
        </w:rPr>
      </w:pPr>
      <w:r>
        <w:rPr>
          <w:rFonts w:ascii="Arial" w:cs="Arial" w:eastAsia="Arial" w:hAnsi="Arial"/>
          <w:sz w:val="16"/>
          <w:szCs w:val="16"/>
          <w:color w:val="auto"/>
        </w:rPr>
        <w:t>patients’ immune systems might prohibit the successful delivery, thereby potentially limiting treatment outcomes of these patients. Even if initial clinical trials in any of our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4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results of preclinical studies may not be predictive of the results of later-stage preclinical studies or clinical trials. To date, we have not generated preclinical or clinical trial results. If we generate preclinical results, such results will not ensure that later preclinical studies or clinical trials will demonstrate similar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57"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0" w:lineRule="exact"/>
        <w:rPr>
          <w:sz w:val="20"/>
          <w:szCs w:val="20"/>
          <w:color w:val="auto"/>
        </w:rPr>
      </w:pPr>
    </w:p>
    <w:p>
      <w:pPr>
        <w:ind w:firstLine="4"/>
        <w:spacing w:after="0" w:line="270" w:lineRule="auto"/>
        <w:rPr>
          <w:sz w:val="20"/>
          <w:szCs w:val="20"/>
          <w:color w:val="auto"/>
        </w:rPr>
      </w:pPr>
      <w:r>
        <w:rPr>
          <w:rFonts w:ascii="Arial" w:cs="Arial" w:eastAsia="Arial" w:hAnsi="Arial"/>
          <w:sz w:val="17"/>
          <w:szCs w:val="17"/>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360"/>
        <w:spacing w:after="0" w:line="277" w:lineRule="auto"/>
        <w:rPr>
          <w:sz w:val="20"/>
          <w:szCs w:val="20"/>
          <w:color w:val="auto"/>
        </w:rPr>
      </w:pPr>
      <w:r>
        <w:rPr>
          <w:rFonts w:ascii="Arial" w:cs="Arial" w:eastAsia="Arial" w:hAnsi="Arial"/>
          <w:sz w:val="18"/>
          <w:szCs w:val="18"/>
          <w:color w:val="auto"/>
        </w:rPr>
        <w:t>international markets are delayed, our target market will be reduced and our ability to realize the full market potential of our product candidates will be unrealized.</w:t>
      </w:r>
    </w:p>
    <w:p>
      <w:pPr>
        <w:spacing w:after="0" w:line="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92" w:lineRule="exact"/>
        <w:rPr>
          <w:sz w:val="20"/>
          <w:szCs w:val="20"/>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agencies;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attitudes regarding genetic medicine generally and gene editing and base editing technologies specifically;</w:t>
      </w:r>
    </w:p>
    <w:p>
      <w:pPr>
        <w:spacing w:after="0" w:line="22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may develop if and when they are approved.</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Factors that may inhibit our efforts to commercialize our product candidates we may develop on our own include:</w:t>
      </w:r>
    </w:p>
    <w:p>
      <w:pPr>
        <w:spacing w:after="0" w:line="225" w:lineRule="exact"/>
        <w:rPr>
          <w:sz w:val="20"/>
          <w:szCs w:val="20"/>
          <w:color w:val="auto"/>
        </w:rPr>
      </w:pPr>
    </w:p>
    <w:p>
      <w:pPr>
        <w:ind w:left="740" w:right="32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48" w:lineRule="exact"/>
        <w:rPr>
          <w:rFonts w:ascii="Arial" w:cs="Arial" w:eastAsia="Arial" w:hAnsi="Arial"/>
          <w:sz w:val="16"/>
          <w:szCs w:val="16"/>
          <w:color w:val="auto"/>
        </w:rPr>
      </w:pPr>
    </w:p>
    <w:p>
      <w:pPr>
        <w:ind w:left="740" w:right="3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 candidates we may develop to segments of the patient population;</w:t>
      </w:r>
    </w:p>
    <w:p>
      <w:pPr>
        <w:spacing w:after="0" w:line="170"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3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development and commercialization of new drug products is highly competitive. Moreover, the base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5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which includes Sangamo Biosciences, Precision BioSciences and bluebird bio. The Horizon Discovery Group reported that it licensed base editing technology from Rutgers. In addition, we face competition from companies utilizing gene therapy, oligonucleotides, and CAR-T therapeutic approaches.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jc w:val="both"/>
        <w:ind w:right="200"/>
        <w:spacing w:after="0" w:line="286" w:lineRule="auto"/>
        <w:rPr>
          <w:sz w:val="20"/>
          <w:szCs w:val="20"/>
          <w:color w:val="auto"/>
        </w:rPr>
      </w:pPr>
      <w:r>
        <w:rPr>
          <w:rFonts w:ascii="Arial" w:cs="Arial" w:eastAsia="Arial" w:hAnsi="Arial"/>
          <w:sz w:val="17"/>
          <w:szCs w:val="17"/>
          <w:color w:val="auto"/>
        </w:rPr>
        <w:t>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5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The Alliance for Regenerative Medicine also released principles for the use of gene editing in therapeutic applications endorsed by a number of companies that use gene editing technologies.</w:t>
      </w:r>
    </w:p>
    <w:p>
      <w:pPr>
        <w:spacing w:after="0" w:line="6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National Institutes of Health, or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party or government to develop biological agents or products that threaten U.S. national security could similarly result in such negative impacts to us.</w:t>
      </w:r>
    </w:p>
    <w:p>
      <w:pPr>
        <w:spacing w:after="0" w:line="1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56"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ind w:right="80"/>
        <w:spacing w:after="0" w:line="263" w:lineRule="auto"/>
        <w:rPr>
          <w:sz w:val="20"/>
          <w:szCs w:val="20"/>
          <w:color w:val="auto"/>
        </w:rPr>
      </w:pPr>
      <w:r>
        <w:rPr>
          <w:rFonts w:ascii="Arial" w:cs="Arial" w:eastAsia="Arial" w:hAnsi="Arial"/>
          <w:sz w:val="18"/>
          <w:szCs w:val="18"/>
          <w:color w:val="auto"/>
        </w:rPr>
        <w:t>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184" w:lineRule="exact"/>
        <w:rPr>
          <w:sz w:val="20"/>
          <w:szCs w:val="20"/>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5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5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4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49" w:lineRule="exact"/>
        <w:rPr>
          <w:sz w:val="20"/>
          <w:szCs w:val="20"/>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120"/>
        <w:spacing w:after="0" w:line="277" w:lineRule="auto"/>
        <w:rPr>
          <w:sz w:val="20"/>
          <w:szCs w:val="20"/>
          <w:color w:val="auto"/>
        </w:rPr>
      </w:pPr>
      <w:r>
        <w:rPr>
          <w:rFonts w:ascii="Arial" w:cs="Arial" w:eastAsia="Arial" w:hAnsi="Arial"/>
          <w:sz w:val="18"/>
          <w:szCs w:val="18"/>
          <w:color w:val="auto"/>
        </w:rPr>
        <w:t>medicine. Insurance coverage is increasingly expensive. We may not be able to maintain insurance coverage at a reasonable cost or in an amount adequate to satisfy any liability that may arise.</w:t>
      </w:r>
    </w:p>
    <w:p>
      <w:pPr>
        <w:spacing w:after="0" w:line="6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76" w:lineRule="exact"/>
        <w:rPr>
          <w:sz w:val="20"/>
          <w:szCs w:val="20"/>
          <w:color w:val="auto"/>
        </w:rPr>
      </w:pPr>
    </w:p>
    <w:p>
      <w:pPr>
        <w:ind w:firstLine="4"/>
        <w:spacing w:after="0" w:line="263" w:lineRule="auto"/>
        <w:rPr>
          <w:sz w:val="20"/>
          <w:szCs w:val="20"/>
          <w:color w:val="auto"/>
        </w:rPr>
      </w:pPr>
      <w:r>
        <w:rPr>
          <w:rFonts w:ascii="Arial" w:cs="Arial" w:eastAsia="Arial" w:hAnsi="Arial"/>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Furthermore, we intend to use novel split intein technology for any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Given the nature of biologics manufacturing, including for the lentivirus vectors and AAV vectors,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87" w:lineRule="exact"/>
        <w:rPr>
          <w:sz w:val="20"/>
          <w:szCs w:val="20"/>
          <w:color w:val="auto"/>
        </w:rPr>
      </w:pPr>
    </w:p>
    <w:p>
      <w:pPr>
        <w:ind w:right="40" w:firstLine="4"/>
        <w:spacing w:after="0" w:line="279"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review</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regulatory requirements that will govern any novel base editing product candidates we develop are not entirely clear and may change. Within the broader genetic medicine field, we are aware of a limited number of gene therapy products that have received marketing authorization from the FDA and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 Gene therapy clinical trials are also subject to review and oversight by an institutional biosafety committee, or IBC,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same applies in the EU. The EMA’s Committee for Advanced Therapies, or CAT, is responsible for assessing the quality, safety, and efficacy of advanced-therapy medicinal products. The role of the CAT is to prepare a draft opinion on an application for marketing authorization for a gene therapy medicinal candidate that is submitted to the Committee for Medicinal Products for Human Use, or CHMP, before CHMP adopts its final opinion.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As a result, the procedures and standards applied to gene therapy products and cell therapy products may be applied to any product candidates we may develop, but that remains uncertain at this point.</w:t>
      </w:r>
    </w:p>
    <w:p>
      <w:pPr>
        <w:spacing w:after="0" w:line="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Adverse developments in post-marketing experience or in clinical trials conducted by others of gene therapy products, cell therapy products, or products developed through the application of a base editing or other gene editing technology may cause the FDA, the EMA, and other regulatory bodies to revise the requirements for development or approval of any product candidates we may develop or limit the use of products utilizing base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340"/>
        <w:spacing w:after="0" w:line="311" w:lineRule="auto"/>
        <w:rPr>
          <w:sz w:val="20"/>
          <w:szCs w:val="20"/>
          <w:color w:val="auto"/>
        </w:rPr>
      </w:pPr>
      <w:r>
        <w:rPr>
          <w:rFonts w:ascii="Arial" w:cs="Arial" w:eastAsia="Arial" w:hAnsi="Arial"/>
          <w:sz w:val="16"/>
          <w:szCs w:val="16"/>
          <w:color w:val="auto"/>
        </w:rPr>
        <w:t>product candidates. Regulatory agencies administering existing or future regulations or legislation may not allow production and marketing of products utilizing base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5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in the field of genetic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including T-cell acute lymphoblastic leukemia, glycogen storage disorder and Stargardt disease, have small patient populations, and designing and executing a rigorous clinical trial with appropriate statistical power is more difficult than with diseases that have larger patient populations.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w:t>
      </w:r>
    </w:p>
    <w:p>
      <w:pPr>
        <w:spacing w:after="0" w:line="6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candidates we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170" w:lineRule="exact"/>
        <w:rPr>
          <w:sz w:val="20"/>
          <w:szCs w:val="20"/>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225"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or CROs, and clinical trial sites;</w:t>
      </w:r>
    </w:p>
    <w:p>
      <w:pPr>
        <w:spacing w:after="0" w:line="17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left="740" w:right="42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170" w:lineRule="exact"/>
        <w:rPr>
          <w:rFonts w:ascii="Arial" w:cs="Arial" w:eastAsia="Arial" w:hAnsi="Arial"/>
          <w:sz w:val="18"/>
          <w:szCs w:val="18"/>
          <w:color w:val="auto"/>
        </w:rPr>
      </w:pPr>
    </w:p>
    <w:p>
      <w:pPr>
        <w:ind w:left="740" w:hanging="36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186"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740" w:right="340" w:hanging="36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225"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occurrence of serious adverse events associated with any product candidates we may develop that are viewed to outweigh their potential benefits;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149" w:lineRule="exact"/>
        <w:rPr>
          <w:sz w:val="20"/>
          <w:szCs w:val="20"/>
          <w:color w:val="auto"/>
        </w:rPr>
      </w:pPr>
    </w:p>
    <w:p>
      <w:pPr>
        <w:ind w:left="740" w:hanging="368"/>
        <w:spacing w:after="0"/>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 delayed in obtaining marketing approval for any such product candidates we may develop or not obtain marketing approval at all;</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 or through modification to an existing REMS;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right="240"/>
        <w:spacing w:after="0" w:line="277" w:lineRule="auto"/>
        <w:rPr>
          <w:sz w:val="20"/>
          <w:szCs w:val="20"/>
          <w:color w:val="auto"/>
        </w:rPr>
      </w:pPr>
      <w:r>
        <w:rPr>
          <w:rFonts w:ascii="Arial" w:cs="Arial" w:eastAsia="Arial" w:hAnsi="Arial"/>
          <w:sz w:val="18"/>
          <w:szCs w:val="18"/>
          <w:color w:val="auto"/>
        </w:rPr>
        <w:t>before we do, and could impair our ability to successfully commercialize any product candidates we may develop, any of which may harm our business, financial condition, results of operations, and prospects.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225"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base editing as a therapeutic approach;</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especially for those conditions which have small patient pools.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70" w:lineRule="exact"/>
        <w:rPr>
          <w:sz w:val="20"/>
          <w:szCs w:val="20"/>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locating qualified local consultants, physicians, and partners; and</w:t>
      </w:r>
    </w:p>
    <w:p>
      <w:pPr>
        <w:spacing w:after="0" w:line="225" w:lineRule="exact"/>
        <w:rPr>
          <w:rFonts w:ascii="Arial" w:cs="Arial" w:eastAsia="Arial" w:hAnsi="Arial"/>
          <w:sz w:val="18"/>
          <w:szCs w:val="18"/>
          <w:color w:val="auto"/>
        </w:rPr>
      </w:pPr>
    </w:p>
    <w:p>
      <w:pPr>
        <w:ind w:left="740" w:right="62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74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184" w:lineRule="exact"/>
        <w:rPr>
          <w:sz w:val="20"/>
          <w:szCs w:val="20"/>
          <w:color w:val="auto"/>
        </w:rPr>
      </w:pPr>
    </w:p>
    <w:p>
      <w:pPr>
        <w:ind w:left="740" w:right="32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 and</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8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expect to rely on third parties, such as CROs, clinical data management organizations, medical institutions, and clinical investigators, to manufacture components of our product candidates we may develop and to conduct our clinical trials. We currently rely and expect to continue to rely on third parties to conduct some aspects of our research and preclinical testing. For example, we rely on a third party to conduct electroporation; we rely on a third party to supply LNPs; and we rely on third parties to manufacture viral vectors. Any of these third parties may terminate their engagements with us at any time under certain criteria. If we need to enter into alternative arrangements, it may delay our product development activities.</w:t>
      </w:r>
    </w:p>
    <w:p>
      <w:pPr>
        <w:spacing w:after="0" w:line="53" w:lineRule="exact"/>
        <w:rPr>
          <w:sz w:val="20"/>
          <w:szCs w:val="20"/>
          <w:color w:val="auto"/>
        </w:rPr>
      </w:pPr>
    </w:p>
    <w:p>
      <w:pPr>
        <w:ind w:firstLine="4"/>
        <w:spacing w:after="0" w:line="27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6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have any manufacturing facilities at the present time. We currently rely on third-party manufacturers for the manufacture of our materials for preclinical studies and may continue to do so for clinical testing and for commercial supply of any product candidates that we may develop and for which we or our collaborators obtain marketing approval. We do not have a long-term supply agreement with any of the third-party manufacturers, and we purchase our required supply on a purchase order basis.</w:t>
      </w:r>
    </w:p>
    <w:p>
      <w:pPr>
        <w:spacing w:after="0" w:line="2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0"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62"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1" w:name="page72"/>
    <w:bookmarkEnd w:id="71"/>
    <w:p>
      <w:pPr>
        <w:ind w:left="20"/>
        <w:spacing w:after="0"/>
        <w:rPr>
          <w:sz w:val="20"/>
          <w:szCs w:val="20"/>
          <w:color w:val="auto"/>
        </w:rPr>
      </w:pPr>
      <w:r>
        <w:rPr>
          <w:rFonts w:ascii="Arial" w:cs="Arial" w:eastAsia="Arial" w:hAnsi="Arial"/>
          <w:sz w:val="17"/>
          <w:szCs w:val="17"/>
          <w:color w:val="auto"/>
        </w:rPr>
        <w:t>Collaborations involving our research programs or any product candidates we may develop pose numerous risks to us, including the following:</w:t>
      </w:r>
    </w:p>
    <w:p>
      <w:pPr>
        <w:spacing w:after="0" w:line="237" w:lineRule="exact"/>
        <w:rPr>
          <w:sz w:val="20"/>
          <w:szCs w:val="20"/>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740" w:right="320" w:hanging="368"/>
        <w:spacing w:after="0" w:line="28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65" w:lineRule="exact"/>
        <w:rPr>
          <w:rFonts w:ascii="Arial" w:cs="Arial" w:eastAsia="Arial" w:hAnsi="Arial"/>
          <w:sz w:val="17"/>
          <w:szCs w:val="17"/>
          <w:color w:val="auto"/>
        </w:rPr>
      </w:pPr>
    </w:p>
    <w:p>
      <w:pPr>
        <w:ind w:left="740" w:right="700" w:hanging="368"/>
        <w:spacing w:after="0" w:line="30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740" w:right="120" w:hanging="368"/>
        <w:spacing w:after="0" w:line="263"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we may develop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23" w:lineRule="exact"/>
        <w:rPr>
          <w:rFonts w:ascii="Arial" w:cs="Arial" w:eastAsia="Arial" w:hAnsi="Arial"/>
          <w:sz w:val="16"/>
          <w:szCs w:val="16"/>
          <w:color w:val="auto"/>
        </w:rPr>
      </w:pPr>
    </w:p>
    <w:p>
      <w:pPr>
        <w:ind w:left="740" w:right="60" w:hanging="368"/>
        <w:spacing w:after="0" w:line="342"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236" w:lineRule="exact"/>
        <w:rPr>
          <w:rFonts w:ascii="Arial" w:cs="Arial" w:eastAsia="Arial" w:hAnsi="Arial"/>
          <w:sz w:val="17"/>
          <w:szCs w:val="17"/>
          <w:color w:val="auto"/>
        </w:rPr>
      </w:pPr>
    </w:p>
    <w:p>
      <w:pPr>
        <w:ind w:left="740" w:right="122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170" w:lineRule="exact"/>
        <w:rPr>
          <w:rFonts w:ascii="Arial" w:cs="Arial" w:eastAsia="Arial" w:hAnsi="Arial"/>
          <w:sz w:val="18"/>
          <w:szCs w:val="18"/>
          <w:color w:val="auto"/>
        </w:rPr>
      </w:pPr>
    </w:p>
    <w:p>
      <w:pPr>
        <w:ind w:left="740" w:right="320" w:hanging="368"/>
        <w:spacing w:after="0" w:line="28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87" w:lineRule="exact"/>
        <w:rPr>
          <w:sz w:val="20"/>
          <w:szCs w:val="20"/>
          <w:color w:val="auto"/>
        </w:rPr>
      </w:pPr>
    </w:p>
    <w:p>
      <w:pPr>
        <w:ind w:right="180" w:firstLine="4"/>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360"/>
        <w:spacing w:after="0" w:line="277" w:lineRule="auto"/>
        <w:rPr>
          <w:sz w:val="20"/>
          <w:szCs w:val="20"/>
          <w:color w:val="auto"/>
        </w:rPr>
      </w:pPr>
      <w:r>
        <w:rPr>
          <w:rFonts w:ascii="Arial" w:cs="Arial" w:eastAsia="Arial" w:hAnsi="Arial"/>
          <w:sz w:val="18"/>
          <w:szCs w:val="18"/>
          <w:color w:val="auto"/>
        </w:rPr>
        <w:t>collaborators or strategic partners or to which the collaborators or strategic partners have rights, may result in the withdrawal of partner support for our product candidates we may develop.</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1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7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epidemics or outbreaks, including COVID 2019, could adversely impact our business.</w:t>
      </w:r>
    </w:p>
    <w:p>
      <w:pPr>
        <w:spacing w:after="0" w:line="11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In December 2019, COVID-19 emerged in Wuhan, Hubei Province, China. Less than four months later, in March 2020, the World Health Organization declared COVID-19 a pandemic. While initially the outbreak was largely concentrated in China and caused significant disruptions to its economy, it has now spread to many other countries and regions, including Cambridge, Massachusetts where our primary offices and laboratory spaces are located.</w:t>
      </w:r>
    </w:p>
    <w:p>
      <w:pPr>
        <w:spacing w:after="0" w:line="4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rapid spread of the virus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across the United States, and in other countries. The extent to which the coronavirus impacts our operations and those of our third-party partners will depend on future developments, which are highly uncertain and cannot be predicted with confidence, including the duration of the outbreak, additional or modified government actions, new information which may emerge concerning the severity of the coronavirus and the actions taken to contain the coronavirus or treat its impact, among others.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protect the health of our employees and their families, and our communities, in accordance with direction from state and local government authorities, we have restricted access to our facilities to personnel and third parties who must perform critical activities that must be completed on-site, limited the number of such personnel that can be present at our facilities at any one time, and requested that most of our personnel work remotely. In the event that governmental authorities were to further modify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timely completion of preclinical activities is dependent upon the availability of, for example, preclinical sites, researchers and investigators, regulatory agency personnel, and materials, which may be adversely affected by global health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such as pandemics. We plan to conduct preclinical activities for our programs in geographies which are currently being affected by COVID-19.</w:t>
      </w:r>
    </w:p>
    <w:p>
      <w:pPr>
        <w:spacing w:after="0" w:line="1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Some factors from the COVID-19 pandemic that could delay or otherwise adversely affect the completion of our preclinical activities and, depending on the duration of the outbreak, the initiation of any future clinical trials, as well as our business generally, include:</w:t>
      </w:r>
    </w:p>
    <w:p>
      <w:pPr>
        <w:spacing w:after="0" w:line="170" w:lineRule="exact"/>
        <w:rPr>
          <w:sz w:val="20"/>
          <w:szCs w:val="20"/>
          <w:color w:val="auto"/>
        </w:rPr>
      </w:pPr>
    </w:p>
    <w:p>
      <w:pPr>
        <w:ind w:left="740" w:right="140" w:hanging="368"/>
        <w:spacing w:after="0" w:line="301"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157" w:lineRule="exact"/>
        <w:rPr>
          <w:rFonts w:ascii="Arial" w:cs="Arial" w:eastAsia="Arial" w:hAnsi="Arial"/>
          <w:sz w:val="16"/>
          <w:szCs w:val="16"/>
          <w:color w:val="auto"/>
        </w:rPr>
      </w:pPr>
    </w:p>
    <w:p>
      <w:pPr>
        <w:ind w:left="740" w:right="4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or the federal government that could impact our ability to conduct our preclinical activities, including completing our IND-enabling studies;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travel that could hinder our timelines;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key materials; and</w:t>
      </w:r>
    </w:p>
    <w:p>
      <w:pPr>
        <w:spacing w:after="0" w:line="225"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or delays in receiving, key materials from our contract manufacturing organizations due to staffing shortages, production slowdowns or stoppages and disruptions in delivery systems.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These and other factors arising from COVID-19 could worsen in countries that are already afflicted with the coronavirus or could continue to spread to additional countries, each of which could further adversely impact our ability to conduct preclinical or any future clinical trials, and, in general, our business, and could have a material adverse impact on our operations and financial condition and results.</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the extent and duration of the impact of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COVID-19 outbreak continues to rapidly evolve. The extent to which the outbreak may impact our business, preclinical studies and any future clinical trials will highly depend on future developments, which are very uncertain and cannot be predicted with confidence, such as the ultimate geographic spread of the disease,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any product candidates we develop and for our base editing platform technology,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base editing platform technology may be adversely affected.</w:t>
      </w:r>
    </w:p>
    <w:p>
      <w:pPr>
        <w:spacing w:after="0" w:line="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commercial success will depend in large part on our ability to obtain and maintain patent, trademark, trade secret and other intellectual property protection of our base editing platform technology, product candidates and other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seek to protect our proprietary position by in-licensing intellectual property relating to our platform technology and filing patent applications in the United States and abroad related to our base editing platform technology and product candidates that are important to our business. If we or our licensors are unable to obtain or maintain patent protection with respect to our base editing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20"/>
        <w:spacing w:after="0" w:line="271" w:lineRule="auto"/>
        <w:rPr>
          <w:sz w:val="20"/>
          <w:szCs w:val="20"/>
          <w:color w:val="auto"/>
        </w:rPr>
      </w:pPr>
      <w:r>
        <w:rPr>
          <w:rFonts w:ascii="Arial" w:cs="Arial" w:eastAsia="Arial" w:hAnsi="Arial"/>
          <w:sz w:val="17"/>
          <w:szCs w:val="17"/>
          <w:color w:val="auto"/>
        </w:rPr>
        <w:t>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The field of genome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and product candidates we may develop or which effectively prevent others from commercializing competitive technologies and product candidates.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consistent policy regarding the scope of claims allowable in the field of genome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6" w:lineRule="exact"/>
        <w:rPr>
          <w:sz w:val="20"/>
          <w:szCs w:val="20"/>
          <w:color w:val="auto"/>
        </w:rPr>
      </w:pPr>
    </w:p>
    <w:p>
      <w:pPr>
        <w:ind w:right="60" w:firstLine="4"/>
        <w:spacing w:after="0" w:line="291" w:lineRule="auto"/>
        <w:rPr>
          <w:sz w:val="20"/>
          <w:szCs w:val="20"/>
          <w:color w:val="auto"/>
        </w:rPr>
      </w:pPr>
      <w:r>
        <w:rPr>
          <w:rFonts w:ascii="Arial" w:cs="Arial" w:eastAsia="Arial" w:hAnsi="Arial"/>
          <w:sz w:val="16"/>
          <w:szCs w:val="16"/>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Medicine, Inc., or Editas, Harvard, and Bio Palette Co. Ltd., or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100"/>
        <w:spacing w:after="0" w:line="275" w:lineRule="auto"/>
        <w:rPr>
          <w:sz w:val="20"/>
          <w:szCs w:val="20"/>
          <w:color w:val="auto"/>
        </w:rPr>
      </w:pPr>
      <w:r>
        <w:rPr>
          <w:rFonts w:ascii="Arial" w:cs="Arial" w:eastAsia="Arial" w:hAnsi="Arial"/>
          <w:sz w:val="17"/>
          <w:szCs w:val="17"/>
          <w:color w:val="auto"/>
        </w:rPr>
        <w:t xml:space="preserve">intellectual property licensed under these agreements. For example, under the Harvard License Agreement, we are required to initiate a discovery program in accordance with the development plan and development milestones for the development of a licensed product covered by certain sub-categories of licensed patents. If we fail to initiate such a discovery program, our rights with respect to the sub-category of licensed patents will terminate. For more information regarding these agreements, please see Item 1., </w:t>
      </w:r>
      <w:r>
        <w:rPr>
          <w:rFonts w:ascii="Arial" w:cs="Arial" w:eastAsia="Arial" w:hAnsi="Arial"/>
          <w:sz w:val="17"/>
          <w:szCs w:val="17"/>
          <w:i w:val="1"/>
          <w:iCs w:val="1"/>
          <w:color w:val="auto"/>
        </w:rPr>
        <w:t>Business—Intellectual property licenses</w:t>
      </w:r>
      <w:r>
        <w:rPr>
          <w:rFonts w:ascii="Arial" w:cs="Arial" w:eastAsia="Arial" w:hAnsi="Arial"/>
          <w:sz w:val="17"/>
          <w:szCs w:val="17"/>
          <w:color w:val="auto"/>
        </w:rPr>
        <w:t xml:space="preserve">, and Item 13.,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transactions—License and collaboration agreement</w:t>
      </w:r>
      <w:r>
        <w:rPr>
          <w:rFonts w:ascii="Arial" w:cs="Arial" w:eastAsia="Arial" w:hAnsi="Arial"/>
          <w:sz w:val="17"/>
          <w:szCs w:val="17"/>
          <w:color w:val="auto"/>
        </w:rPr>
        <w:t>, in this Annual Report on Form 10-K.</w:t>
      </w:r>
    </w:p>
    <w:p>
      <w:pPr>
        <w:spacing w:after="0" w:line="6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treatment and prevention of ocular disease and diagnosis, treatment, and prevention of human cancers through engineered T-cells, which are licensed to other licensees, including Allergan Pharmaceuticals International Limited and Juno Therapeutics, Inc. If we determine that rights to such excluded fields are necessary to commercialize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70" w:lineRule="exact"/>
        <w:rPr>
          <w:sz w:val="20"/>
          <w:szCs w:val="20"/>
          <w:color w:val="auto"/>
        </w:rPr>
      </w:pPr>
    </w:p>
    <w:p>
      <w:pPr>
        <w:ind w:right="20" w:firstLine="4"/>
        <w:spacing w:after="0" w:line="272" w:lineRule="auto"/>
        <w:rPr>
          <w:sz w:val="20"/>
          <w:szCs w:val="20"/>
          <w:color w:val="auto"/>
        </w:rPr>
      </w:pPr>
      <w:r>
        <w:rPr>
          <w:rFonts w:ascii="Arial" w:cs="Arial" w:eastAsia="Arial" w:hAnsi="Arial"/>
          <w:sz w:val="17"/>
          <w:szCs w:val="17"/>
          <w:color w:val="auto"/>
        </w:rPr>
        <w:t xml:space="preserve">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 For more information regarding our license agreements, see Item 1., </w:t>
      </w:r>
      <w:r>
        <w:rPr>
          <w:rFonts w:ascii="Arial" w:cs="Arial" w:eastAsia="Arial" w:hAnsi="Arial"/>
          <w:sz w:val="17"/>
          <w:szCs w:val="17"/>
          <w:i w:val="1"/>
          <w:iCs w:val="1"/>
          <w:color w:val="auto"/>
        </w:rPr>
        <w:t>Business—Intellectual property licenses</w:t>
      </w:r>
      <w:r>
        <w:rPr>
          <w:rFonts w:ascii="Arial" w:cs="Arial" w:eastAsia="Arial" w:hAnsi="Arial"/>
          <w:sz w:val="17"/>
          <w:szCs w:val="17"/>
          <w:color w:val="auto"/>
        </w:rPr>
        <w:t>, in this Annual Report on Form 10-K.</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780"/>
        <w:spacing w:after="0" w:line="277" w:lineRule="auto"/>
        <w:rPr>
          <w:sz w:val="20"/>
          <w:szCs w:val="20"/>
          <w:color w:val="auto"/>
        </w:rPr>
      </w:pPr>
      <w:r>
        <w:rPr>
          <w:rFonts w:ascii="Arial" w:cs="Arial" w:eastAsia="Arial" w:hAnsi="Arial"/>
          <w:sz w:val="18"/>
          <w:szCs w:val="18"/>
          <w:color w:val="auto"/>
        </w:rPr>
        <w:t>adversely affected. Any of these events could have a material adverse effect on our competitive position, business, financial conditions, results of operations, and prospects.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base editing platform technologies, our product candidates and our future product candidates or result in any competitive advantage.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in-licensed a number of issued U.S. patents and patent applications that cover base editing and gene targeting technologies. We have applied for provisional patent applications or Patent Cooperation Treaty, or PCT, applications intended to specifically cover our base editing platform technology and uses with respect to treatment of particular diseases and conditions,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technologies or our product candidates, or that such patents will not be challenged, narrowed, circumvented, invalidated or held unenforceable. Any failure to obtain or maintain patent protection with respect to our base editing platform technology and product candidates could have a material adverse effect on our business, financial condition, results of operations and growth prospects.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owned patent applications and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5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spacing w:after="0" w:line="254" w:lineRule="auto"/>
        <w:rPr>
          <w:sz w:val="20"/>
          <w:szCs w:val="20"/>
          <w:color w:val="auto"/>
        </w:rPr>
      </w:pPr>
      <w:r>
        <w:rPr>
          <w:rFonts w:ascii="Arial" w:cs="Arial" w:eastAsia="Arial" w:hAnsi="Arial"/>
          <w:sz w:val="18"/>
          <w:szCs w:val="18"/>
          <w:color w:val="auto"/>
        </w:rPr>
        <w:t>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 applications we own or the patents and patent applications we in-license with respect to our base editing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78" w:lineRule="exact"/>
        <w:rPr>
          <w:sz w:val="20"/>
          <w:szCs w:val="20"/>
          <w:color w:val="auto"/>
        </w:rPr>
      </w:pPr>
    </w:p>
    <w:p>
      <w:pPr>
        <w:ind w:right="140" w:firstLine="4"/>
        <w:spacing w:after="0" w:line="272" w:lineRule="auto"/>
        <w:rPr>
          <w:sz w:val="20"/>
          <w:szCs w:val="20"/>
          <w:color w:val="auto"/>
        </w:rPr>
      </w:pPr>
      <w:r>
        <w:rPr>
          <w:rFonts w:ascii="Arial" w:cs="Arial" w:eastAsia="Arial" w:hAnsi="Arial"/>
          <w:sz w:val="17"/>
          <w:szCs w:val="17"/>
          <w:color w:val="auto"/>
        </w:rPr>
        <w:t>Likewise, our currently owned patent applications, if issued as patents, and in-licensed patents and patent applications, if issued as patents, directed to our proprietary base editing technologies and our product candidates are expected to expire from 2034 through 2040,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69"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Our owned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we have an option to exclusively license certain patents and patent applications directed to Cas9 and Cas12a from Editas, who in turn has licensed such patents from various academic institutions including the Broad Institute, we do not currently have a license to such patents and patent applications. Certain of the U.S. patents and one U.S. patent application to which we hold an option are co-owned by the Broad Institute and MIT, and in some cases co-owned by the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ind w:right="620"/>
        <w:spacing w:after="0" w:line="277" w:lineRule="auto"/>
        <w:rPr>
          <w:sz w:val="20"/>
          <w:szCs w:val="20"/>
          <w:color w:val="auto"/>
        </w:rPr>
      </w:pPr>
      <w:r>
        <w:rPr>
          <w:rFonts w:ascii="Arial" w:cs="Arial" w:eastAsia="Arial" w:hAnsi="Arial"/>
          <w:sz w:val="18"/>
          <w:szCs w:val="18"/>
          <w:color w:val="auto"/>
        </w:rPr>
        <w:t>and Appeal Board of the USPTO’s, or PTAB’s, holding that there was no interference-in-fact. An interference is a proceeding within the USPTO to determine priority of invention of the subject matter of patent claims filed by different parties.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June 24, 2019, the PTAB declared an interference (U.S. Interference No. 106,115) between 10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each phase will actually take, each phase may take approximately a year or longer before a decision is made by the PTAB. It is possible for motions filed in the preliminary motions phase to be dispositive of the interference proceeding, such that the second priority phase is not reached. The 10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will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or our licensors may also be subject to claims that former employees, collaborators, or other third parties have an interest in our owned patent applications or in-licensed patents or patent applications or other intellectual property as an inventor or co-inventor. If we are unable to obtain an exclusive license to any such third-party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8" w:lineRule="exact"/>
        <w:rPr>
          <w:sz w:val="20"/>
          <w:szCs w:val="20"/>
          <w:color w:val="auto"/>
        </w:rPr>
      </w:pPr>
    </w:p>
    <w:p>
      <w:pPr>
        <w:ind w:right="40" w:firstLine="4"/>
        <w:spacing w:after="0" w:line="270" w:lineRule="auto"/>
        <w:rPr>
          <w:sz w:val="20"/>
          <w:szCs w:val="20"/>
          <w:color w:val="auto"/>
        </w:rPr>
      </w:pPr>
      <w:r>
        <w:rPr>
          <w:rFonts w:ascii="Arial" w:cs="Arial" w:eastAsia="Arial" w:hAnsi="Arial"/>
          <w:sz w:val="17"/>
          <w:szCs w:val="17"/>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181" w:lineRule="exact"/>
        <w:rPr>
          <w:sz w:val="20"/>
          <w:szCs w:val="20"/>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our collaborative development relationships;</w:t>
      </w:r>
    </w:p>
    <w:p>
      <w:pPr>
        <w:spacing w:after="0" w:line="225"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acquiring or in-licensing necessary rights to key technologies or any product candidates we may develop.</w:t>
      </w:r>
    </w:p>
    <w:p>
      <w:pPr>
        <w:spacing w:after="0" w:line="1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licensees including Harvard, Broad Institute, Editas, and Bio Palette in the past, we cannot assure you that we will be able to in-license or acquire the rights to any product candidates or technologies from third parties on acceptable terms or at all.</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For example, our agreements with certain of our third-party licensors provide that our filed of use excludes particular fields, for example, treatment and prevention of ocular disease, and diagnosis, treatment, and prevention of human cancers through engineered T-cells, which are licensed exclusively or non-exclusively to other third-party licensees.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 For more information regarding these agreements, please see Item 1., </w:t>
      </w:r>
      <w:r>
        <w:rPr>
          <w:rFonts w:ascii="Arial" w:cs="Arial" w:eastAsia="Arial" w:hAnsi="Arial"/>
          <w:sz w:val="16"/>
          <w:szCs w:val="16"/>
          <w:i w:val="1"/>
          <w:iCs w:val="1"/>
          <w:color w:val="auto"/>
        </w:rPr>
        <w:t>Business—License agreements</w:t>
      </w:r>
      <w:r>
        <w:rPr>
          <w:rFonts w:ascii="Arial" w:cs="Arial" w:eastAsia="Arial" w:hAnsi="Arial"/>
          <w:sz w:val="16"/>
          <w:szCs w:val="16"/>
          <w:color w:val="auto"/>
        </w:rPr>
        <w:t>, in this Annual Report on Form 10-K.</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there has been extensive patenting activity in the field of genome editing, and pharmaceutical companies, biotechnology companies, and academic institutions are competing with us or are expected to compete with us in the in the field of genome editing technology and filing patent applications potentially relevant to our business and we are aware of certain third-party patent applications that, if issued, may allow the third party to circumvent our patent rights. For example, we are aware of several third-party patents, and patent applications, that if issued, may be construed to cover our base editing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technology. We may also require licenses from third parties for certain non-base editing technologies including certain delivery methods that we are evaluating for use with product candidates we may develop. In addition, some of our owned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right="180"/>
        <w:spacing w:after="0" w:line="311" w:lineRule="auto"/>
        <w:rPr>
          <w:sz w:val="20"/>
          <w:szCs w:val="20"/>
          <w:color w:val="auto"/>
        </w:rPr>
      </w:pPr>
      <w:r>
        <w:rPr>
          <w:rFonts w:ascii="Arial" w:cs="Arial" w:eastAsia="Arial" w:hAnsi="Arial"/>
          <w:sz w:val="16"/>
          <w:szCs w:val="16"/>
          <w:color w:val="auto"/>
        </w:rPr>
        <w:t>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4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5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field of genome editing, especially in the area of base editing technology, is still in its infancy, and no such product candidates have reached the market. Due to the intense research and development that is taking place by several companies, including us and our competitors, in this field,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and any product candidates we may develop, including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the biotechnology and pharmaceutical industries expand and more patents are issued, the risk increases that our base editing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our base editing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In November 2018, it was reported that 211 patent families and 1835 patent family members worldwide referenced CRISPR or Cas in the title, abstracts or claims.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10,443,076; 10,487,341; 10,513,712; 10,519,467; 10,526,619, which are expected to expire around March 2033, excluding any additional term for patent term adjustment, or PTA, or patent term extension, or PTE, and any disclaimed term for terminal disclaimers. The University of California portfolio also includes U.S. pre-grant patent publications 20190264233, 20190264235, 20190264236, 20190271008, and 20190256871, which are indicated as in condition for allowance by the USPTO, as well as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spacing w:after="0" w:line="268" w:lineRule="auto"/>
        <w:rPr>
          <w:sz w:val="20"/>
          <w:szCs w:val="20"/>
          <w:color w:val="auto"/>
        </w:rPr>
      </w:pPr>
      <w:r>
        <w:rPr>
          <w:rFonts w:ascii="Arial" w:cs="Arial" w:eastAsia="Arial" w:hAnsi="Arial"/>
          <w:sz w:val="17"/>
          <w:szCs w:val="17"/>
          <w:color w:val="auto"/>
        </w:rPr>
        <w:t>opposed in Europe by multiple parties. For example, the EPO Opposition Division has initiated opposition proceedings against European Patent Nos. EP3,241,902 B1 and EP2,800,811 B1, which are estimated to expire in March 2033 (excluding any patent term adjustments or extensions). In addition, notices of opposition have also been filed by several third parties against European Patent No. EP3,401,400 B1, which is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European patent EP3,241,902 B1 and how oppositions filed against EP3,401,400 B1 will be resolved. Most of the claims of European patent EP 2,800,811 B1 were maintained without amendment by the Opposition Division, but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8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ability to commercialize our product candidates in the United States and abroad may be adversely affected if we cannot obtain a license on commercially reasonable terms to relevant third-party patents that cover our product candidates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future patents or the patents of our licensors, which could be expensive, time consuming, and unsuccessful and could result in a finding that such patents are unenforceable or invalid.</w:t>
      </w:r>
    </w:p>
    <w:p>
      <w:pPr>
        <w:spacing w:after="0" w:line="6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Competitors may infringe our future patents or the patents of our licensing partners, or we may be required to defend against claims of infringement. In addition, our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interference proceedings, derivation proceedings, and equivalent proceedings in foreign jurisdictions (e.g., opposition proceedings). These</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or other or proprietary technologies.</w:t>
      </w:r>
    </w:p>
    <w:p>
      <w:pPr>
        <w:spacing w:after="0" w:line="56" w:lineRule="exact"/>
        <w:rPr>
          <w:sz w:val="20"/>
          <w:szCs w:val="20"/>
          <w:color w:val="auto"/>
        </w:rPr>
      </w:pPr>
    </w:p>
    <w:p>
      <w:pPr>
        <w:ind w:firstLine="4"/>
        <w:spacing w:after="0" w:line="268" w:lineRule="auto"/>
        <w:rPr>
          <w:sz w:val="20"/>
          <w:szCs w:val="20"/>
          <w:color w:val="auto"/>
        </w:rPr>
      </w:pPr>
      <w:r>
        <w:rPr>
          <w:rFonts w:ascii="Arial" w:cs="Arial" w:eastAsia="Arial" w:hAnsi="Arial"/>
          <w:sz w:val="17"/>
          <w:szCs w:val="17"/>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3" w:lineRule="exact"/>
        <w:rPr>
          <w:sz w:val="20"/>
          <w:szCs w:val="20"/>
          <w:color w:val="auto"/>
        </w:rPr>
      </w:pPr>
    </w:p>
    <w:p>
      <w:pPr>
        <w:ind w:right="20" w:firstLine="4"/>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base editing platform technology and product candidates.</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7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will be prosecuted, allowing third party submission of prior art and establish a new post-grant review system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Arial" w:cs="Arial" w:eastAsia="Arial" w:hAnsi="Arial"/>
          <w:sz w:val="16"/>
          <w:szCs w:val="16"/>
          <w:i w:val="1"/>
          <w:iCs w:val="1"/>
          <w:color w:val="auto"/>
        </w:rPr>
        <w:t>Assoc. for Molecular Pathology v. Myriad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Genetics, Inc., </w:t>
      </w:r>
      <w:r>
        <w:rPr>
          <w:rFonts w:ascii="Arial" w:cs="Arial" w:eastAsia="Arial" w:hAnsi="Arial"/>
          <w:sz w:val="16"/>
          <w:szCs w:val="16"/>
          <w:color w:val="auto"/>
        </w:rPr>
        <w:t>the U.S. Supreme Court held that certain claims to DNA molecules are not patentable. We cannot predict how this and future decisions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right="20"/>
        <w:spacing w:after="0" w:line="271" w:lineRule="auto"/>
        <w:rPr>
          <w:sz w:val="20"/>
          <w:szCs w:val="20"/>
          <w:color w:val="auto"/>
        </w:rPr>
      </w:pPr>
      <w:r>
        <w:rPr>
          <w:rFonts w:ascii="Arial" w:cs="Arial" w:eastAsia="Arial" w:hAnsi="Arial"/>
          <w:sz w:val="17"/>
          <w:szCs w:val="17"/>
          <w:color w:val="auto"/>
        </w:rPr>
        <w:t xml:space="preserve">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For more information regarding PTA and PTE, please see Item 1., </w:t>
      </w:r>
      <w:r>
        <w:rPr>
          <w:rFonts w:ascii="Arial" w:cs="Arial" w:eastAsia="Arial" w:hAnsi="Arial"/>
          <w:sz w:val="17"/>
          <w:szCs w:val="17"/>
          <w:i w:val="1"/>
          <w:iCs w:val="1"/>
          <w:color w:val="auto"/>
        </w:rPr>
        <w:t>Business—Intellectual property</w:t>
      </w:r>
      <w:r>
        <w:rPr>
          <w:rFonts w:ascii="Arial" w:cs="Arial" w:eastAsia="Arial" w:hAnsi="Arial"/>
          <w:sz w:val="17"/>
          <w:szCs w:val="17"/>
          <w:color w:val="auto"/>
        </w:rPr>
        <w:t>, in this Annual Report on Form 10-K.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PTE and data exclusivity for any product candidates we may develop, our business may be materially harmed.</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ind w:right="200"/>
        <w:spacing w:after="0" w:line="277" w:lineRule="auto"/>
        <w:rPr>
          <w:sz w:val="20"/>
          <w:szCs w:val="20"/>
          <w:color w:val="auto"/>
        </w:rPr>
      </w:pPr>
      <w:r>
        <w:rPr>
          <w:rFonts w:ascii="Arial" w:cs="Arial" w:eastAsia="Arial" w:hAnsi="Arial"/>
          <w:sz w:val="18"/>
          <w:szCs w:val="18"/>
          <w:color w:val="auto"/>
        </w:rPr>
        <w:t>successful, these types of lawsuits may consume our time and other resources. Any of the foregoing could have a material adverse effect on our business, financial condition, results of operations and prospects.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740" w:right="220" w:hanging="368"/>
        <w:spacing w:after="0" w:line="30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146" w:lineRule="exact"/>
        <w:rPr>
          <w:rFonts w:ascii="Arial" w:cs="Arial" w:eastAsia="Arial" w:hAnsi="Arial"/>
          <w:sz w:val="17"/>
          <w:szCs w:val="17"/>
          <w:color w:val="auto"/>
        </w:rPr>
      </w:pPr>
    </w:p>
    <w:p>
      <w:pPr>
        <w:ind w:left="740" w:right="52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our pending, owned or licensed patent applications or those that we may own in the future will not lead to issued patents;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ind w:left="740" w:right="18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or parts of our owned or in-licensed patents;</w:t>
      </w:r>
    </w:p>
    <w:p>
      <w:pPr>
        <w:spacing w:after="0" w:line="170"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70" w:lineRule="exact"/>
        <w:rPr>
          <w:rFonts w:ascii="Arial" w:cs="Arial" w:eastAsia="Arial" w:hAnsi="Arial"/>
          <w:sz w:val="18"/>
          <w:szCs w:val="18"/>
          <w:color w:val="auto"/>
        </w:rPr>
      </w:pPr>
    </w:p>
    <w:p>
      <w:pPr>
        <w:ind w:left="740" w:right="100" w:hanging="368"/>
        <w:spacing w:after="0" w:line="263"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83"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unenforceable, or narrowed in scope, including as a result of legal challenges by our competitors;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36" w:lineRule="exact"/>
        <w:rPr>
          <w:rFonts w:ascii="Arial" w:cs="Arial" w:eastAsia="Arial" w:hAnsi="Arial"/>
          <w:sz w:val="17"/>
          <w:szCs w:val="17"/>
          <w:color w:val="auto"/>
        </w:rPr>
      </w:pPr>
    </w:p>
    <w:p>
      <w:pPr>
        <w:ind w:left="740" w:right="4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70" w:lineRule="exact"/>
        <w:rPr>
          <w:rFonts w:ascii="Arial" w:cs="Arial" w:eastAsia="Arial" w:hAnsi="Arial"/>
          <w:sz w:val="18"/>
          <w:szCs w:val="18"/>
          <w:color w:val="auto"/>
        </w:rPr>
      </w:pPr>
    </w:p>
    <w:p>
      <w:pPr>
        <w:ind w:left="740" w:right="120" w:hanging="368"/>
        <w:spacing w:after="0" w:line="342" w:lineRule="auto"/>
        <w:tabs>
          <w:tab w:leader="none" w:pos="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3"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harm our business; or</w:t>
      </w:r>
    </w:p>
    <w:p>
      <w:pPr>
        <w:spacing w:after="0" w:line="225"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right="440"/>
        <w:spacing w:after="0" w:line="375" w:lineRule="auto"/>
        <w:rPr>
          <w:sz w:val="20"/>
          <w:szCs w:val="20"/>
          <w:color w:val="auto"/>
        </w:rPr>
      </w:pPr>
      <w:r>
        <w:rPr>
          <w:rFonts w:ascii="Arial" w:cs="Arial" w:eastAsia="Arial" w:hAnsi="Arial"/>
          <w:sz w:val="18"/>
          <w:szCs w:val="18"/>
          <w:color w:val="auto"/>
        </w:rPr>
        <w:t xml:space="preserve">Should any of these events occur, they could have a material adverse effect on our business, financial condition, results of operations, and prospects. </w:t>
      </w:r>
      <w:r>
        <w:rPr>
          <w:rFonts w:ascii="Arial" w:cs="Arial" w:eastAsia="Arial" w:hAnsi="Arial"/>
          <w:sz w:val="18"/>
          <w:szCs w:val="18"/>
          <w:b w:val="1"/>
          <w:bCs w:val="1"/>
          <w:color w:val="auto"/>
        </w:rPr>
        <w:t>Risks related to regulatory and other legal compliance matters</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3" w:lineRule="exact"/>
        <w:rPr>
          <w:sz w:val="20"/>
          <w:szCs w:val="20"/>
          <w:color w:val="auto"/>
        </w:rPr>
      </w:pPr>
    </w:p>
    <w:p>
      <w:pPr>
        <w:ind w:firstLine="4"/>
        <w:spacing w:after="0" w:line="269" w:lineRule="auto"/>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7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8" w:name="page89"/>
    <w:bookmarkEnd w:id="88"/>
    <w:p>
      <w:pPr>
        <w:ind w:right="360"/>
        <w:spacing w:after="0" w:line="255" w:lineRule="auto"/>
        <w:rPr>
          <w:sz w:val="20"/>
          <w:szCs w:val="20"/>
          <w:color w:val="auto"/>
        </w:rPr>
      </w:pPr>
      <w:r>
        <w:rPr>
          <w:rFonts w:ascii="Arial" w:cs="Arial" w:eastAsia="Arial" w:hAnsi="Arial"/>
          <w:sz w:val="18"/>
          <w:szCs w:val="18"/>
          <w:color w:val="auto"/>
        </w:rPr>
        <w:t>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77" w:lineRule="exact"/>
        <w:rPr>
          <w:sz w:val="20"/>
          <w:szCs w:val="20"/>
          <w:color w:val="auto"/>
        </w:rPr>
      </w:pPr>
    </w:p>
    <w:p>
      <w:pPr>
        <w:ind w:right="1000" w:firstLine="4"/>
        <w:spacing w:after="0" w:line="308" w:lineRule="auto"/>
        <w:rPr>
          <w:sz w:val="20"/>
          <w:szCs w:val="20"/>
          <w:color w:val="auto"/>
        </w:rPr>
      </w:pPr>
      <w:r>
        <w:rPr>
          <w:rFonts w:ascii="Arial" w:cs="Arial" w:eastAsia="Arial" w:hAnsi="Arial"/>
          <w:sz w:val="17"/>
          <w:szCs w:val="17"/>
          <w:color w:val="auto"/>
        </w:rPr>
        <w:t>The withdrawal of the U.K. from the EU occurred on January 31, 2020, which is commonly known as “Brexit.” A “transition period” through December 31, 2020 has been established to allow the United Kingdom and EU to negotiate the terms of the United Kingdom’s.</w:t>
      </w:r>
    </w:p>
    <w:p>
      <w:pPr>
        <w:spacing w:after="0" w:line="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56" w:lineRule="exact"/>
        <w:rPr>
          <w:sz w:val="20"/>
          <w:szCs w:val="20"/>
          <w:color w:val="auto"/>
        </w:rPr>
      </w:pPr>
    </w:p>
    <w:p>
      <w:pPr>
        <w:jc w:val="both"/>
        <w:ind w:right="160" w:firstLine="4"/>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20"/>
        <w:spacing w:after="0" w:line="254" w:lineRule="auto"/>
        <w:rPr>
          <w:sz w:val="20"/>
          <w:szCs w:val="20"/>
          <w:color w:val="auto"/>
        </w:rPr>
      </w:pPr>
      <w:r>
        <w:rPr>
          <w:rFonts w:ascii="Arial" w:cs="Arial" w:eastAsia="Arial" w:hAnsi="Arial"/>
          <w:sz w:val="18"/>
          <w:szCs w:val="18"/>
          <w:color w:val="auto"/>
        </w:rPr>
        <w:t>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170" w:lineRule="exact"/>
        <w:rPr>
          <w:sz w:val="20"/>
          <w:szCs w:val="20"/>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restrictions on future procurements with governmental authorities;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76" w:lineRule="exact"/>
        <w:rPr>
          <w:sz w:val="20"/>
          <w:szCs w:val="20"/>
          <w:color w:val="auto"/>
        </w:rPr>
      </w:pPr>
    </w:p>
    <w:p>
      <w:pPr>
        <w:jc w:val="both"/>
        <w:ind w:right="380" w:firstLine="4"/>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176" w:lineRule="exact"/>
        <w:rPr>
          <w:sz w:val="20"/>
          <w:szCs w:val="20"/>
          <w:color w:val="auto"/>
        </w:rPr>
      </w:pPr>
    </w:p>
    <w:p>
      <w:pPr>
        <w:ind w:left="740" w:hanging="368"/>
        <w:spacing w:after="0" w:line="263"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183"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0" w:name="page91"/>
    <w:bookmarkEnd w:id="90"/>
    <w:p>
      <w:pPr>
        <w:jc w:val="both"/>
        <w:ind w:left="740" w:right="480" w:hanging="368"/>
        <w:spacing w:after="0" w:line="263"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170" w:lineRule="exact"/>
        <w:rPr>
          <w:rFonts w:ascii="Arial" w:cs="Arial" w:eastAsia="Arial" w:hAnsi="Arial"/>
          <w:sz w:val="18"/>
          <w:szCs w:val="18"/>
          <w:color w:val="auto"/>
        </w:rPr>
      </w:pPr>
    </w:p>
    <w:p>
      <w:pPr>
        <w:ind w:left="740" w:right="40" w:hanging="368"/>
        <w:spacing w:after="0" w:line="342" w:lineRule="auto"/>
        <w:tabs>
          <w:tab w:leader="none" w:pos="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23" w:lineRule="exact"/>
        <w:rPr>
          <w:rFonts w:ascii="Arial" w:cs="Arial" w:eastAsia="Arial" w:hAnsi="Arial"/>
          <w:sz w:val="16"/>
          <w:szCs w:val="16"/>
          <w:color w:val="auto"/>
        </w:rPr>
      </w:pPr>
    </w:p>
    <w:p>
      <w:pPr>
        <w:ind w:left="740" w:right="60" w:hanging="368"/>
        <w:spacing w:after="0" w:line="259"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 and</w:t>
      </w:r>
    </w:p>
    <w:p>
      <w:pPr>
        <w:spacing w:after="0" w:line="186"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1" w:name="page92"/>
    <w:bookmarkEnd w:id="91"/>
    <w:p>
      <w:pPr>
        <w:ind w:right="80"/>
        <w:spacing w:after="0" w:line="277" w:lineRule="auto"/>
        <w:rPr>
          <w:sz w:val="20"/>
          <w:szCs w:val="20"/>
          <w:color w:val="auto"/>
        </w:rPr>
      </w:pPr>
      <w:r>
        <w:rPr>
          <w:rFonts w:ascii="Arial" w:cs="Arial" w:eastAsia="Arial" w:hAnsi="Arial"/>
          <w:sz w:val="18"/>
          <w:szCs w:val="18"/>
          <w:b w:val="1"/>
          <w:bCs w:val="1"/>
          <w:i w:val="1"/>
          <w:iCs w:val="1"/>
          <w:color w:val="auto"/>
        </w:rPr>
        <w:t>Healthcare and other reform legislation may increase the difficulty and cost for us and any collaborators we may have to obtain marketing approval of and commercialize any product candidates we may develop and affect the prices we, or they, may obtain.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84" w:lineRule="exact"/>
        <w:rPr>
          <w:sz w:val="20"/>
          <w:szCs w:val="20"/>
          <w:color w:val="auto"/>
        </w:rPr>
      </w:pPr>
    </w:p>
    <w:p>
      <w:pPr>
        <w:ind w:firstLine="4"/>
        <w:spacing w:after="0" w:line="287" w:lineRule="auto"/>
        <w:rPr>
          <w:sz w:val="20"/>
          <w:szCs w:val="20"/>
          <w:color w:val="auto"/>
        </w:rPr>
      </w:pPr>
      <w:r>
        <w:rPr>
          <w:rFonts w:ascii="Arial" w:cs="Arial" w:eastAsia="Arial" w:hAnsi="Arial"/>
          <w:sz w:val="16"/>
          <w:szCs w:val="16"/>
          <w:color w:val="auto"/>
        </w:rPr>
        <w:t>Within the United States, the federal government and individual states have aggressively pursued healthcare reform, as evidenced by the passing of the Healthcare Reform Act and the ongoing efforts to modify or repeal that legislation. The Healthcare Reform Act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Trump Administration and additional modifications or repeal may occur. There are, and may continue to be, judicial challenges. We cannot predict the ultimate content, timing or effect of any changes to the Healthcare Reform Act or other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6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6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program. Fast track, breakthrough, and/or RMAT designation alone do not guarantee qualification for the FDA’s priority review procedures.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6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6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28. 2020, the FDA issued a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There remains significant ambiguity and uncertainty under FDA’s draft guidance, and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exposed to the risk of fraud or other misconduct by our employees, consultants, and commercial partners, and, if we commence clinical trials, our principal investigators. Misconduct by these parties could include intentional failures to comply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spacing w:after="0" w:line="269" w:lineRule="auto"/>
        <w:rPr>
          <w:sz w:val="20"/>
          <w:szCs w:val="20"/>
          <w:color w:val="auto"/>
        </w:rPr>
      </w:pPr>
      <w:r>
        <w:rPr>
          <w:rFonts w:ascii="Arial" w:cs="Arial" w:eastAsia="Arial" w:hAnsi="Arial"/>
          <w:sz w:val="17"/>
          <w:szCs w:val="17"/>
          <w:color w:val="auto"/>
        </w:rPr>
        <w:t>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76" w:lineRule="exact"/>
        <w:rPr>
          <w:sz w:val="20"/>
          <w:szCs w:val="20"/>
          <w:color w:val="auto"/>
        </w:rPr>
      </w:pPr>
    </w:p>
    <w:p>
      <w:pPr>
        <w:ind w:right="140" w:firstLine="4"/>
        <w:spacing w:after="0" w:line="254"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and EU. The legislative and regulatory landscape for privacy and data protection continues to evolve in jurisdictions worldwide, and there has been an increasing focus 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ind w:right="80"/>
        <w:spacing w:after="0" w:line="259" w:lineRule="auto"/>
        <w:rPr>
          <w:sz w:val="20"/>
          <w:szCs w:val="20"/>
          <w:color w:val="auto"/>
        </w:rPr>
      </w:pPr>
      <w:r>
        <w:rPr>
          <w:rFonts w:ascii="Arial" w:cs="Arial" w:eastAsia="Arial" w:hAnsi="Arial"/>
          <w:sz w:val="18"/>
          <w:szCs w:val="18"/>
          <w:color w:val="auto"/>
        </w:rPr>
        <w:t>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79" w:lineRule="exact"/>
        <w:rPr>
          <w:sz w:val="20"/>
          <w:szCs w:val="20"/>
          <w:color w:val="auto"/>
        </w:rPr>
      </w:pPr>
    </w:p>
    <w:p>
      <w:pPr>
        <w:ind w:right="80" w:firstLine="4"/>
        <w:spacing w:after="0" w:line="273" w:lineRule="auto"/>
        <w:rPr>
          <w:sz w:val="20"/>
          <w:szCs w:val="20"/>
          <w:color w:val="auto"/>
        </w:rPr>
      </w:pPr>
      <w:r>
        <w:rPr>
          <w:rFonts w:ascii="Arial" w:cs="Arial" w:eastAsia="Arial" w:hAnsi="Arial"/>
          <w:sz w:val="17"/>
          <w:szCs w:val="17"/>
          <w:color w:val="auto"/>
        </w:rPr>
        <w:t>There are numerous U.S. federal and state laws and regulations related to the privacy and security of personal information. In particular, regulations promulgated pursuant to the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The U.S. Department of Health and Human Services, of HHS, has the discretion to impose penalties without attempting to resolve violations through informal means.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EU, we are subject to the General Data Protection Regulation, or GDPR, which went into effect in May 2018 and which imposes new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we continue to address the implications of the recent changes to EU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EU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Chief Scientific Officer and other key executives and to attract, retain, and motivate qualified personnel.</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are highly dependent on John Evans, our Chief Executive Officer, and Dr. Giuseppe Ciaramella, our President and Chief Scientific Officer,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ind w:right="260"/>
        <w:spacing w:after="0" w:line="259" w:lineRule="auto"/>
        <w:rPr>
          <w:sz w:val="20"/>
          <w:szCs w:val="20"/>
          <w:color w:val="auto"/>
        </w:rPr>
      </w:pPr>
      <w:r>
        <w:rPr>
          <w:rFonts w:ascii="Arial" w:cs="Arial" w:eastAsia="Arial" w:hAnsi="Arial"/>
          <w:sz w:val="18"/>
          <w:szCs w:val="18"/>
          <w:color w:val="auto"/>
        </w:rPr>
        <w:t>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2019, we had more than 100 full-time employees and, in connection with the growth and advancement of our pipeline and becoming a public company,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Further, in connection with our collaboration and license agreement with Prime Medicine, Inc., or Prime Medicine, we are obligated to provide management services to Prime Medicine for up to one year, which could distract our management team from their responsibilities to our own company.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7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225"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preclinical studies for any product candidates that we may develop;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medicines, including those that involve gene editing;</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programs, clinical development programs, or product candidates that we may develop;</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7" w:name="page98"/>
    <w:bookmarkEnd w:id="97"/>
    <w:p>
      <w:pPr>
        <w:ind w:right="70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affiliates have significant voting power and may take actions that are not in the best interests of our other stockholders.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directors and executive officers and their affiliates beneficially own shares representing approximately 33.1%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will require annual management assessment of the effectiveness of our internal control over financial reporting. While we outsourced our finance and accounting personnel until the end of 2018, we have added additional finance and accounting personnel with certain skill sets that we need as a public company.</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 and make it more difficult for us to effectively market and sell our service to new and existing customers.</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Annual Report on Form 10-K,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also a “smaller reporting company” as defined in Regulation S-K.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and, similar to emerging growth companies, smaller reporting companies have reduced disclosure obligations regarding executive compensation.</w:t>
      </w:r>
    </w:p>
    <w:p>
      <w:pPr>
        <w:spacing w:after="0" w:line="1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have added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Annual Report on Form 10-K for the year ended December 31, 2020.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6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187" w:lineRule="exact"/>
        <w:rPr>
          <w:sz w:val="20"/>
          <w:szCs w:val="20"/>
          <w:color w:val="auto"/>
        </w:rPr>
      </w:pPr>
    </w:p>
    <w:p>
      <w:pPr>
        <w:ind w:left="740" w:right="18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2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225" w:lineRule="exact"/>
        <w:rPr>
          <w:rFonts w:ascii="Arial" w:cs="Arial" w:eastAsia="Arial" w:hAnsi="Arial"/>
          <w:sz w:val="18"/>
          <w:szCs w:val="18"/>
          <w:color w:val="auto"/>
        </w:rPr>
      </w:pPr>
    </w:p>
    <w:p>
      <w:pPr>
        <w:ind w:left="740" w:right="620" w:hanging="368"/>
        <w:spacing w:after="0" w:line="277" w:lineRule="auto"/>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220" w:firstLine="4"/>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occupy approximately 38,203 square feet of office and laboratory space in Cambridge, Massachusetts under a lease that expires in October 2028. We have entered into a lease agreement with the Massachusetts Institute of Technology for approximately 123,209 square feet of office and laboratory space, which is currently under construction. We currently anticipate commencing this lease at the earliest in late 2021 upon completion of construction. Upon completion of construction and our commencement of our occupancy within the space, the lease will expire on the twelfth anniversary of commencement. We believe that our facilities are sufficient to meet our current needs and that suitable additional space will be available as and when needed.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“BEAM” since February 6, 2020. Prior to that time, there was no public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25, 2020, there were approximately 85 holders of record of our common stock. This number does not include beneficial owners whose shares are held by nominees in street name.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Information about our equity compensation plans is incorporated herein by reference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Related Stockholder Matters</w:t>
      </w:r>
      <w:r>
        <w:rPr>
          <w:rFonts w:ascii="Arial" w:cs="Arial" w:eastAsia="Arial" w:hAnsi="Arial"/>
          <w:sz w:val="18"/>
          <w:szCs w:val="18"/>
          <w:color w:val="auto"/>
        </w:rPr>
        <w:t>,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2019.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2019, we issued an aggregate of 11,308,397 shares of our Series B Preferred Stock for aggregate consideration of $38.0 million to four investors. No underwriters were used in the foregoing transaction. All sales of securities described above were made in reliance upon the exemption from registration provided by Section 4(a)(2) of the Securities Act for transactions by an issuer not involving a public offering. Each series of Preferred Stock automatically converted into shares of our common stock upon the closing of the initial public offering, or IPO, of our common stock in February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and restricted stock</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year ended December 31, 2019, we have granted stock options to purchase an aggregate of 2,671,871 shares of our common stock at a weighted-average exercise price of $7.66 to employees and directors. The issuances of these securities were exempt pursuant to Rule 701, as transactions pursuant to a compensatory benefit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10, 2020, we closed our IPO in which we issued and sold 12,176,471 shares of our common stock, including 1,588,235 shares of common stock sold pursuant to the underwriters’ full exercise of their option to purchase additional shares, at a public offering price of $17.00 per share, for aggregate gross proceeds of $207.0 million. All of the shares issued and sold in the IPO were registered under the Securities Act pursuant to a Registration Statement on Form S-1 (File No. 333-233985), which was declared effective by the SEC on February 5, 2020, and a Registration Statement on Form S-1 MEF (File No. 333-236284) filed pursuant to Rule 462(b) of the Securities Act. J.P. Morgan Securities LLC, Jeffries LLC, and Barclays Capital Inc. acted as joint bookrunning managers of the IPO and as representatives of the underwriters. Wedbush Securities Inc. acted as the lead manager for the IPO. The offering commenced on February 5, 2020 and did not terminate until the sale of all the shares offered.</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net offering proceeds to us, after deducting underwriting discounts and estimated offering expenses payable by us of $18.7 million, were $188.3 million. No offering expenses were paid directly or indirectly to any of our directors or officers (or their associates) or persons owning 10.0% or more of any class of our equity securities or to any other affiliates. We are holding a significant portion of the balance of the net proceeds from the offering in money market funds and short-term investments. Our use of the net offering proceeds through the date of the filing of this Annual Report on Form 10-K, is consistent with the use of proceeds described in our prospectus filed with the SEC pursuant to Rule 424(b)(4) on February 7, 2020, and there has been no material change in our planned use of the balance of the net proceeds from the offering described in such prospectus.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we nor any affiliated purchaser or anyone acting on our behalf or on behalf of an affiliated purchaser made any purchases of shares of our common stock during the year ended December 31, 2019.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following tables set forth, for the periods and as of the dates indicated, our selected historical financial data, which have been derived from our audited consolidated financial statements. You should read this data together with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our consolidated financial statements and related notes thereto contained in this Annual Report on Form 10-K. Our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not necessarily indicative of our future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operations are summarized as follows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Years ended December 31,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January 25,</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License revenue</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54,619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33,873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20,553</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11,868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75,172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45,741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Arial" w:cs="Arial" w:eastAsia="Arial" w:hAnsi="Arial"/>
                <w:sz w:val="18"/>
                <w:szCs w:val="18"/>
                <w:color w:val="auto"/>
              </w:rPr>
              <w:t>Loss on issuance of preferred stock in connection with Blink Merger (1)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issuance of preferred stock to investors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60"/>
              <w:spacing w:after="0"/>
              <w:rPr>
                <w:sz w:val="20"/>
                <w:szCs w:val="20"/>
                <w:color w:val="auto"/>
              </w:rPr>
            </w:pPr>
            <w:r>
              <w:rPr>
                <w:rFonts w:ascii="Arial" w:cs="Arial" w:eastAsia="Arial" w:hAnsi="Arial"/>
                <w:sz w:val="18"/>
                <w:szCs w:val="18"/>
                <w:color w:val="auto"/>
              </w:rPr>
              <w:t>Change in fair value of preferred stock tranche liabilities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2,486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(70,997)</w:t>
            </w:r>
          </w:p>
        </w:tc>
        <w:tc>
          <w:tcPr>
            <w:tcW w:w="1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(116,738)</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w w:val="96"/>
              </w:rPr>
              <w:t>Net loss per common share attributable to common stockholders, basic and diluted</w:t>
            </w:r>
          </w:p>
        </w:tc>
        <w:tc>
          <w:tcPr>
            <w:tcW w:w="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196"/>
        </w:trPr>
        <w:tc>
          <w:tcPr>
            <w:tcW w:w="63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3"/>
              </w:rPr>
              <w:t>Weighted-average common shares used in net loss per share attributable to common</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6,479,591</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2,893,978</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258,520</w:t>
            </w: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3"/>
          </w:tcPr>
          <w:p>
            <w:pPr>
              <w:spacing w:after="0"/>
              <w:rPr>
                <w:sz w:val="20"/>
                <w:szCs w:val="20"/>
                <w:color w:val="auto"/>
              </w:rPr>
            </w:pPr>
            <w:r>
              <w:rPr>
                <w:rFonts w:ascii="Arial" w:cs="Arial" w:eastAsia="Arial" w:hAnsi="Arial"/>
                <w:sz w:val="18"/>
                <w:szCs w:val="18"/>
                <w:color w:val="auto"/>
                <w:w w:val="91"/>
              </w:rPr>
              <w:t>Our consolidated balance sheets as of December 31 are summarized as follows (in thousands):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6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91,848</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146,443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156,099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167,012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302,049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251,434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(117,406)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jc w:val="center"/>
        <w:ind w:left="5480" w:right="40" w:hanging="5472"/>
        <w:spacing w:after="0" w:line="527" w:lineRule="auto"/>
        <w:tabs>
          <w:tab w:leader="none" w:pos="4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Blink Therapeutics</w:t>
      </w:r>
      <w:r>
        <w:rPr>
          <w:rFonts w:ascii="Arial" w:cs="Arial" w:eastAsia="Arial" w:hAnsi="Arial"/>
          <w:sz w:val="18"/>
          <w:szCs w:val="18"/>
          <w:color w:val="auto"/>
        </w:rPr>
        <w:t>, to our consolidated financial statements in this Annual Report on Form 10-K for a description of the Blink Merger.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a research stage biotechnology company committed to creating a new class of precision genetic medicines, based on our proprietary base editing technology, with a vision of providing life-long cures to patients suffering from serious diseases.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which we believe will dramatically increase the impact of gene editing for a broad range of therapeutic applications. We believe we will be able to rapidly advance our portfolio of novel base editing programs by building on the significant recent advances in the field of genetic medicines.</w:t>
      </w:r>
    </w:p>
    <w:p>
      <w:pPr>
        <w:spacing w:after="0" w:line="8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Our novel base editors have two principal components that are fused together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achieved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long-term engraftment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base edited human CD34 cells in mice for our Hereditary Persistence of Fetal Hemoglobin, or HPFH, program, and we have demonstrated base editing of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therapeutically relevant levels for the majority of our remaining programs. We have also successfully demonstrated feasibility of base editing with each of our three delivery modalities in relevant cell types (electroporation and AAV)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mice (LNP).</w:t>
      </w:r>
    </w:p>
    <w:p>
      <w:pPr>
        <w:spacing w:after="0" w:line="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We expect to achieve additional preclinical proofs-of-concept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additional programs in 2020, which could include engraftment results for the Makassar precise correction sickle cell program, xenograft models for our CAR-T programs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based editing in our programs using LNP or AAV delivery. If successful, and provided the coronavirus disease of 2019, or COVID-19, does not cause our timelines to slip materially, this will allow us to initiate investigational new drug, or IND, enabling studies for multiple programs beginning in 2020. We expect to file an initial wave of IND filings beginning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We were incorporated on January 25, 2017 and commenced operations shortly thereafter.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Series A-1 redeemable convertible preferred stock, or the Series A-1 Preferred Stock, Series A-2 redeemable convertible preferred stock, or the Series A-2 Preferred Stock, and Series B redeemable convertible preferred stock, or the Series B Preferred Stock and, together with the Series A-1 Preferred Stock and the Series A-2 Preferred Stock, the Preferred Stock, and through proceeds from our February 2020 IPO. Through December 31, 2019, we have raised an aggregate of $223.6 million from the sale of our Preferred Stock.</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9, 2018, we entered into a merger option agreement with Blink Therapeutics Inc., or Blink. In September 2018, we exercised our option to acquire Blink, or the Blink Merger, and Blink thereafter became our wholly owned subsidiary. Blink held rights to certain intellectual property related to RNA-based editing. Pursuant to the Blink Merger, we issued two shares of our Series A-2 Preferred Stock for each share of redeemable convertible series A preferred stock of Blink, and we issued 0.446 shares of our common stock for each share of Blink common stock. We began consolidating Blink on May 9, 2018.</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development stage company, and all of our programs are at a preclinical stage of development. To date, we have not generated any revenue from product sales and do not expect to generate revenue from the sale of products for the foreseeable future. Since inception we have incurred significant operating losses. Our net losses for the years ended December 31, 2019 and 2018 were $78.3 million and $116.7 million, respectively. As of December 31, 2019, we had an accumulated deficit of $203.0 million.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4" w:name="page105"/>
    <w:bookmarkEnd w:id="104"/>
    <w:p>
      <w:pPr>
        <w:spacing w:after="0" w:line="273" w:lineRule="auto"/>
        <w:rPr>
          <w:sz w:val="20"/>
          <w:szCs w:val="20"/>
          <w:color w:val="auto"/>
        </w:rPr>
      </w:pPr>
      <w:r>
        <w:rPr>
          <w:rFonts w:ascii="Arial" w:cs="Arial" w:eastAsia="Arial" w:hAnsi="Arial"/>
          <w:sz w:val="17"/>
          <w:szCs w:val="17"/>
          <w:color w:val="auto"/>
        </w:rPr>
        <w:t>Our total operating expenses were $75.2 million and $45.7 million for the years ended December 31, 2019 and 2018, respectively. We expect to continue to incur significant expenses and increasing operating losses in connection with ongoing development activities related to our portfolio of programs as we continue our preclinical development of product candidates; advance these product candidates toward clinical development; further develop our base editing platform; research activities as we seek to discover and develop additional product candidates; maintenance, expansion enforcement, defense, and protection of our intellectual property portfolio; and hiring research and development, clinical and commercial personnel. In addition, upon the closing of our IPO, we expect to incur additional costs associated with operating as a public company.</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funds to support our operations, or, if such funds are available to us, that such additional funding will be sufficient to meet our needs.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which include:</w:t>
      </w:r>
    </w:p>
    <w:p>
      <w:pPr>
        <w:spacing w:after="0" w:line="225" w:lineRule="exact"/>
        <w:rPr>
          <w:sz w:val="20"/>
          <w:szCs w:val="20"/>
          <w:color w:val="auto"/>
        </w:rPr>
      </w:pPr>
    </w:p>
    <w:p>
      <w:pPr>
        <w:ind w:left="740" w:right="100" w:hanging="368"/>
        <w:spacing w:after="0" w:line="263"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to obtain licenses to intellectual property, such as those with Harvard University, or Harvard, Broad Institute of MIT and Harvard, or Broad Institute, and Editas Medicine, Inc, or Editas, and related future payments should certain success, development and regulatory milestones be achieved;</w:t>
      </w:r>
    </w:p>
    <w:p>
      <w:pPr>
        <w:spacing w:after="0" w:line="183" w:lineRule="exact"/>
        <w:rPr>
          <w:rFonts w:ascii="Arial" w:cs="Arial" w:eastAsia="Arial" w:hAnsi="Arial"/>
          <w:sz w:val="18"/>
          <w:szCs w:val="18"/>
          <w:color w:val="auto"/>
        </w:rPr>
      </w:pPr>
    </w:p>
    <w:p>
      <w:pPr>
        <w:ind w:left="740" w:right="740" w:hanging="368"/>
        <w:spacing w:after="0" w:line="277"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for employees engaged in research and development functions;</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developing and validating our manufacturing process for use in our preclinical studies and future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laboratory supplies and research materials;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1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early phases of development, our research and development costs are often devoted to product platform and proof-of-concept studies that are not necessarily allocable to a specific target, therefore, we have not yet begun tracking our expenses on a program-by-program basis.</w:t>
      </w:r>
    </w:p>
    <w:p>
      <w:pPr>
        <w:spacing w:after="0" w:line="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future clinical development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to support increased research and development activities. We also expect to incur increased costs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expenses consist of the following items:</w:t>
      </w:r>
    </w:p>
    <w:p>
      <w:pPr>
        <w:spacing w:after="0" w:line="225" w:lineRule="exact"/>
        <w:rPr>
          <w:sz w:val="20"/>
          <w:szCs w:val="20"/>
          <w:color w:val="auto"/>
        </w:rPr>
      </w:pPr>
    </w:p>
    <w:p>
      <w:pPr>
        <w:ind w:left="740" w:right="100" w:hanging="368"/>
        <w:spacing w:after="0" w:line="259"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 in fair value of derivative liabilities </w:t>
      </w:r>
      <w:r>
        <w:rPr>
          <w:rFonts w:ascii="Arial" w:cs="Arial" w:eastAsia="Arial" w:hAnsi="Arial"/>
          <w:sz w:val="18"/>
          <w:szCs w:val="18"/>
          <w:color w:val="auto"/>
        </w:rPr>
        <w:t>consists primarily of remeasurement gains or losses associated with changes in the anti-dilution</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rights, finance milestone payment liabilities and success payment liabilities associated with our license agreement with Harvard, dated as of June 27, 2017, as amended, or the Harvard License Agreement, and the license agreement between Blink and Broad Institute, as amended, dated as of May 9, 2018, or the Broad License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5" w:name="page106"/>
    <w:bookmarkEnd w:id="105"/>
    <w:p>
      <w:pPr>
        <w:ind w:left="760" w:right="60"/>
        <w:spacing w:after="0" w:line="257" w:lineRule="auto"/>
        <w:rPr>
          <w:sz w:val="20"/>
          <w:szCs w:val="20"/>
          <w:color w:val="auto"/>
        </w:rPr>
      </w:pPr>
      <w:r>
        <w:rPr>
          <w:rFonts w:ascii="Arial" w:cs="Arial" w:eastAsia="Arial" w:hAnsi="Arial"/>
          <w:sz w:val="18"/>
          <w:szCs w:val="18"/>
          <w:color w:val="auto"/>
        </w:rPr>
        <w:t>Anti-dilution issuance rights were issued to Harvard and Broad Institute allowing Harvard and Broad Institute to maintain a defined ownership percentage in us on a fully diluted basis upon subsequent equity financings until we achieved a defined aggregate level of preferred stock financing. At the inception of the agreements, the liability for the anti-dilution right was recorded at fair value with cost recorded as research and development expense and was remeasured at each reporting period and at the termination of the right with changes recorded in other income (expense).</w:t>
      </w:r>
    </w:p>
    <w:p>
      <w:pPr>
        <w:spacing w:after="0" w:line="80" w:lineRule="exact"/>
        <w:rPr>
          <w:sz w:val="20"/>
          <w:szCs w:val="20"/>
          <w:color w:val="auto"/>
        </w:rPr>
      </w:pPr>
    </w:p>
    <w:p>
      <w:pPr>
        <w:ind w:left="760" w:right="80"/>
        <w:spacing w:after="0" w:line="286" w:lineRule="auto"/>
        <w:rPr>
          <w:sz w:val="20"/>
          <w:szCs w:val="20"/>
          <w:color w:val="auto"/>
        </w:rPr>
      </w:pPr>
      <w:r>
        <w:rPr>
          <w:rFonts w:ascii="Arial" w:cs="Arial" w:eastAsia="Arial" w:hAnsi="Arial"/>
          <w:sz w:val="17"/>
          <w:szCs w:val="17"/>
          <w:color w:val="auto"/>
        </w:rPr>
        <w:t>Financing milestone payment liabilities are derived from future cash payments due to Harvard and Broad Institute upon the closing of additional rounds of Preferred Stock. At the inception of the agreements, the liabilities were recorded at fair value with cost recorded as research and development expense and were remeasured at each reporting period with changes recorded in other income (expense).</w:t>
      </w:r>
    </w:p>
    <w:p>
      <w:pPr>
        <w:spacing w:after="0" w:line="57" w:lineRule="exact"/>
        <w:rPr>
          <w:sz w:val="20"/>
          <w:szCs w:val="20"/>
          <w:color w:val="auto"/>
        </w:rPr>
      </w:pPr>
    </w:p>
    <w:p>
      <w:pPr>
        <w:ind w:left="760" w:right="140"/>
        <w:spacing w:after="0" w:line="301" w:lineRule="auto"/>
        <w:rPr>
          <w:sz w:val="20"/>
          <w:szCs w:val="20"/>
          <w:color w:val="auto"/>
        </w:rPr>
      </w:pPr>
      <w:r>
        <w:rPr>
          <w:rFonts w:ascii="Arial" w:cs="Arial" w:eastAsia="Arial" w:hAnsi="Arial"/>
          <w:sz w:val="16"/>
          <w:szCs w:val="16"/>
          <w:color w:val="auto"/>
        </w:rPr>
        <w:t>Success payment liabilities are derived from future increases in the per share fair market value of the Series A-1 Preferred Stock and Series A-2 Preferred Stock at specified future dates. At inception of the agreements, the success payment liabilities were recorded at fair market value with cost recorded as research and development expense and were remeasured at each reporting period with changes recorded in other income (expense). Depending on our valuation, the success payment liabilities could fluctuate significantly from period to period.</w:t>
      </w:r>
    </w:p>
    <w:p>
      <w:pPr>
        <w:spacing w:after="0" w:line="49"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All anti-dilution issuance rights and finance milestone liabilities pursuant to our Harvard License Agreement and Broad License Agreement have been met as of December 31, 2018. Accordingly, we are no longer required to record liabilities for these rights.</w:t>
      </w:r>
    </w:p>
    <w:p>
      <w:pPr>
        <w:spacing w:after="0" w:line="170" w:lineRule="exact"/>
        <w:rPr>
          <w:sz w:val="20"/>
          <w:szCs w:val="20"/>
          <w:color w:val="auto"/>
        </w:rPr>
      </w:pPr>
    </w:p>
    <w:p>
      <w:pPr>
        <w:ind w:left="740" w:right="20" w:hanging="368"/>
        <w:spacing w:after="0" w:line="259"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Loss on issuance of preferred stock in connection with Blink Merger </w:t>
      </w:r>
      <w:r>
        <w:rPr>
          <w:rFonts w:ascii="Arial" w:cs="Arial" w:eastAsia="Arial" w:hAnsi="Arial"/>
          <w:sz w:val="18"/>
          <w:szCs w:val="18"/>
          <w:color w:val="auto"/>
        </w:rPr>
        <w:t>represents the expense recognized upon the consummation of the Blink</w:t>
      </w:r>
      <w:r>
        <w:rPr>
          <w:rFonts w:ascii="Arial" w:cs="Arial" w:eastAsia="Arial" w:hAnsi="Arial"/>
          <w:sz w:val="18"/>
          <w:szCs w:val="18"/>
          <w:i w:val="1"/>
          <w:iCs w:val="1"/>
          <w:color w:val="auto"/>
        </w:rPr>
        <w:t xml:space="preserve"> </w:t>
      </w:r>
      <w:r>
        <w:rPr>
          <w:rFonts w:ascii="Arial" w:cs="Arial" w:eastAsia="Arial" w:hAnsi="Arial"/>
          <w:sz w:val="18"/>
          <w:szCs w:val="18"/>
          <w:color w:val="auto"/>
        </w:rPr>
        <w:t>Merger. Pursuant to the Blink Merger, we issued two shares of our Series A-2 Preferred Stock for each share of Blink and took a charge representing the excess of the fair value of our Series A-2 Preferred Stock issued to Blink shareholders over the value of the Blink preferred stock exchanged by Blink shareholders.</w:t>
      </w:r>
    </w:p>
    <w:p>
      <w:pPr>
        <w:spacing w:after="0" w:line="186"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Loss on issuance of preferred stock to investors </w:t>
      </w:r>
      <w:r>
        <w:rPr>
          <w:rFonts w:ascii="Arial" w:cs="Arial" w:eastAsia="Arial" w:hAnsi="Arial"/>
          <w:sz w:val="18"/>
          <w:szCs w:val="18"/>
          <w:color w:val="auto"/>
        </w:rPr>
        <w:t>consists of a charge taken upon issuance of our Preferred Stock at a discount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 above the sale price.</w:t>
      </w:r>
    </w:p>
    <w:p>
      <w:pPr>
        <w:spacing w:after="0" w:line="170"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 in fair value of preferred stock tranche liabilities </w:t>
      </w:r>
      <w:r>
        <w:rPr>
          <w:rFonts w:ascii="Arial" w:cs="Arial" w:eastAsia="Arial" w:hAnsi="Arial"/>
          <w:sz w:val="18"/>
          <w:szCs w:val="18"/>
          <w:color w:val="auto"/>
        </w:rPr>
        <w:t>consist primarily of remeasurement gains or losses associated with changes in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tranche rights associated with our Series A-1 Preferred Stock and Series A-2 Preferred Stock. All obligations have been met at December 31, 2018 and therefore there will be no further remeasurement.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2019 and 2018, together with the change in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Change</w:t>
            </w:r>
          </w:p>
        </w:tc>
      </w:tr>
      <w:tr>
        <w:trPr>
          <w:trHeight w:val="155"/>
        </w:trPr>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54,619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33,873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20,746</w:t>
            </w: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20,553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11,868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8,685</w:t>
            </w:r>
          </w:p>
        </w:tc>
      </w:tr>
      <w:tr>
        <w:trPr>
          <w:trHeight w:val="223"/>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75,172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45,741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29,431</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(45,741)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(29,413)</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6,349</w:t>
            </w: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issuance of preferred stock in connection with Blink Merger</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49,500</w:t>
            </w: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Loss on issuance of preferred stock to investors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5,715</w:t>
            </w: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liabilities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4,325</w:t>
            </w: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2,194</w:t>
            </w: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7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(70,997)</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67,825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38,412</w:t>
            </w:r>
          </w:p>
        </w:tc>
      </w:tr>
      <w:tr>
        <w:trPr>
          <w:trHeight w:val="20"/>
        </w:trPr>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License revenue was $18,000 for the year ended December 31, 2019 representing Verve license revenue recorded under the Collaboration and License Agreement executed in April 2019. There was no revenue for the year ended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were $54.6 million and $33.9 million for the years ended December 31, 2019 and 2018, respectively. The increase of $20.7 million was primarily due to the following:</w:t>
      </w:r>
    </w:p>
    <w:p>
      <w:pPr>
        <w:spacing w:after="0" w:line="170" w:lineRule="exact"/>
        <w:rPr>
          <w:sz w:val="20"/>
          <w:szCs w:val="20"/>
          <w:color w:val="auto"/>
        </w:rPr>
      </w:pPr>
    </w:p>
    <w:p>
      <w:pPr>
        <w:ind w:left="740" w:right="80" w:hanging="368"/>
        <w:spacing w:after="0" w:line="259" w:lineRule="auto"/>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of $16.4 million in lab supplies and outsourced services, $10.7 million in personnel-related costs, and $4.6 million in facility-related costs, including depreciation. These increases were due to the growth in the number of research and development employees from 40 at December 31, 2018 to 97 at December 31, 2019, and their related activities, as well as the expense allocated to research and development related to our leased facilities.</w:t>
      </w:r>
    </w:p>
    <w:p>
      <w:pPr>
        <w:spacing w:after="0" w:line="186" w:lineRule="exact"/>
        <w:rPr>
          <w:rFonts w:ascii="Arial" w:cs="Arial" w:eastAsia="Arial" w:hAnsi="Arial"/>
          <w:sz w:val="18"/>
          <w:szCs w:val="18"/>
          <w:color w:val="auto"/>
        </w:rPr>
      </w:pPr>
    </w:p>
    <w:p>
      <w:pPr>
        <w:ind w:left="740" w:right="200" w:hanging="368"/>
        <w:spacing w:after="0" w:line="263" w:lineRule="auto"/>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$1.7 million in stock compensation due to a one-time charge of $3.6 million for the year ended December 31, 2018 related to the Blink merger offset by an increase in stock compensation expense for additional stock option awards due to the increase in the number of research and development employees in 2019.</w:t>
      </w:r>
    </w:p>
    <w:p>
      <w:pPr>
        <w:spacing w:after="0" w:line="183" w:lineRule="exact"/>
        <w:rPr>
          <w:rFonts w:ascii="Arial" w:cs="Arial" w:eastAsia="Arial" w:hAnsi="Arial"/>
          <w:sz w:val="18"/>
          <w:szCs w:val="18"/>
          <w:color w:val="auto"/>
        </w:rPr>
      </w:pPr>
    </w:p>
    <w:p>
      <w:pPr>
        <w:ind w:left="740" w:hanging="368"/>
        <w:spacing w:after="0" w:line="254" w:lineRule="auto"/>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$10.0 million in expenses related to technology licenses. For the year ended December 31, 2019, technology license expense was $3.4 million, which consisted primarily of option fees of $2.4 million related to a technology license agreement and $0.8 million, which consisted primarily of the license fee and fair value of Beam common stock provided to Bio Palette in conjunction with a license agreement executed in March 2019. For the year ended December 31, 2018, technology license expense was $13.3 million, which included: $5.3 million related to the Broad License Agreement for the initial value of anti-dilution rights, financing milestone payment liabilities, success payment liabilities, and the initial shares of common stock issued to Broad Institute, $3.7 million related to the issuance of 3,055,555 shares of Preferred Stock under a license agreement with Editas, $2.2 million for additional shares of stock issued to Broad Institute upon the Blink merger, and other technology license expenses of $2.0 million.</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General and administrative expenses were $20.6 million and $11.9 million for the years ended December 31, 2019 and 2018, respectively. The increase of $8.7 million was primarily a result of a $4.4 million increase in personnel related costs due to an increase in general and administrative employees from eight employees as of December 31, 2018 to 21 employees as of December 31, 2019, a $1.7 million increase in stock-based compensation due to an increase in the number of general and administrative employees as well as an increase in the value of our common stock, a $1.2 million increase in outsourced services including audit services as well as consulting services to supplement our internal capabilities, a $1.1 million increase in other administrative expenses, and a $0.3 million increase in expense allocated to general and administrative expense related to our leased facilities, including depreciation, to support the growing organization.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December 31, 2018, the anti-dilution rights related to the Harvard License Agreement and the Broad License Agreement terminated and we issued 765,549 shares of our common stock to Harvard and Blink issued 920,000 shares of its common stock (which was converted into 410,320 shares of our common stock in connection with the Blink Merger) to Broad Institute. For the year ended December 31, 2018, we recorded a $1.3 million change in fair value expense related to these anti-dilution issuance rights.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2018, we recorded a $9.7 million change in fair value expense related to financial milestone payments. All remaining financing milestone obligations were met in 2018.</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year ended December 31, 2019, we recorded a $5.4 million change in fair value expense related to the success payment liabilities as compared to a $0.7 million expense for the year ended December 31, 2018. The success payment obligations are still outstanding as of December 31, 2019 and will continue to be revalued at each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issuance of preferred stock in connection with Blink Merger</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Loss on issuance of preferred stock in connection with the Blink Merger of $49.5 million for the year ended December 31, 2018 represented the excess of the fair value of our Series A-2 Preferred Stock issued to Blink shareholders over the value of the Blink preferred stock exchanged by Blink shareholders at the time of the Blink Merger.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issuance of preferred stock to investors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Loss on issuance of preferred stock to investors of $5.7 million for the year ended December 31, 2018 resulted from issuance of our Series A-1 Preferred Stock at a fair value of the preferred stock in excess of the cash proceeds received.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Change in fair value of preferred stock tranche liabilities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determined that our obligation to issue and our investors’ obligation to purchase additional shares of Series A-1 Preferred Stock and Series A-2 Preferred Stock represented a freestanding financial instrument. The resulting preferred stock tranche liability was initially recorded at fair value, with gains and losses arising from changes in fair value recognized in the consolidated statement of operations at each period while such instruments were outstanding. As a result of the changes in fair value, we recognized other expense of $4.3 million for the year ended December 31, 2018. As of December 31, 2018, the tranche rights had been exercised and the liabilities have been reclassified to preferred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income was $2.5 million for the year ended December 31, 2019 as compared to $0.3 million for the year ended December 31, 2018. We began actively investing our funds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of $0.2 million for the year ended December 31, 2019 was related to our equipment financing leases. There was no corresponding interest expense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2018 and period ended December 31, 2017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Period from</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January 25,</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2017 (Inception)</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260" w:type="dxa"/>
            <w:vAlign w:val="bottom"/>
          </w:tcPr>
          <w:p>
            <w:pPr>
              <w:spacing w:after="0"/>
              <w:rPr>
                <w:sz w:val="12"/>
                <w:szCs w:val="12"/>
                <w:color w:val="auto"/>
              </w:rPr>
            </w:pPr>
          </w:p>
        </w:tc>
        <w:tc>
          <w:tcPr>
            <w:tcW w:w="11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33,873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5,859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28,014</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11,868</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23"/>
        </w:trPr>
        <w:tc>
          <w:tcPr>
            <w:tcW w:w="59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45,741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37,861</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Loss on issuance of preferred stock in connection with Blink Merger</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(49,500)</w:t>
            </w: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issuance of preferred stock to investors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liabilities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7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(70,997)</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(70,875)</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(116,738)</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$33.9 million for the year ended December 31, 2018, compared to $5.9 million for the period from January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(Inception) to December 31, 2017. The increase of $28.0 million was primarily due to the following:</w:t>
      </w:r>
    </w:p>
    <w:p>
      <w:pPr>
        <w:spacing w:after="0" w:line="211" w:lineRule="exact"/>
        <w:rPr>
          <w:sz w:val="20"/>
          <w:szCs w:val="20"/>
          <w:color w:val="auto"/>
        </w:rPr>
      </w:pPr>
    </w:p>
    <w:p>
      <w:pPr>
        <w:ind w:left="740" w:right="20" w:hanging="368"/>
        <w:spacing w:after="0" w:line="271"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$8.5 million increase in expenses related to technology licenses. In 2018, technology license expense included: $5.3 million related to the Broad License Agreement for the initial value of anti-dilution rights, financing milestone payment liabilities, success payment liabilities, and the initial shares of common stock issued to Broad Institute, $2.2 million related to the issuance of 410,320 additional shares of Beam common stock to Broad Institute in connection with the Blink Merger, $3.7 million related to the issuance of 3,055,555 shares of Preferred Stock under a license agreement with Editas; and other technology license expenses of $2.0 million. In 2017, technology license expenses included $4.8 million related to the Harvard License Agreement for the initial value of anti-dilution rights, financing milestone payment liabilities, success payment liabilities, and the initial shares of common stock issued to Harvard. These amounts were recorded as research and development expenses as they are considered compensation for the respective license agreements.</w:t>
      </w:r>
    </w:p>
    <w:p>
      <w:pPr>
        <w:spacing w:after="0" w:line="178" w:lineRule="exact"/>
        <w:rPr>
          <w:rFonts w:ascii="Arial" w:cs="Arial" w:eastAsia="Arial" w:hAnsi="Arial"/>
          <w:sz w:val="17"/>
          <w:szCs w:val="17"/>
          <w:color w:val="auto"/>
        </w:rPr>
      </w:pPr>
    </w:p>
    <w:p>
      <w:pPr>
        <w:ind w:left="740" w:right="80" w:hanging="368"/>
        <w:spacing w:after="0" w:line="259"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Increases of $5.9 million in lab supplies and outsourced services, $4.4 million in personnel-related costs, and $3.2 million in facility-related costs, including depreciation. These increases were due to the growth in the number of research and development employees from four at December 31, 2017 to 40 at December 31, 2018, and their related activities, as well as the expense allocated to research and development related to our new leased facility.</w:t>
      </w:r>
    </w:p>
    <w:p>
      <w:pPr>
        <w:spacing w:after="0" w:line="186"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$5.7 million in stock compensation, including $3.6 million of expense representing the difference in value of the fully vested shares issued to the scientific founders of Blink and the value exchanged by the Blink shareholders at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ind w:left="740" w:right="380"/>
        <w:spacing w:after="0" w:line="277" w:lineRule="auto"/>
        <w:rPr>
          <w:sz w:val="20"/>
          <w:szCs w:val="20"/>
          <w:color w:val="auto"/>
        </w:rPr>
      </w:pPr>
      <w:r>
        <w:rPr>
          <w:rFonts w:ascii="Arial" w:cs="Arial" w:eastAsia="Arial" w:hAnsi="Arial"/>
          <w:sz w:val="18"/>
          <w:szCs w:val="18"/>
          <w:color w:val="auto"/>
        </w:rPr>
        <w:t>time of the Blink Merger. The remainder of the increase was due to the increase in the number of research and development employees from December 31, 2017 to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General and administrative expenses were $11.9 million for the year ended December 31, 2018, compared to $2.0 million for the period from January 25, 2017 (Inception) ended December 31, 2017. The increase of $9.8 million was primarily due to an increase in legal and patent costs of $4.3 million associated with establishing our patent portfolio, $1.7 million increase in personnel related costs due to an increase in general and administrative employees from one employee as of December 31, 2017 to eight employees as of December 31, 2018, $1.3 million increase in consulting services to supplement our internal capabilities, $1.1 million increase in stock-based compensation, and an increase in expense allocated to general and administrative expense related to our new leased facility, including depreciation of $0.7 million, to support the growing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issuance of preferred stock in connection with Blink Merger</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Loss on issuance of preferred stock in connection with the Blink Merger consists of a $49.5 million charge for the year ended December 31, 2018 related to the Blink Merger. This charge represented the excess of the fair value of our Series A-2 Preferred Stock issued to Blink shareholders over the value of the Blink preferred stock exchanged by Blink shareholders at the time of the Blink Merger.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issuance of preferred stock to investors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Loss on issuance of preferred stock to investors consisted of a $5.7 million discount for the year ended December 31, 2018, resulted from issuance of our Series A-2 Preferred Stock due to the fair value of the preferred stock issued being in excess of the cash proceeds received.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year ended December 31, 2018, the anti-dilution rights related to the Harvard License Agreement and the Broad License Agreement have terminated and, during the year ended December 31, 2018 we issued 765,549 shares of our common stock and Blink issued 920,000 shares of its common stock (which was converted into 410,320 shares of our common stock in connection with the Blink Merger) to Harvard and Broad Institute, respectively. In 2018, we recorded a $1.3 million change in fair value expense related to the anti-dilution issuance right as compared to no change in fair value expense in 2017.</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2018, we recorded a $9.7 million change in fair value expense related to the financial milestone payment as compared to a $0.4 million expense in 2017. All remaining financing milestone obligations have been met in 2018, and we recorded a $13.8 million financing milestone liability for any unpaid balances on our consolidated balance sheets as of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2018, we recorded a $0.7 million change in fair value expense related to the success payment liabilities as compared to a $0.1 million expense in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a result of an increase in our valuation from December 31, 2017 to December 31,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liabilities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determined that our obligation to issue and our investors’ obligation to purchase additional shares of Series A-1 Preferred Stock and Series A-2 Preferred Stock represented a freestanding financial instrument. The resulting preferred stock tranche liability was initially recorded at fair value, with gains and losses arising from changes in fair value recognized in the consolidated statement of operations at each period while such instruments were outstanding. As a result of the changes in fair value, we recognized other expense of $4.3 million for the year ended December 31, 2018, compared to $0.4 million in other income for the period from January 25, 2017 (Inception) to December 31, 2017. As of December 31, 2018, the tranche rights have been exercised and the liabilities have been reclassified to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$0.3 million in 2018 due our investment in money market funds. There were no investments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Since our inception in January 2017, we have incurred significant operating losses. We expect to incur significant expenses and operating losses for the foreseeable future as we advance the preclinical and, if successful, the clinical development of our programs. To date, we have funded our operations primarily with proceeds from the sales of Preferred Stock. Through December 31, 2019, we raised an aggregate of $223.6 million in gross proceeds from sales of our Preferred Stock. As of December 31, 2019, we had $91.8 million in cash, cash equivalents and marketable securities.</w:t>
      </w:r>
    </w:p>
    <w:p>
      <w:pPr>
        <w:spacing w:after="0" w:line="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February 10,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estimated offering expenses payable by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9" w:name="page110"/>
    <w:bookmarkEnd w:id="109"/>
    <w:p>
      <w:pPr>
        <w:spacing w:after="0" w:line="272" w:lineRule="auto"/>
        <w:rPr>
          <w:sz w:val="20"/>
          <w:szCs w:val="20"/>
          <w:color w:val="auto"/>
        </w:rPr>
      </w:pPr>
      <w:r>
        <w:rPr>
          <w:rFonts w:ascii="Arial" w:cs="Arial" w:eastAsia="Arial" w:hAnsi="Arial"/>
          <w:sz w:val="17"/>
          <w:szCs w:val="17"/>
          <w:color w:val="auto"/>
        </w:rPr>
        <w:t xml:space="preserve">To date, we have not generated any revenue from product sales and do not expect to generate revenue from the sale of products for the foreseeable future. We anticipate the need for additional capital in order to continue to fund our research and development, including our plans for clinical and preclinical trials and new product development, as well as to fund general operations. As and if necessary, we will seek to raise these additional funds through various potential sources, such as equity and debt financings or through corporate collaboration and license agreements. Especially in light of COVID-19, we can give no assurances that we will be able to secure such additional sources of funds to support our operations, or, if such funds are available to us, that such additional financing will be sufficient to meet our needs For a more detailed discussion of risks related to our COVID-19, please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relationships with third parties</w:t>
      </w:r>
      <w:r>
        <w:rPr>
          <w:rFonts w:ascii="Arial" w:cs="Arial" w:eastAsia="Arial" w:hAnsi="Arial"/>
          <w:sz w:val="17"/>
          <w:szCs w:val="17"/>
          <w:color w:val="auto"/>
        </w:rPr>
        <w:t>, in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years ended December 31, 2019 and 2018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(72,003)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(20,298)</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(66,659)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(13,424)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41,279</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179,727</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(decrease) increase in in cash, cash equivalents and restricted cash</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(97,383)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146,005</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Net cash used in operating activities for the year ended December 31, 2019 was $72.0 million, consisting primarily of our net loss of $78.3 million, a decrease in financing milestone liabilities of $13.8 million resulting from payment of these liabilities, a decrease in operating lease liabilities of</w:t>
      </w:r>
    </w:p>
    <w:p>
      <w:pPr>
        <w:jc w:val="both"/>
        <w:ind w:right="40"/>
        <w:spacing w:after="0" w:line="302" w:lineRule="auto"/>
        <w:rPr>
          <w:sz w:val="20"/>
          <w:szCs w:val="20"/>
          <w:color w:val="auto"/>
        </w:rPr>
      </w:pPr>
      <w:r>
        <w:rPr>
          <w:rFonts w:ascii="Arial" w:cs="Arial" w:eastAsia="Arial" w:hAnsi="Arial"/>
          <w:sz w:val="16"/>
          <w:szCs w:val="16"/>
          <w:color w:val="auto"/>
        </w:rPr>
        <w:t>$2.5 million, and an increase in prepaids and other assets of $1.9 million offset by cash provided by increases in accounts payable and accrued expenses of $7.7 million, and noncash charges consisting primarily of stock based compensation expense of $7.0 million, change in fair value of derivative liabilities of $5.4 million, depreciation of $3.5 million, and non-cash lease expense of $1.9 million, offset by amortization of investment premiums of $0.9 million.</w:t>
      </w:r>
    </w:p>
    <w:p>
      <w:pPr>
        <w:spacing w:after="0" w:line="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cash used in operating activities for the year ended December 31, 2018 was $20.3 million, consisting primarily of our net loss of $116.7 million offset by the following noncash charges: loss on issuance of preferred stock in connection with the Blink Merger of $49.5 million, change in fair value of derivatives consisting of anti-dilution rights, financial milestone payment liabilities and success payment liabilities of $11.7 million, non-cash research and development license expense of $7.4 million, loss on issuance of preferred stock to investors of $5.7 million, change in fair value of preferred stock tranche liabilities of $4.3 million, and stock-based compensation of $7.0 million, as well as increases in deferred rent liability of $7.6 million due to the lease of a new facility in 2018 and increases in accounts payable and accrued expenses of $4.0 million due to our growth.</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cash used in operating activities for the period from January 25, 2017 (Inception) to December 31, 2017 was $2.7 million, consisting primarily of our net loss of $8.0 million partially offset by non-cash charges of $4.6 million primarily consisting of a non-cash research and development license expense of $4.3 million associated with our Harvard License Agreement; and increases in accounts payable and accrued expenses of $0.9 million.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 ended December 31, 2019, cash used in investing activities was primarily the net result of purchases of marketable securities partially offset by maturities of marketable securities of $53.7 million, in addition to purchases of property and equipment of $12.5 million.</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year ended December 31, 2018 and period from January 25, 2017 (Inception) to December 31, 2017, cash used in investing activities consisted primarily of $13.1 million and $0.3 million of purchases of property and equipment,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consisted primarily of the net proceeds from the issuance of Series B Preferred Stock of $37.9 million, and net proceeds of $5.7 million from equipment financing, offset by an increase in equity issuance costs of $2.5 million.</w:t>
      </w:r>
    </w:p>
    <w:p>
      <w:pPr>
        <w:spacing w:after="0" w:line="1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2018 consisted primarily of the net proceeds from the issuance of Series A-1 Preferred Stock of $19.8 million, Series A-2 Preferred Stock of $48.5 million, Blink Series A Preferred Stock of $14.9 million, and Series B Preferred Stock of $96.5 million.</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provided by financing activities for the period from January 25, 2017 (Inception) to December 31, 2017 was $5.0 million consisting of net proceeds from the first tranche of the issuance of Series A-1 Preferred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expected to increase substantially as we continue to advance our portfolio of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Specifically, our expenses will increase if and as we:</w:t>
      </w:r>
    </w:p>
    <w:p>
      <w:pPr>
        <w:spacing w:after="0" w:line="225" w:lineRule="exact"/>
        <w:rPr>
          <w:sz w:val="20"/>
          <w:szCs w:val="20"/>
          <w:color w:val="auto"/>
        </w:rPr>
      </w:pPr>
    </w:p>
    <w:p>
      <w:pPr>
        <w:ind w:left="740" w:hanging="368"/>
        <w:spacing w:after="0"/>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continue our current research programs and our preclinical development of product candidates from our current research programs;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25"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medicines for which we may obtain marketing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should we decide to do so, build and maintain a commercial-scale current Good Manufacturing Practices, or cGMP, manufacturing facility; and</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expect that our cash, cash equivalents and marketable securities at December 31, 2019, together with the net proceeds from our February 2020 IPO, will enable us to fund our current and planned operating expenses and capital expenditures for at least the next 12 months.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225"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25"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25"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Debt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111" w:name="page112"/>
    <w:bookmarkEnd w:id="111"/>
    <w:p>
      <w:pPr>
        <w:ind w:right="80" w:firstLine="4"/>
        <w:spacing w:after="0" w:line="293"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contractual obligations as of December 31,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0"/>
              </w:rPr>
              <w:t>Less than 1</w:t>
            </w:r>
          </w:p>
        </w:tc>
        <w:tc>
          <w:tcPr>
            <w:tcW w:w="240" w:type="dxa"/>
            <w:vAlign w:val="bottom"/>
          </w:tcPr>
          <w:p>
            <w:pPr>
              <w:spacing w:after="0"/>
              <w:rPr>
                <w:sz w:val="14"/>
                <w:szCs w:val="14"/>
                <w:color w:val="auto"/>
              </w:rPr>
            </w:pPr>
          </w:p>
        </w:tc>
        <w:tc>
          <w:tcPr>
            <w:tcW w:w="980" w:type="dxa"/>
            <w:vAlign w:val="bottom"/>
          </w:tcPr>
          <w:p>
            <w:pPr>
              <w:jc w:val="right"/>
              <w:ind w:right="201"/>
              <w:spacing w:after="0"/>
              <w:rPr>
                <w:sz w:val="20"/>
                <w:szCs w:val="20"/>
                <w:color w:val="auto"/>
              </w:rPr>
            </w:pPr>
            <w:r>
              <w:rPr>
                <w:rFonts w:ascii="Arial" w:cs="Arial" w:eastAsia="Arial" w:hAnsi="Arial"/>
                <w:sz w:val="14"/>
                <w:szCs w:val="14"/>
                <w:b w:val="1"/>
                <w:bCs w:val="1"/>
                <w:color w:val="auto"/>
              </w:rPr>
              <w:t>More than</w:t>
            </w:r>
          </w:p>
        </w:tc>
        <w:tc>
          <w:tcPr>
            <w:tcW w:w="240" w:type="dxa"/>
            <w:vAlign w:val="bottom"/>
          </w:tcPr>
          <w:p>
            <w:pPr>
              <w:spacing w:after="0"/>
              <w:rPr>
                <w:sz w:val="14"/>
                <w:szCs w:val="14"/>
                <w:color w:val="auto"/>
              </w:rPr>
            </w:pPr>
          </w:p>
        </w:tc>
        <w:tc>
          <w:tcPr>
            <w:tcW w:w="100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4"/>
                <w:szCs w:val="14"/>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w w:val="98"/>
              </w:rPr>
              <w:t>1 year and</w:t>
            </w:r>
          </w:p>
        </w:tc>
        <w:tc>
          <w:tcPr>
            <w:tcW w:w="24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0"/>
              </w:rPr>
              <w:t>3 years and</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1"/>
              </w:rPr>
              <w:t>less than 3</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8"/>
              </w:rPr>
              <w:t>less than 5</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10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gridSpan w:val="2"/>
          </w:tcPr>
          <w:p>
            <w:pPr>
              <w:jc w:val="right"/>
              <w:ind w:right="81"/>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 (1)</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221,594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6,528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20,523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31,721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162,822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Financing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6,319</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1,742</w:t>
            </w:r>
          </w:p>
        </w:tc>
        <w:tc>
          <w:tcPr>
            <w:tcW w:w="24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3,485</w:t>
            </w:r>
          </w:p>
        </w:tc>
        <w:tc>
          <w:tcPr>
            <w:tcW w:w="24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4" w:lineRule="exact"/>
        <w:rPr>
          <w:sz w:val="20"/>
          <w:szCs w:val="20"/>
          <w:color w:val="auto"/>
        </w:rPr>
      </w:pPr>
    </w:p>
    <w:p>
      <w:pPr>
        <w:ind w:left="500" w:right="24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operating leases for office and lab space in Cambridge, Massachusetts. The minimum lease payments above do not include any related common area maintenance charges or real estate taxes.</w:t>
      </w:r>
    </w:p>
    <w:p>
      <w:pPr>
        <w:spacing w:after="0" w:line="62"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table above does not include our amended lease for additional laboratory space in Cambridge, Massachusetts, which commenced on March 1, 2020 and expires on March 31, 2023. The incremental increase in total amount as a result of the amended lease is approximately $3.2 million, which does not include the additional lease payments of $1.6 million we would incur if we were to exercise our option to extend the lease for one year.</w:t>
      </w:r>
    </w:p>
    <w:p>
      <w:pPr>
        <w:spacing w:after="0" w:line="4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table above also does not include potential milestone and success fees, sublicense fees, royalty fees, licensing maintenance fees, and reimbursement of patent maintenance costs that we may be required to pay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We have not included such potential obligations in the table above because they are contingent upon the occurrence of future events and the timing and likelihood of such potential obligations are not known with certainty.</w:t>
      </w:r>
    </w:p>
    <w:p>
      <w:pPr>
        <w:spacing w:after="0" w:line="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Additionally, 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this Annual Report on Form 10-K, we believe that the following accounting policies are those most critical to the judgments and estimates used in the preparation of our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measure stock options and other stock-based awards granted to our employees, directors, consultants or founders based upon their fair value on the date of the grant and recognize stock-based compensation expense over the requisite service period, which is generally the vesting period of the respective award. We recognize forfeitures as they occur.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jc w:val="both"/>
        <w:ind w:right="240"/>
        <w:spacing w:after="0" w:line="311" w:lineRule="auto"/>
        <w:rPr>
          <w:sz w:val="20"/>
          <w:szCs w:val="20"/>
          <w:color w:val="auto"/>
        </w:rPr>
      </w:pPr>
      <w:r>
        <w:rPr>
          <w:rFonts w:ascii="Arial" w:cs="Arial" w:eastAsia="Arial" w:hAnsi="Arial"/>
          <w:sz w:val="16"/>
          <w:szCs w:val="16"/>
          <w:color w:val="auto"/>
        </w:rPr>
        <w:t>The majority of our stock-based compensation awards are subject to either service- or performance-based vesting conditions. We apply the straight-line method of expense recognition to all awards with service-based vesting and recognize stock-based compensation for performance-based awards over the service period using the accelerated attribution method to the extent achievement of the of performance condition is probable.</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uses inputs such as the fair value of our common stock, assumptions we make for the volatility of our common stock, the expected term of our stock options, the risk-free interest rate for a period that approximates the expected term of our stock options and our expected dividend yield. The fair value of our common stock is used to determine the fair value of restricted stock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our common stock issued prior to our IPO</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Prior to our IPO in February 2020, there was no public market for our common stock. As a result, prior to our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Third party valuations were performed in accordance with the framework of the American Institute of Certified Public Accountants</w:t>
      </w:r>
      <w:r>
        <w:rPr>
          <w:rFonts w:ascii="Arial" w:cs="Arial" w:eastAsia="Arial" w:hAnsi="Arial"/>
          <w:sz w:val="16"/>
          <w:szCs w:val="16"/>
          <w:i w:val="1"/>
          <w:iCs w:val="1"/>
          <w:color w:val="auto"/>
        </w:rPr>
        <w:t>, Valuation of Privately-Held 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Our common stock valuations were prepared using either an option pricing method, or OPM, or a hybrid method of the probability-weighted expected return method, or PWERM,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 A discount for lack of marketability of the common stock is then applied to arrive at an indication of value for the common stock. The hybrid method is a probability-weighted expected return method, where the equity value in one or more scenarios is calculated using an OPM. The PWERM is a scenario-based methodology that estimates the fair value of our common stock based upon an analysis of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our common stock of $0.49 per share as of June 30, 2017, $0.67 per share as of March 26, 2018, $1.03 per share as of June 11, 2018, $4.22 per share as of December 1, 2018, $7.22 per share as of April 30, 2019, $11.88 per share as of July 22, 2019, and $13.68 per share as of August 27, 2019. In addition to considering the results of these third-party valuations, our board of directors considered various objective and subjective factors to determine the fair value of our common stock as of each grant date including:</w:t>
      </w:r>
    </w:p>
    <w:p>
      <w:pPr>
        <w:spacing w:after="0" w:line="177" w:lineRule="exact"/>
        <w:rPr>
          <w:sz w:val="20"/>
          <w:szCs w:val="20"/>
          <w:color w:val="auto"/>
        </w:rPr>
      </w:pPr>
    </w:p>
    <w:p>
      <w:pPr>
        <w:ind w:left="740" w:right="160" w:hanging="368"/>
        <w:spacing w:after="0" w:line="277"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prices at which we sold shares of Preferred Stock and the superior rights and preferences of the Preferred Stock relative to our common stock at the time of each grant;</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and results of preclinical studies for our product candidates;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 and the material risks related to our business and industry;</w:t>
      </w:r>
    </w:p>
    <w:p>
      <w:pPr>
        <w:spacing w:after="0" w:line="225"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the material risks related to our business and industry; and trends within the biopharmaceutical industry;</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sale of our company in light of prevailing market conditions;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judgement. As a result, if factors or expected outcomes change and we use significantly different assumptions or estimates, our stock-based compensation could be materially different.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Following our IPO, the fair value of our common stock will be determined based on the quoted market price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review each legal entity formed by parties related to us to determine whether or not the entity is a variable interest entity, or VIE. If the entity is a VIE, we assess whether or not we are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we determine that we are the primary beneficiary of a VIE, we consolidate the financial statements of the VIE into our consolidated financial statements at the time that determination is made. On a quarterly basis we evaluate whether we continue to be the primary beneficiary of any consolidated VIEs. If we determine that we are no longer the primary beneficiary of a consolidated VIE, or no longer have a variable interest in the VIE, we deconsolidate the VIE in the period that the determination is made.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On March 22, 2018, certain of our investors, or the Primary Investors, formed Blink to hold certain intellectual property related to RNA base editing.</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May 9, 2018, we entered into a merger option agreement, or the Option Agreement, with Blink. On the same date, Blink entered into the Broad License Agreement, issued 5,000,000 shares of Blink series A preferred stock to its investors at $1.00 per share, and issued restricted common stock to certain scientific founders. As of the date of the Option Agreement, Beam and Blink were both owned by members of the same group or Primary Investors, having over 75% ownership in each entity, which consisted primarily of our initial investors and scientific founders.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Option Agreement, Blink granted us an option, exercisable on the date that Blink issued an aggregate of 10,000,000 additional shares of Blink series A preferred stock and ending on the second anniversary of such date, to consummate a merger with Blink in exchange for a $121,000 option premium. In connection with the Blink Merger, we issued two shares of our Series A-2 Preferred Stock for each share of Blink series A preferred stock and issued 0.446 shares of our common stock for each share of Blink common stock.</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May 9, 2018, as a result of the design and purpose of Blink and the Option Agreement, we determined that Blink was a VIE and that we were the primary beneficiary, because we had both (1) the power to direct the activities of Blink that most significantly impacted Blink’s economic performance and</w:t>
      </w:r>
    </w:p>
    <w:p>
      <w:pPr>
        <w:ind w:right="20" w:firstLine="8"/>
        <w:spacing w:after="0" w:line="252"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 to receive benefits from Blink that could be significant to Blink. As a result, we began consolidating Blink on May 9, 2018. The operating activity of Blink from its formation on March 22, 2018 to May 9, 2018 was immaterial. In August 2018, Blink issued 10,000,000 shares of Blink series A preferred stock at $1.00 per share to the Primary Investors and we paid the $121,000 option premium to exercise our option to merge with Blink. On September 25, 2018, or the Merger Date, the merger was consummated, and Blink became a wholly owned subsidiary of Beam. We recognized expense for the excess in value of the Beam Series A-2 Preferred Stock and common stock exchanged for the Blink series A preferred stock and common stock, because the excess value was only transferred to certain investors of Beam and there were no other rights or privileges identified that require separate accounting as an asset.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tranche rights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determined that our obligation to issue, and our investors’ obligation to purchase, additional shares of Series A-1 Preferred Stock pursuant to the second closing and Series A-2 Preferred Stock pursuant to the third closing represented a freestanding instrument. The resulting preferred stock tranche liability was initially recorded at fair value, with gains and losses arising from changes in fair value recognized in other income (expense) in the consolidated statement of operations. The preferred stock tranche liabilities were remeasured at each reporting period and upon the exercise or expiration of the obligation. The preferred stock tranche liabilities were valued using an option pricing model which utilized the fair value of the Preferred Stock, expected volatility, as well as the expected term. As of December 31, 2018, all redeemable convertible Series A-1 Preferred Stock and redeemable convertible Series A-2 Preferred Stock closings have occurred, and all tranche liabilities have been remeasured and reclassified to Preferred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Anti-dilution issuance right</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Additional shares of common stock were issued to Harvard and Broad Institute upon equity financings allowing Harvard and Broad Institute to maintain a defined ownership percentage in us on a fully diluted basis until we achieved a defined aggregate level of preferred stock financing. These anti-dilution issuance rights were accounted for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were initially recorded at fair value with a corresponding charge to research and development expense. As such, we recorded this instrument as a liability at its fair value with a corresponding amount recorded as research and development expense and marked it to market at each reporting period, with changes in fair value recognized in other income (expense) in the consolidated statement of operations at each period-end while this instrument was outstanding. The liability was valued using a Monte Carlo simulation model, which models the value of the liability based on the change of several key variables, including the time to the capital raise, the probability of the capital raise, as well as the fair value of our common stock. During 2018, the anti-dilution rights were satisfied and there is no additional derivative liability accounting.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milestone payments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were required to make cash payments to Harvard and Broad Institute upon the achievement of future financing milestones tied to the closing of additional rounds of Preferred Stock. The financing milestone payments were accounted for under ASC 815, and were initially recorded at fair value with a corresponding charge to research and development expense. The liabilities were marked to market at each balance sheet date with all changes in value recognized in other income or expense in the consolidated statement of operations. We adjusted the liability for changes in fair value until the achievement of the financing milestones. To determine the estimated fair value of the financial milestone payments, we used a Monte Carlo simulation model, which models the value of the liability based on the change of several key variables, including time to capital raise, probabilities to capital raise, cost of debt, as well as the projected price per share upon issuance. As of December 31, 2018, all financing milestone payments have been achieved and were either paid in cash or are recorded in accrued expenses for actual amounts due.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 payments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required to make success payments to Harvard and Broad Institute based on increases in the per share fair market value of our Series A-1 Preferred Stock and Series A-2 Preferred Stock, payable in cash. Subsequent to the February 2020 IPO, the amount of success payments will be based on the market value of our common stock. The success payments are accounted for under ASC 815 and are initially recorded at fair value with a corresponding charge to research and development expense. The liabilities are marked to market at each balance sheet date with all changes in value recognized in other income (expense) in the consolidated statement of operations.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On January 1, 2019, we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or ASC 842, which requires the recognition of the right-of-use assets and related operating and finance lease liabilities on the balance sheet. We adopted ASC 842 using a modified retrospective approach for all leases existing at January 1, 2019. The adoption of ASC 842 had a substantial impact on our consolidated balance sheet but did not have a material effect on the company’s consolidated statements of operations and other comprehensive loss, consolidated statements of redeemable convertible preferred stock and stockholders’ deficit. Upon adoption of ASC 842, we recorded $14.2 million and $21.7 million to operating lease right-of-use assets and the related lease liabilities, respectively. The operating lease liabilities are based on the present value of the remaining minimum lease payments discounted using our secured incremental borrowing rate at the effective date of January 1, 2019.</w:t>
      </w:r>
    </w:p>
    <w:p>
      <w:pPr>
        <w:spacing w:after="0" w:line="6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5" w:name="page116"/>
    <w:bookmarkEnd w:id="115"/>
    <w:p>
      <w:pPr>
        <w:ind w:right="40"/>
        <w:spacing w:after="0" w:line="296" w:lineRule="auto"/>
        <w:rPr>
          <w:sz w:val="20"/>
          <w:szCs w:val="20"/>
          <w:color w:val="auto"/>
        </w:rPr>
      </w:pPr>
      <w:r>
        <w:rPr>
          <w:rFonts w:ascii="Arial" w:cs="Arial" w:eastAsia="Arial" w:hAnsi="Arial"/>
          <w:sz w:val="16"/>
          <w:szCs w:val="16"/>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its secured incremental borrowing rate. For finance leases, we use the rate implicit in the lease or its secured incremental borrowing rate if the implicit lease rate cannot be determined.</w:t>
      </w:r>
    </w:p>
    <w:p>
      <w:pPr>
        <w:spacing w:after="0" w:line="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may take advantage of these exemptions until December 31, 2025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are exposed to market risk related to changes in interest rates. As of December 31, 2019, we had cash, cash equivalents and marketable securities of $91.8 million, which consisted of cash, money market funds, repurchase agreements, commercial paper and corporate notes.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6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The financial statements required to be filed pursuant to this Item 8 are appended to this Annual Report on Form 10-K. An index of those financial statements is found in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that evaluation of our disclosure controls and procedures as of December 31, 2019, our principal executive officer and principal financial officer concluded that our disclosure controls and procedures as of such date are effective at the reasonable assurance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2019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February 26, 2020, the Compensation Committee of our Board of Directors approved annual bonus awards to our employees, including our named executive officers for their performance during the fiscal year ended December 31, 2019. The annual bonus awards were paid in cash. The bonuses awarded to our named executive officers are set forth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38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99"/>
              </w:rPr>
              <w:t>Nonequity incentive plan compensation</w:t>
            </w:r>
          </w:p>
        </w:tc>
        <w:tc>
          <w:tcPr>
            <w:tcW w:w="20" w:type="dxa"/>
            <w:vAlign w:val="bottom"/>
          </w:tcPr>
          <w:p>
            <w:pPr>
              <w:spacing w:after="0"/>
              <w:rPr>
                <w:sz w:val="14"/>
                <w:szCs w:val="14"/>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John Evans</w:t>
            </w:r>
          </w:p>
        </w:tc>
        <w:tc>
          <w:tcPr>
            <w:tcW w:w="3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33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367,813</w:t>
            </w:r>
          </w:p>
        </w:tc>
        <w:tc>
          <w:tcPr>
            <w:tcW w:w="20" w:type="dxa"/>
            <w:vAlign w:val="bottom"/>
          </w:tcPr>
          <w:p>
            <w:pPr>
              <w:spacing w:after="0"/>
              <w:rPr>
                <w:sz w:val="19"/>
                <w:szCs w:val="19"/>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Giuseppe Ciaramella, Ph.D.</w:t>
            </w:r>
          </w:p>
        </w:tc>
        <w:tc>
          <w:tcPr>
            <w:tcW w:w="3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80" w:type="dxa"/>
            <w:vAlign w:val="bottom"/>
          </w:tcPr>
          <w:p>
            <w:pPr>
              <w:jc w:val="right"/>
              <w:ind w:right="55"/>
              <w:spacing w:after="0"/>
              <w:rPr>
                <w:sz w:val="20"/>
                <w:szCs w:val="20"/>
                <w:color w:val="auto"/>
              </w:rPr>
            </w:pPr>
            <w:r>
              <w:rPr>
                <w:rFonts w:ascii="Arial" w:cs="Arial" w:eastAsia="Arial" w:hAnsi="Arial"/>
                <w:sz w:val="18"/>
                <w:szCs w:val="18"/>
                <w:color w:val="auto"/>
              </w:rPr>
              <w:t>267,188</w:t>
            </w:r>
          </w:p>
        </w:tc>
        <w:tc>
          <w:tcPr>
            <w:tcW w:w="2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Terry-Ann Burrell</w:t>
            </w:r>
          </w:p>
        </w:tc>
        <w:tc>
          <w:tcPr>
            <w:tcW w:w="3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3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9"/>
                <w:szCs w:val="19"/>
                <w:color w:val="auto"/>
              </w:rPr>
            </w:pPr>
          </w:p>
        </w:tc>
      </w:tr>
      <w:tr>
        <w:trPr>
          <w:trHeight w:val="756"/>
        </w:trPr>
        <w:tc>
          <w:tcPr>
            <w:tcW w:w="3760" w:type="dxa"/>
            <w:vAlign w:val="bottom"/>
          </w:tcPr>
          <w:p>
            <w:pPr>
              <w:spacing w:after="0"/>
              <w:rPr>
                <w:sz w:val="24"/>
                <w:szCs w:val="24"/>
                <w:color w:val="auto"/>
              </w:rPr>
            </w:pPr>
          </w:p>
        </w:tc>
        <w:tc>
          <w:tcPr>
            <w:tcW w:w="3380" w:type="dxa"/>
            <w:vAlign w:val="bottom"/>
          </w:tcPr>
          <w:p>
            <w:pPr>
              <w:jc w:val="right"/>
              <w:ind w:right="129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and their ages and positions as of December 31, 2019, are as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Age</w:t>
            </w:r>
          </w:p>
        </w:tc>
        <w:tc>
          <w:tcPr>
            <w:tcW w:w="7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6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Evans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722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Giuseppe Ciaramella, Ph.D.</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 Scientific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Terry-Ann Burrell</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7220" w:type="dxa"/>
            <w:vAlign w:val="bottom"/>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26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Kristina Burow</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72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Graham Cooper</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Mark Fishman, M.D.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72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Carole Ho, M.D.</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Stephen Knight, M.D.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72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Robert Nelsen</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John Evans </w:t>
      </w:r>
      <w:r>
        <w:rPr>
          <w:rFonts w:ascii="Arial" w:cs="Arial" w:eastAsia="Arial" w:hAnsi="Arial"/>
          <w:sz w:val="17"/>
          <w:szCs w:val="17"/>
          <w:color w:val="auto"/>
        </w:rPr>
        <w:t>has served as our Chief Executive Officer since January 2020, and previously served as our President and Chief Executive Officer since 2017.</w:t>
      </w:r>
      <w:r>
        <w:rPr>
          <w:rFonts w:ascii="Arial" w:cs="Arial" w:eastAsia="Arial" w:hAnsi="Arial"/>
          <w:sz w:val="17"/>
          <w:szCs w:val="17"/>
          <w:i w:val="1"/>
          <w:iCs w:val="1"/>
          <w:color w:val="auto"/>
        </w:rPr>
        <w:t xml:space="preserve"> </w:t>
      </w:r>
      <w:r>
        <w:rPr>
          <w:rFonts w:ascii="Arial" w:cs="Arial" w:eastAsia="Arial" w:hAnsi="Arial"/>
          <w:sz w:val="17"/>
          <w:szCs w:val="17"/>
          <w:color w:val="auto"/>
        </w:rPr>
        <w:t>Mr. Evans has significant experience as a company builder, dealmaker, and drug developer in the biotechnology industry. Mr. Evans has also served as a Venture Partner with ARCH Venture Partners since 2017 and as a Director of Verve Therapeutics since August 2018. Mr. Evans was previously an early employee and member of the leadership team at Agios Pharmaceuticals, from September 2009 until April 2017, most recently serving as Senior Vice President for Corporate Development and Portfolio Leadership. At Agios, Mr. Evans served as IDH Portfolio Executive, providing strategic and operational leadership for a portfolio of first-in-class IDH inhibitors including IDHIFA and TIBSOVO. He helped initiate and lead Agios’ landmark alliance with Celgene, resulting in over $600 million of funding and investments across multiple research collaborations in cancer metabolism. At Agios, Mr. Evans led a team of eight employees. He also co-led Agio’s expansion into rare genetic diseases. Prior to joining Agios, Mr. Evans worked at Infinity Pharmaceuticals, McKinsey &amp; Company’s pharmaceuticals practice and MedImmune. Mr. Evans holds an MBA in Healthcare Management from Wharton, a M.S. in Biotechnology from the University of Pennsylvania, and a B.A. in English with distinction from Yale University. We believe that Mr. Evans is qualified to serve on our Board of Directors based on his extensive experience in the pharmaceutical industry and his expansive knowledge of our company based on his role as Chief Executive Officer.</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Giuseppe Ciaramella, Ph.D</w:t>
      </w:r>
      <w:r>
        <w:rPr>
          <w:rFonts w:ascii="Arial" w:cs="Arial" w:eastAsia="Arial" w:hAnsi="Arial"/>
          <w:sz w:val="18"/>
          <w:szCs w:val="18"/>
          <w:color w:val="auto"/>
        </w:rPr>
        <w:t>., has served as our Chief Scientific Officer since February 2018 and as our President and Chief Scientific Officer since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2020. Dr. Ciaramella has 25 years of drug discovery experience across different therapeutic modalities, from small molecule, to biologics, to advanced medicinal products, such as mRNA. Prior to joining Beam, Dr. Ciaramella was the Chief Scientific Officer of the Infectious Diseases division of Moderna Therapeutics from 2014 until February 2018, where he was instrumental in generating some of the first LNP-encapsulated, mRNA vaccines to be dosed in humans, several of which are progressing through clinical studies. From 2011 until 2014, Dr. Ciaramella served as Executive Director at Astrazeneca, where he led their small molecule antiviral strategy. Between 2010 and 2011 he served as Vice President and Head of Collaborative Research at Boehringer Ingelheim, where he had responsibility for external research. Prior to Boehringer Ingelheim, he spent 14 years at Pfizer in the U.K. where he held several leadership positions, including head of Biotherapeutics, head of Antivirals and head of the Hit Discovery Group. Dr. Ciaramella is a member of the Infectious Diseases Society of America and of the American Society of Gene Therapy. Dr. Ciaramella holds a Ph.D. in Biochemistry from University College London.</w:t>
      </w:r>
    </w:p>
    <w:p>
      <w:pPr>
        <w:spacing w:after="0" w:line="86"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Terry-Ann Burrell </w:t>
      </w:r>
      <w:r>
        <w:rPr>
          <w:rFonts w:ascii="Arial" w:cs="Arial" w:eastAsia="Arial" w:hAnsi="Arial"/>
          <w:sz w:val="17"/>
          <w:szCs w:val="17"/>
          <w:color w:val="auto"/>
        </w:rPr>
        <w:t>has served as our Chief Financial Officer since August 2019 and as our Chief Financial Officer and Treasurer since September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From May 2008 to August 2019, Ms. Burrell worked at J.P. Morgan Securities LLC, where she most recently served as Managing Director. Ms. Burrell was responsible for deal execution across both mergers and acquisitions and capital markets. In her role, she advised biotechnology and pharmaceutical companies on strategic considerations, including mergers and acquisitions, initial public and secondary offerings and valuation analysis. Ms. Burrell holds a bachelor’s degree from Harvard College and an MBA from New York University’s Leonard N. Stern School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Kristina Burow </w:t>
      </w:r>
      <w:r>
        <w:rPr>
          <w:rFonts w:ascii="Arial" w:cs="Arial" w:eastAsia="Arial" w:hAnsi="Arial"/>
          <w:sz w:val="18"/>
          <w:szCs w:val="18"/>
          <w:color w:val="auto"/>
        </w:rPr>
        <w:t>has served on our Board of Directors since June 2017. Ms. Burow is a Managing Director with ARCH Venture Partners. Ms. Burow is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the creation and development of biotechnology, pharmaceutical and biotechnology companies. Since joining ARCH in 2002, Ms. Burow has played a significant role in the creation and development of a number of companies. Ms. Burow is also a Director of Gossamer Bio, Scholar Rock, Unity Biotechnology, and Vir Biotechnology, and on the boards of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ind w:right="200"/>
        <w:spacing w:after="0" w:line="273" w:lineRule="auto"/>
        <w:rPr>
          <w:sz w:val="20"/>
          <w:szCs w:val="20"/>
          <w:color w:val="auto"/>
        </w:rPr>
      </w:pPr>
      <w:r>
        <w:rPr>
          <w:rFonts w:ascii="Arial" w:cs="Arial" w:eastAsia="Arial" w:hAnsi="Arial"/>
          <w:sz w:val="17"/>
          <w:szCs w:val="17"/>
          <w:color w:val="auto"/>
        </w:rPr>
        <w:t>number of private companies. Ms. Burow served on the board of Receptos, Inc. from 2010 to 2015 and of Sienna Biopharmaceuticals, Inc. from 2015 to 2019. She previously was a co-founder and Director of Receptos, Inc.. Ms. Burow has participated in a number of other ARCH portfolio companies including Siluria Technologies, Kythera Biopharmaceuticals, Ikaria and was a co-founder and board member of Sapphire Energy. Prior to joining ARCH Ms. Burow was an Associate with the Novartis BioVenture Fund in San Diego. Ms. Burow holds an M.B.A. from the University of Chicago, an M.A. in Chemistry from Columbia University and a B.S. in Chemistry from the University of California, Berkeley. We believe Ms. Burow’s investment and leadership experience makes her qualified to serve on our Board of Directors.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Graham Cooper </w:t>
      </w:r>
      <w:r>
        <w:rPr>
          <w:rFonts w:ascii="Arial" w:cs="Arial" w:eastAsia="Arial" w:hAnsi="Arial"/>
          <w:sz w:val="17"/>
          <w:szCs w:val="17"/>
          <w:color w:val="auto"/>
        </w:rPr>
        <w:t>has served as a member of our Board of Directors since October 2019. From March 2018 until April 2019, Mr. Cooper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and Chief Financial Officer of Assembly Biosciences, Inc. Mr. Cooper previously served as the Chief Financial Officer of Receptos, Inc., from February 2013 until its acquisition by Celgene in August 2015 and Chief Financial Officer of Geron Corporation from January 2012 to December 2012. From May 2006 until March 2011, Mr. Cooper served as Chief Financial Officer of Orexigen Therapeutics, Inc. Prior to that, Mr. Cooper held roles of increasing responsibility at Deutsche Bank Securities, an investment bank, from August 1997 to February 2006, including Director, Health Care Investment Banking. He began his career as an accountant at Deloitte &amp; Touche and was previously a C.P.A. Mr. Cooper currently serves on the board of directors of Unity Biotechnology, Inc., a public biotechnology company, Kezar Life Sciences, a public biotechnology company, and Applied Molecular Therapeutics, Inc., a private biotechnology company. Mr. Cooper received a B.A. in Economics from the University of California at Berkeley and an M.B.A. from the Stanford Graduate School of Business. We believe that Mr. Cooper is qualified to serve on our board of directors due to his significant financial and accounting experience in the life sciences industry.</w:t>
      </w:r>
    </w:p>
    <w:p>
      <w:pPr>
        <w:spacing w:after="0" w:line="7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Mark C. Fishman, M.D.</w:t>
      </w:r>
      <w:r>
        <w:rPr>
          <w:rFonts w:ascii="Arial" w:cs="Arial" w:eastAsia="Arial" w:hAnsi="Arial"/>
          <w:sz w:val="16"/>
          <w:szCs w:val="16"/>
          <w:color w:val="auto"/>
        </w:rPr>
        <w:t>, has served on our Board of Directors since May 2018. Dr. Fishman is a Professor in the Harvard Department of Stem Cell and</w:t>
      </w:r>
      <w:r>
        <w:rPr>
          <w:rFonts w:ascii="Arial" w:cs="Arial" w:eastAsia="Arial" w:hAnsi="Arial"/>
          <w:sz w:val="16"/>
          <w:szCs w:val="16"/>
          <w:i w:val="1"/>
          <w:iCs w:val="1"/>
          <w:color w:val="auto"/>
        </w:rPr>
        <w:t xml:space="preserve"> </w:t>
      </w:r>
      <w:r>
        <w:rPr>
          <w:rFonts w:ascii="Arial" w:cs="Arial" w:eastAsia="Arial" w:hAnsi="Arial"/>
          <w:sz w:val="16"/>
          <w:szCs w:val="16"/>
          <w:color w:val="auto"/>
        </w:rPr>
        <w:t>Regenerative Biology and Chief of the Pathways Clinical Service at Massachusetts General Hospital. In February 2019, he became a Co-Founding Partner of Aditum Bio Fund and Chairman of its Scientific and Medical Advisory Board. From 2002 through 2016, Dr. Fishman was the founding President of the Novartis Institutes for BioMedical Research (NIBR), a member of the Executive Committee of Novartis, AG, and served on the Board of Directors of Novartis International Pharmaceutical LTD and Chaired the Board of Directors of the Genomics Institute of the Novartis Research Foundation. Prior to his time at NIBR, he was the Founding Director of the Cardiovascular Research Center and Chief of Cardiology at Massachusetts General Hospital.</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Dr. Fishman also has served as the Chairman of the Board of privately held Semma Therapeutics since 2016. He also serves as a consultant to and Scientific Advisory Board member of several other privately held biotechnology companies. Dr. Fishman graduated from Yale College and Harvard Medical School and trained in medicine and cardiology at Massachusetts General Hospital. We believe that Dr. Fishman’s experience studying genetics and regenerative medicine makes him qualified to serve on our Board of Directors.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Carole Ho, M.D. </w:t>
      </w:r>
      <w:r>
        <w:rPr>
          <w:rFonts w:ascii="Arial" w:cs="Arial" w:eastAsia="Arial" w:hAnsi="Arial"/>
          <w:sz w:val="18"/>
          <w:szCs w:val="18"/>
          <w:color w:val="auto"/>
        </w:rPr>
        <w:t>has served on our Board of Directors since November 2018. Dr. Ho has served as the Chief Medical Officer and Head of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Denali Therapeutics since June 2015. Prior to joining Denali, Dr. Ho held various roles of increasing responsibility between at Genentech between 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received her M.D. from Cornell University and her B.S. in Biochemical Sciences from Harvard College. We believe that Dr. Ho’s experience studying neurology and her experience in senior leadership at a public company makes her qualified to serve on our Board of Directors.</w:t>
      </w:r>
    </w:p>
    <w:p>
      <w:pPr>
        <w:spacing w:after="0" w:line="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Stephen Knight, M.D. </w:t>
      </w:r>
      <w:r>
        <w:rPr>
          <w:rFonts w:ascii="Arial" w:cs="Arial" w:eastAsia="Arial" w:hAnsi="Arial"/>
          <w:sz w:val="16"/>
          <w:szCs w:val="16"/>
          <w:color w:val="auto"/>
        </w:rPr>
        <w:t>has served on our Board of Directors since June 2017. Dr. Knight joined F-Prime Capital, where he serves as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Partner, in 2003. He has worked in the pharmaceutical and biotechnology industries for over 25 years and invests broadly across healthcare. Steve serves on the Board of Directors of Iora Health, and Pulmocide. Steve previously served on the boards of several private and public health care companies including Semma Therapeutics, Innovent Biologics, Blueprint Medicines, Denali Therapeutics, FoldRx Pharmaceuticals, Ironwood Pharmaceuticals, NextWave Pharmaceuticals, Proteostasis Therapeutics, and Respivert, Ltd. Prior to joining F-Prime Capital, Steve held various senior management roles in private and public biotechnology and consulting companies. He was also a researcher at AT&amp;T Bell Laboratories, the National Institutes of Health, and Yale University. He holds an M.D. from the Yale University School of Medicine, an M.B.A. from the Yale School of Organization and Management, and received a B.S. in biology from Columbia University, where he graduated summa cum laude and Phi Beta Kappa. We believe that Dr. Knight’s experience in the medical industry makes him qualified to serve on our Board of Directors.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Robert Nelsen </w:t>
      </w:r>
      <w:r>
        <w:rPr>
          <w:rFonts w:ascii="Arial" w:cs="Arial" w:eastAsia="Arial" w:hAnsi="Arial"/>
          <w:sz w:val="16"/>
          <w:szCs w:val="16"/>
          <w:color w:val="auto"/>
        </w:rPr>
        <w:t>has served as a member of our board of directors since June 2017. Mr. Nelsen co-founded ARCH Venture Partners in 1986 and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serves as a Managing Director. Mr. Nelsen currently serves on boards of directors of Denali Therapeutics, Inc., Karuna Therapeutics, Inc., Vir Biotechnology, Unity Biotechnology, Inc. and on the boards of a number of private companies. Mr. Nelsen served on the boards of Agios Pharmaceuticals Inc. from 2007 to 2017, Syros Pharmaceuticals, Inc. from 2012 to 2018, Sage Therapeutics, Inc. from 2013 to 2016, Juno Therapeutics, Inc. from 2013 to 2018, when it was acquired by Celgene Corporation, Bellerophon Therapeutics, Inc. from 2014 to 2015, Sienna Biopharmaceuticals, Inc. from 2015 to 2018 and Gossamer Bio, Inc. from 2017 to 2018, prior to its initial public offering. He previously served as a Trustee of the Fred Hutchinson Cancer Research Institute, the Institute for Systems Biology, and was a director of the National Venture Capital Association. Mr. Nelsen holds an M.B.A. from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right="340"/>
        <w:spacing w:after="0" w:line="277" w:lineRule="auto"/>
        <w:rPr>
          <w:sz w:val="20"/>
          <w:szCs w:val="20"/>
          <w:color w:val="auto"/>
        </w:rPr>
      </w:pPr>
      <w:r>
        <w:rPr>
          <w:rFonts w:ascii="Arial" w:cs="Arial" w:eastAsia="Arial" w:hAnsi="Arial"/>
          <w:sz w:val="18"/>
          <w:szCs w:val="18"/>
          <w:color w:val="auto"/>
        </w:rPr>
        <w:t>the University of Chicago and a B.S. from the University of Puget Sound with majors in Economics and Biology. We believe that Mr. Nelsen’s venture capital experience in the biotechnology industry makes him qualified to serve on our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25" w:lineRule="exact"/>
        <w:rPr>
          <w:sz w:val="20"/>
          <w:szCs w:val="20"/>
          <w:color w:val="auto"/>
        </w:rPr>
      </w:pPr>
    </w:p>
    <w:p>
      <w:pPr>
        <w:ind w:left="740" w:right="46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appointing, approving the compensation of, and evaluating the qualifications, performance and independence of our independent registered public accounting firm;</w:t>
      </w:r>
    </w:p>
    <w:p>
      <w:pPr>
        <w:spacing w:after="0" w:line="170" w:lineRule="exact"/>
        <w:rPr>
          <w:rFonts w:ascii="Arial" w:cs="Arial" w:eastAsia="Arial" w:hAnsi="Arial"/>
          <w:sz w:val="18"/>
          <w:szCs w:val="18"/>
          <w:color w:val="auto"/>
        </w:rPr>
      </w:pPr>
    </w:p>
    <w:p>
      <w:pPr>
        <w:ind w:left="740" w:right="180" w:hanging="368"/>
        <w:spacing w:after="0" w:line="342" w:lineRule="auto"/>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such firm, and pre-approving all audit and permitted non-audit services to be performed by our independent registered public accounting firm;</w:t>
      </w:r>
    </w:p>
    <w:p>
      <w:pPr>
        <w:spacing w:after="0" w:line="123" w:lineRule="exact"/>
        <w:rPr>
          <w:rFonts w:ascii="Arial" w:cs="Arial" w:eastAsia="Arial" w:hAnsi="Arial"/>
          <w:sz w:val="16"/>
          <w:szCs w:val="16"/>
          <w:color w:val="auto"/>
        </w:rPr>
      </w:pPr>
    </w:p>
    <w:p>
      <w:pPr>
        <w:ind w:left="740" w:right="10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including earnings releases;</w:t>
      </w:r>
    </w:p>
    <w:p>
      <w:pPr>
        <w:spacing w:after="0" w:line="170"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any material issues regarding accounting principles and financial statement presentations;</w:t>
      </w:r>
    </w:p>
    <w:p>
      <w:pPr>
        <w:spacing w:after="0" w:line="170" w:lineRule="exact"/>
        <w:rPr>
          <w:rFonts w:ascii="Arial" w:cs="Arial" w:eastAsia="Arial" w:hAnsi="Arial"/>
          <w:sz w:val="18"/>
          <w:szCs w:val="18"/>
          <w:color w:val="auto"/>
        </w:rPr>
      </w:pPr>
    </w:p>
    <w:p>
      <w:pPr>
        <w:ind w:left="740" w:right="60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our risk management policies with management;</w:t>
      </w:r>
    </w:p>
    <w:p>
      <w:pPr>
        <w:spacing w:after="0" w:line="225"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meeting independently with our independent registered public accounting firm and management;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any related person transactions;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our guidelines and policies governing risk assessment and risk management;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the integrity of our information technology systems, process and data;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audit committee’s charter;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performing, at least annually, an evaluation of the performance of the audit committee.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audit services and all non-audit services, other than de minimis non-audit services, to be provided to us by our independent registered public accounting firm must be approved in advance by our audit committee.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members of our audit committee are Graham Cooper, Kristina Burow and Mark Fishman. Mr. Cooper chairs the audit committee. Our board of directors has determined that each member of the audit committee, other than Ms. Burow, satisfies the independence standards of the applicable rules of the Nasdaq Stock Market applicable to audit committee members. Our board of directors has determined that each member of our audit committee has sufficient knowledge in financial and auditing matters to serve on the audit committee. Our board of directors has also determined that Mr. Cooper is an “audit committee financial expert,” as defined under Item 407 of Regulation S-K.</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satisfy the member independence requirements for the audit committee prior to the end of the transition period provided under current Nasdaq Listing Rules and SEC rules and regulations for newly public companies. The audit committee charter, which has been adopted by our board of directors, is available on our website.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committee’s responsibilities include:</w:t>
      </w:r>
    </w:p>
    <w:p>
      <w:pPr>
        <w:spacing w:after="0" w:line="225" w:lineRule="exact"/>
        <w:rPr>
          <w:sz w:val="20"/>
          <w:szCs w:val="20"/>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assisting our board of directors in developing and reviewing potential candidates for executive positions;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our overall compensation strategy, including base salary, incentive compensation and equity-based grants;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compensation of our chief executive officer and our other executive officers;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0" w:name="page121"/>
    <w:bookmarkEnd w:id="120"/>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recommending to our board of directors the compensation of our chief executive officer and other executive officers;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25" w:lineRule="exact"/>
        <w:rPr>
          <w:rFonts w:ascii="Arial" w:cs="Arial" w:eastAsia="Arial" w:hAnsi="Arial"/>
          <w:sz w:val="18"/>
          <w:szCs w:val="18"/>
          <w:color w:val="auto"/>
        </w:rPr>
      </w:pPr>
    </w:p>
    <w:p>
      <w:pPr>
        <w:ind w:left="740" w:right="800" w:hanging="368"/>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considering and selecting, to the extent determined to be advisable, a peer group of appropriate companies for purposing of benchmarking and analysis of compensation for our executive officers and directors;</w:t>
      </w:r>
    </w:p>
    <w:p>
      <w:pPr>
        <w:spacing w:after="0" w:line="170"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all employment contract and other compensation, severance and change-in- control arrangements for our executive officers;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recommending to our board of directors any stock ownership guidelines for our executive officers and non-employee directors;</w:t>
      </w:r>
    </w:p>
    <w:p>
      <w:pPr>
        <w:spacing w:after="0" w:line="225"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retaining, appointing or obtaining advice of a compensation consultant, legal counsel or other advisor, and determining the compensation and independence of such consultant or advisor;</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preparing, if required, the compensation committee report on executive compensation for inclusion in our annual proxy statement in accordance with the proxy rules;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monitoring our compliance with the requirements of Sarbanes-Oxley relating to loans to directors and officers;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our compliance with applicable SEC rules regarding shareholder approval of certain executive compensation matters;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risks associated with our compensation policies and practices;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compensation committee’s charter;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performing, on an annual basis, an evaluation of the performance of the compensation committee.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members of our compensation committee are Kristina Burow, Stephen Knight and Carole Ho. Ms. Burow chairs the compensation committee. Our board of directors has determined that each member of the compensation committee satisfies the independence standards of the applicable rules of the Nasdaq Stock Market applicable to compensation committee members. Prior to establishing a compensation committee, our board of directors made decisions relating to the compensation of our executive officers. The compensation committee may delegate any of the responsibilities of the full committee to subcommittees and may delegate such responsibilities of the full committee to executive officers of the Company and other persons as may be permitted by applicable laws, rules or regulations and in accordance with the listing standards set forth by Nasdaq. The compensation committee charter, which has been adopted by our board of directors, is available on our website.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25" w:lineRule="exact"/>
        <w:rPr>
          <w:sz w:val="20"/>
          <w:szCs w:val="20"/>
          <w:color w:val="auto"/>
        </w:rPr>
      </w:pPr>
    </w:p>
    <w:p>
      <w:pPr>
        <w:ind w:left="740" w:right="50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the board and receiving nominations for such qualified individuals;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committee of the board;</w:t>
      </w:r>
    </w:p>
    <w:p>
      <w:pPr>
        <w:spacing w:after="0" w:line="225"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a policy under which our shareholders may recommend a candidate to the nominating and corporate governance committee for consideration for nomination as a director;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recommending committee slates on an annual basis;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recommending to our board of directors qualified candidates to fill vacancies on our board of directors;</w:t>
      </w:r>
    </w:p>
    <w:p>
      <w:pPr>
        <w:spacing w:after="0" w:line="225"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principals applicable to us and reviewing the principles on at least an annual basis;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 and board committee structure;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in concert with our board of directors, our policies with respect to significant issues of corporate public responsibility;</w:t>
      </w:r>
    </w:p>
    <w:p>
      <w:pPr>
        <w:spacing w:after="0" w:line="225"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recommendations to our board of directors’ processes for annual evaluations of the performance of our board of directors, our chief executive officer and committees of our board of directors;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1" w:name="page122"/>
    <w:bookmarkEnd w:id="121"/>
    <w:p>
      <w:pPr>
        <w:ind w:left="740" w:right="260" w:hanging="368"/>
        <w:spacing w:after="0" w:line="342" w:lineRule="auto"/>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overseeing the process for annual evaluations of our board of directors, chief executive officer and committees of our board of directors and certifying that performance of our chief executive officer and other members of executive management is being properly evaluated;</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considering and reporting to our board of directors any questions of possible conflicts of interest of members of our board of directors;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providing new director orientation and continuing education for existing directors on a periodic basis;</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the maintenance and presentation to our board of directors of management’s plans for succession to senior management positions in the Company;</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assessing, at least annually, the adequacy of the nominating and corporate governance committee’s charter;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performing, on an annual basis, an evaluation of the performance of the nominating and corporate governance committee.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members of our nominating and corporate governance committee are Mark Fishman, Carole Ho and Stephen Knight. Dr. Fishman chairs the nominating and corporate governance committee. Our board of directors has determined that each member of the nominating and corporate governance committee satisfies the independence standards of the applicable rules of the Nasdaq Stock Market. The nominating and governance committee charter, which has been adopted by our board of directors, is available on our website.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establish other committees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which became effective upon the effectiveness of our registration statement on February 5, 2020. A current copy of the code is available on the investor section of our website. In addition, we posted on our website all disclosures that are required by law or Nasdaq Stock Market rules concerning any amendments to, or waivers from, any provision of the code.</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discussion and analysis of compensation arrangements should be read with the compensation tables and related disclosures set forth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2019. We refer to these individuals as our named executive officers. Our named executive officers are:</w:t>
      </w:r>
    </w:p>
    <w:p>
      <w:pPr>
        <w:spacing w:after="0" w:line="184" w:lineRule="exact"/>
        <w:rPr>
          <w:sz w:val="20"/>
          <w:szCs w:val="20"/>
          <w:color w:val="auto"/>
        </w:rPr>
      </w:pPr>
    </w:p>
    <w:p>
      <w:pPr>
        <w:ind w:left="740" w:hanging="368"/>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John Evans, our Chief Executive Officer;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Giuseppe Ciaramella, Ph.D., our President and Chief Scientific Officer;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Terry-Ann Burrell, our Chief Financial Officer and Treasurer.</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board of directors was responsible for determining the compensation of our executive officers prior to the establishment of the compensation committee of our board of directors in February 2019. Following its establishment, our compensation committee is generally responsible for determining the compensation of our executive officers. Our Chief Executive Officer made recommendations to our compensation committee about the compensation of his direct reports in respect of fiscal year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compensation awarded to, earned by, or paid to our named executive officers in respect of their service to us for the fiscal years ended December 31, 2019 and December 31, 2018 (as applicable):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Nonequity</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8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9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w w:val="96"/>
              </w:rPr>
              <w:t>Bonus</w:t>
            </w:r>
          </w:p>
        </w:tc>
        <w:tc>
          <w:tcPr>
            <w:tcW w:w="94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plan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awards</w:t>
            </w:r>
          </w:p>
        </w:tc>
        <w:tc>
          <w:tcPr>
            <w:tcW w:w="9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awards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960" w:type="dxa"/>
            <w:vAlign w:val="bottom"/>
            <w:gridSpan w:val="2"/>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($)(4)</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($)(6)</w:t>
            </w:r>
          </w:p>
        </w:tc>
        <w:tc>
          <w:tcPr>
            <w:tcW w:w="104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Evans</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4"/>
              </w:rPr>
              <w:t>$ 472,500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86"/>
              </w:rPr>
              <w:t>$ 1,368,453</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w w:val="96"/>
              </w:rPr>
              <w:t>$  367,813</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1,034</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6"/>
              </w:rPr>
              <w:t>$ 2,209,800</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Executive Officer</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441,477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w w:val="89"/>
              </w:rPr>
              <w:t>2,976,205</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499,311</w:t>
            </w:r>
          </w:p>
        </w:tc>
        <w:tc>
          <w:tcPr>
            <w:tcW w:w="104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270,000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4,187,137</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Giuseppe Ciaramella, Ph.D.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900" w:type="dxa"/>
            <w:vAlign w:val="bottom"/>
            <w:gridSpan w:val="2"/>
          </w:tcPr>
          <w:p>
            <w:pPr>
              <w:jc w:val="right"/>
              <w:ind w:right="39"/>
              <w:spacing w:after="0"/>
              <w:rPr>
                <w:sz w:val="20"/>
                <w:szCs w:val="20"/>
                <w:color w:val="auto"/>
              </w:rPr>
            </w:pPr>
            <w:r>
              <w:rPr>
                <w:rFonts w:ascii="Arial" w:cs="Arial" w:eastAsia="Arial" w:hAnsi="Arial"/>
                <w:sz w:val="18"/>
                <w:szCs w:val="18"/>
                <w:color w:val="auto"/>
              </w:rPr>
              <w:t>413,502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888,812</w:t>
            </w:r>
          </w:p>
        </w:tc>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267,188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18,948</w:t>
            </w:r>
          </w:p>
        </w:tc>
        <w:tc>
          <w:tcPr>
            <w:tcW w:w="1040" w:type="dxa"/>
            <w:vAlign w:val="bottom"/>
            <w:gridSpan w:val="2"/>
          </w:tcPr>
          <w:p>
            <w:pPr>
              <w:jc w:val="right"/>
              <w:ind w:right="39"/>
              <w:spacing w:after="0"/>
              <w:rPr>
                <w:sz w:val="20"/>
                <w:szCs w:val="20"/>
                <w:color w:val="auto"/>
              </w:rPr>
            </w:pPr>
            <w:r>
              <w:rPr>
                <w:rFonts w:ascii="Arial" w:cs="Arial" w:eastAsia="Arial" w:hAnsi="Arial"/>
                <w:sz w:val="18"/>
                <w:szCs w:val="18"/>
                <w:color w:val="auto"/>
              </w:rPr>
              <w:t>1,588,450</w:t>
            </w: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President and Chief Scientific Officer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39"/>
              <w:spacing w:after="0"/>
              <w:rPr>
                <w:sz w:val="20"/>
                <w:szCs w:val="20"/>
                <w:color w:val="auto"/>
              </w:rPr>
            </w:pPr>
            <w:r>
              <w:rPr>
                <w:rFonts w:ascii="Arial" w:cs="Arial" w:eastAsia="Arial" w:hAnsi="Arial"/>
                <w:sz w:val="18"/>
                <w:szCs w:val="18"/>
                <w:color w:val="auto"/>
              </w:rPr>
              <w:t>338,889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w w:val="89"/>
              </w:rPr>
              <w:t>250,000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256,492</w:t>
            </w:r>
          </w:p>
        </w:tc>
        <w:tc>
          <w:tcPr>
            <w:tcW w:w="1040" w:type="dxa"/>
            <w:vAlign w:val="bottom"/>
            <w:gridSpan w:val="2"/>
          </w:tcPr>
          <w:p>
            <w:pPr>
              <w:jc w:val="right"/>
              <w:ind w:right="44"/>
              <w:spacing w:after="0"/>
              <w:rPr>
                <w:sz w:val="20"/>
                <w:szCs w:val="20"/>
                <w:color w:val="auto"/>
              </w:rPr>
            </w:pPr>
            <w:r>
              <w:rPr>
                <w:rFonts w:ascii="Arial" w:cs="Arial" w:eastAsia="Arial" w:hAnsi="Arial"/>
                <w:sz w:val="18"/>
                <w:szCs w:val="18"/>
                <w:color w:val="auto"/>
              </w:rPr>
              <w:t>162,017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18,451</w:t>
            </w:r>
          </w:p>
        </w:tc>
        <w:tc>
          <w:tcPr>
            <w:tcW w:w="1040" w:type="dxa"/>
            <w:vAlign w:val="bottom"/>
            <w:gridSpan w:val="2"/>
          </w:tcPr>
          <w:p>
            <w:pPr>
              <w:jc w:val="right"/>
              <w:ind w:right="39"/>
              <w:spacing w:after="0"/>
              <w:rPr>
                <w:sz w:val="20"/>
                <w:szCs w:val="20"/>
                <w:color w:val="auto"/>
              </w:rPr>
            </w:pPr>
            <w:r>
              <w:rPr>
                <w:rFonts w:ascii="Arial" w:cs="Arial" w:eastAsia="Arial" w:hAnsi="Arial"/>
                <w:sz w:val="18"/>
                <w:szCs w:val="18"/>
                <w:color w:val="auto"/>
              </w:rPr>
              <w:t>1,025,849</w:t>
            </w: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Terry-Ann Burrell (7)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147,180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3,901,485</w:t>
            </w:r>
          </w:p>
        </w:tc>
        <w:tc>
          <w:tcPr>
            <w:tcW w:w="104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54,058</w:t>
            </w:r>
          </w:p>
        </w:tc>
        <w:tc>
          <w:tcPr>
            <w:tcW w:w="10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4,302,723</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Financial Officer and Treasurer</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shown for Mr. Evans and Dr. Ciaramella for the respective year include contributions made to our 401(k) plan.</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shown for Dr. Ciaramella for fiscal year 2018 reflects a sign-on bonus.</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amount reported in this column represents the aggregate grant date fair value of restricted shares of our common stock granted to Mr. Evans in fiscal year 2018 computed in accordance with FASB ASC 718, excluding the effect of estimated forfeitures. The assumptions used to value the restricted stock for this purpose are set forth in Note 13, </w:t>
      </w:r>
      <w:r>
        <w:rPr>
          <w:rFonts w:ascii="Arial" w:cs="Arial" w:eastAsia="Arial" w:hAnsi="Arial"/>
          <w:sz w:val="18"/>
          <w:szCs w:val="18"/>
          <w:i w:val="1"/>
          <w:iCs w:val="1"/>
          <w:color w:val="auto"/>
        </w:rPr>
        <w:t>Stock option and grant plan</w:t>
      </w:r>
      <w:r>
        <w:rPr>
          <w:rFonts w:ascii="Arial" w:cs="Arial" w:eastAsia="Arial" w:hAnsi="Arial"/>
          <w:sz w:val="18"/>
          <w:szCs w:val="18"/>
          <w:color w:val="auto"/>
        </w:rPr>
        <w:t>, to our consolidated financial statements included in this Annual Report on Form 10-K.</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represent the aggregate grant date fair value of options to purchase our common stock granted to each of our named executive officers in fiscal year 2019 and to Mr. Evans and Dr. Ciaramella in fiscal year 2018 computed in accordance with FASB ASC 718, excluding the effect of estimated forfeitures. The assumptions used to value the options for this purpose are set forth in Note 13, </w:t>
      </w:r>
      <w:r>
        <w:rPr>
          <w:rFonts w:ascii="Arial" w:cs="Arial" w:eastAsia="Arial" w:hAnsi="Arial"/>
          <w:sz w:val="18"/>
          <w:szCs w:val="18"/>
          <w:i w:val="1"/>
          <w:iCs w:val="1"/>
          <w:color w:val="auto"/>
        </w:rPr>
        <w:t>Stock option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grant plan</w:t>
      </w:r>
      <w:r>
        <w:rPr>
          <w:rFonts w:ascii="Arial" w:cs="Arial" w:eastAsia="Arial" w:hAnsi="Arial"/>
          <w:sz w:val="18"/>
          <w:szCs w:val="18"/>
          <w:color w:val="auto"/>
        </w:rPr>
        <w:t>, to our consolidated financial statements included in this Annual Report on Form 10-K. With respect to performance-based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Mr. Evans and Dr. Ciaramella in fiscal year 2019, the grant date fair value of such options based on the probable outcome of the performance conditions associated with the options on the grant date is $0. If all applicable performance milestones associated with such options were achieved at maximum levels, the grant date fair value of the 2019 performance-based stock options would be $552,901 for Mr. Evans and $132,976 for Dr. Ciaramella.</w:t>
      </w:r>
    </w:p>
    <w:p>
      <w:pPr>
        <w:spacing w:after="0" w:line="3" w:lineRule="exact"/>
        <w:rPr>
          <w:rFonts w:ascii="Arial" w:cs="Arial" w:eastAsia="Arial" w:hAnsi="Arial"/>
          <w:sz w:val="18"/>
          <w:szCs w:val="18"/>
          <w:color w:val="auto"/>
        </w:rPr>
      </w:pPr>
    </w:p>
    <w:p>
      <w:pPr>
        <w:ind w:left="500" w:right="40" w:hanging="492"/>
        <w:spacing w:after="0" w:line="260"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shown represent the annual bonus earned by each of our named executive officers for 2019 and by Mr. Evans and Dr. Ciaramella for 2018, in each case based on the attainment of both corporate and individual performance goals.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ind w:left="500" w:right="80" w:hanging="492"/>
        <w:spacing w:after="0" w:line="284" w:lineRule="auto"/>
        <w:tabs>
          <w:tab w:leader="none" w:pos="5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reported for Mr. Evans for fiscal year 2019 includes commuting benefits ($720) and a tax-gross up associated with his commuting benefits ($314) and for 2018 reflects company-paid group term life insurance premiums ($144). The amount reported for Dr. Ciaramella for fiscal 2019 reflects reimbursement of his COBRA continuation coverage through August 31, 2019 ($17,914), commuting benefits ($720) and a tax gross-up associated with his commuting benefits ($314) and for fiscal year 2018 reflects reimbursement of his COBRA continuation coverage ($18,319) and company-paid group term life insurance premiums ($132). The amount reported for Ms. Burrell for fiscal year 2019 reflects commuting and temporary housing benefits ($38,328) and a tax gross-up associated with her commuting and temporary housing benefits ($15,730).</w:t>
      </w:r>
    </w:p>
    <w:p>
      <w:pPr>
        <w:spacing w:after="0" w:line="4" w:lineRule="exact"/>
        <w:rPr>
          <w:rFonts w:ascii="Arial" w:cs="Arial" w:eastAsia="Arial" w:hAnsi="Arial"/>
          <w:sz w:val="16"/>
          <w:szCs w:val="16"/>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Ms. Burrell commenced employment with us as our Chief Financial Officer on August 20,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During fiscal year 2019, the base salary for each of Mr. Evans, Dr. Ciaramella and Ms. Burrell was $472,500, $413,502 and $400,000, respectively. Ms. Burrell’s base salary was established at the time she commenced employment with us. The amended and restated employment agreement or letter agreement with each named executive officer, described below, establishes a base salary, which took effect in connection with our IPO and is subject to periodic review. Upon our IPO, Mr. Evans’s base salary was increased to $535,000, and Dr. Ciaramella’s base salary was increased to $475,000. Ms. Burrell’s base salary was increased to $420,000, effective January 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With respect to fiscal year 2019, each of Mr. Evans, Dr. Ciaramella and Ms. Burrell was eligible to receive an annual bonus, with the target amount of such bonus for each named executive officer set forth in his or her employment or letter agreement with us. For fiscal year 2019, the target bonus amounts, expressed as a percentage of base salary, for each of Mr. Evans, Dr. Ciaramella and Ms. Burrell were as follows: 50%, 40% and 40%, respectively. Annual bonuses for fiscal year 2019 for our named executive officers are based on the attainment of both corporate and individual performance goals as recommended by our compensation committee and determined by our board of directors. The corporate performance goals for 2019 related to building the company and advancing our R&amp;D pipeline, and the compensation committee of the board of directors determined that such goals were achieved collectively at 125% of target. With respect to fiscal year 2019, each named executive officer earned an annual bonus as follows: Mr. Evans, $367,813; Dr. Ciaramella $267,188; and Ms. Burrell $200,000. In connection with our IPO, the target bonus amount for Mr. Evans was increased to 55% of his base salary and for Dr. Ciaramella was increased to 45% of his base salary.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Evans, Dr. Ciaramella and Ms. Burrell each received incentive equity grants in fiscal year 2019 under the Beam Therapeutics Inc. 2017 Stock Option and Grant Plan, or the 2017 Plan.</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February 13, 2019, Mr. Evans was granted an option to purchase 107,929 shares of our common stock, which vests as to 50% of the underlying shares upon the achievement of certain development milestones related to editing applications and as to 50% upon the achievement of a closing price hurdle following our IPO, in each case, generally subject to Mr. Evans’s continued employment with us through December 31, 2022. On May 17, 2019, Mr. Evans was granted an option to purchase 223,000 shares of our common stock, which vests as to 25% of the underlying shares on October 1, 2020 and in 36 equal monthly installments thereafter, generally subject to Mr. Evans’s continued employment with us through the applicable vesting date.</w:t>
      </w:r>
    </w:p>
    <w:p>
      <w:pPr>
        <w:spacing w:after="0" w:line="5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February 13, 2019, Dr. Ciaramella was granted an option to purchase 25,957 shares of our common stock, which vests as to 50% of the underlying shares upon the achievement of certain development milestones related to editing applications and as to 50% upon the achievement of a closing price hurdle following our IPO, in each case, generally subject to Dr. Ciaramella’s continued employment with us through December 31, 2022. On each of May 17, 2019 and May 31, 2019, Dr. Ciaramella was granted an option to purchase 121,646 shares of our common stock and an option to purchase 23,303 shares of our common stock, respectively, each of which vests as to 25% of the underlying shares on October 1, 2020 and in 36 equal monthly installments thereafter, generally subject to Dr. Ciaramella’s continued employment with us through the applicable vesting date.</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August 31, 2019, Ms. Burrell was granted an option to purchase 390,250 shares of our common stock, which vests as to 25% of the underlying shares on August 20, 2020 and in 36 equal monthly installments thereafter, generally subject to Ms. Burrell’s continued employment with us through the applicable vesting date.</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our IPO and his promotion to the role of President, Dr. Ciaramella was granted an option to purchase 510,893 shares of our common stock under the Beam Therapeutics Inc. 2019 Equity Incentive Plan, or the 2019 Plan, which will vest as to 25% of the underlying shares on the first anniversary of the grant date and in 36 equal monthly installments thereafter, generally subject to Dr. Ciaramella’s continued employment with us through the applicable vesting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Evans, Dr. Ciaramella and Ms. Burrell are each party to an employment or letter agreement with us that sets forth the terms and conditions of his or her employment. In connection with our IPO, these agreements were amended and restated. The material terms of the agreements, as amended and restated, are described below. The terms “cause,” “good reason” and “change in control” referred to below are defined in the respective named executive officer’s agreement.</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Mr. Evans. </w:t>
      </w:r>
      <w:r>
        <w:rPr>
          <w:rFonts w:ascii="Arial" w:cs="Arial" w:eastAsia="Arial" w:hAnsi="Arial"/>
          <w:sz w:val="18"/>
          <w:szCs w:val="18"/>
          <w:color w:val="auto"/>
        </w:rPr>
        <w:t>We entered into an amended and restated letter agreement with Mr. Evans, which became effective upon our IPO, that provides for a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of $535,000 per year, subject to annual review by our compensation committee, and a target annual bonus equal to 55% of his annual base salary, with the actual amount of the bonus earned based on the terms of the applicable bonus plan developed by our board of directors or our compensation committee. The letter agreement also provides that, for so long as Mr. Evans serves as our Chief Executive Officer, at each annual meeting of our stockholders we will nominate him to serve as a member of our board of directors, and, if so elected at such meeting, he will continue to serve as a member of our board of directors.</w:t>
      </w:r>
    </w:p>
    <w:p>
      <w:pPr>
        <w:spacing w:after="0" w:line="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Evans’s amended and restated letter agreement contains a perpetual confidentiality covenant and an assignment of intellectual property covenant. Mr. Evans is also party to an Employee Non-Competition, Non-Solicitation, Confidentiality and Assignment Agreement under which he has agreed not to compete with us or solicit our employees, consultants, customers or suppliers during his employment and for one year following his termination and has agreed to a perpetual confidentiality covenant and an assignment of intellectual property covenant.</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Dr. Ciaramella</w:t>
      </w:r>
      <w:r>
        <w:rPr>
          <w:rFonts w:ascii="Arial" w:cs="Arial" w:eastAsia="Arial" w:hAnsi="Arial"/>
          <w:sz w:val="17"/>
          <w:szCs w:val="17"/>
          <w:color w:val="auto"/>
        </w:rPr>
        <w:t>. We entered into an amended and restated employment agreement with Dr. Ciaramella, which became effective upon our IPO,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for a base salary of $475,000 per year, subject to adjustment by our board of directors (or a committee thereof), and a target annual bonus equal to 45% of his annual base salary, with the actual amount of the bonus earned determined by our board of directors, in its discretion, based on Dr. Ciaramella’s performance and corporate performance compared to goals established by our compensation committee.</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Dr. Ciaramella’s amended and restated employment agreement contains a perpetual confidentiality covenant and an assignment of intellectual property covenant. Dr. Ciaramella is also party to an Employee Non-Competition, Non-Solicitation, Confidentiality and Assignment Agreement under which he has agreed not to compete with us or solicit our employees, consultants, customers or suppliers during his employment and for one year following his termination and has agreed to a perpetual confidentiality covenant and an assignment of intellectual property covenant.</w:t>
      </w:r>
    </w:p>
    <w:p>
      <w:pPr>
        <w:spacing w:after="0" w:line="6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Ms. Burrell</w:t>
      </w:r>
      <w:r>
        <w:rPr>
          <w:rFonts w:ascii="Arial" w:cs="Arial" w:eastAsia="Arial" w:hAnsi="Arial"/>
          <w:sz w:val="18"/>
          <w:szCs w:val="18"/>
          <w:color w:val="auto"/>
        </w:rPr>
        <w:t>. We entered into an amended and restated letter agreement with Ms. Burrell, which became effective upon our IPO, that provides for a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of $400,000 per year, subject to periodic review and adjustment by our compensation committee, and a target annual bonus equal to 40% of her annual base salary, with the actual amount of the bonus earned based on our compensation committee’s assessment of individual and corporate performance.</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Ms. Burrell is also party to an Employee Non-Solicitation, Confidentiality and Assignment Agreement under which she has agreed not to solicit our employees, independent contractors, customers, vendors or suppliers during her employment and for one year following her termination and has agreed to a perpetual confidentiality covenant and an assignment of intellectual property covenant.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upon termination of employment; change in control.</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Mr. Evans. </w:t>
      </w:r>
      <w:r>
        <w:rPr>
          <w:rFonts w:ascii="Arial" w:cs="Arial" w:eastAsia="Arial" w:hAnsi="Arial"/>
          <w:sz w:val="18"/>
          <w:szCs w:val="18"/>
          <w:color w:val="auto"/>
        </w:rPr>
        <w:t>Under his amended and restated letter agreement, if Mr. Evans’s employment is terminated by us without cause or by him for good reason, he</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(iv) extended exercisability of the options granted to him on March 8, 2018 and July 13, 2018 until the earlier of the expiration of the original term and the date that is 24 months following his termination, and (v) payment of his full COBRA premiums for 12 months following his termination (or, if earlier, until the date on which Mr. Evans becomes eligible for coverage under a subsequent employer’s medical plan), subject to his eligibility for, and timely election of, COBRA coverage.</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event of a change in control, any unvested equity awards held by Mr. Evans,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letter agreement, if Mr. Evans’s employment is terminated by us without cause or by him for good reason within 12 months following or within 30 days immediately prior to the change in control, he will be entitled to receive (i) continued payment of his base salary for a period of 18 months following termination, (ii) an amount equal to 1.5 multiplied by his target annual bonus for the year of termination, (iii) immediate vesting of any unvested equity awards, (iv) extended exercisability of the options granted to him on March 8, 2018 and July 13, 2018 until the earlier of the expiration of the original term and the date that is 24 months following his termination, and (v) payment of his full COBRA premiums for 18 months following his termination (or, if earlier, until the date on which Mr. Evans becomes eligible for coverage under a subsequent employer’s medical plan), subject to his eligibility for, and timely election of, COBRA coverage.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p>
      <w:pPr>
        <w:ind w:right="80"/>
        <w:spacing w:after="0" w:line="255" w:lineRule="auto"/>
        <w:rPr>
          <w:sz w:val="20"/>
          <w:szCs w:val="20"/>
          <w:color w:val="auto"/>
        </w:rPr>
      </w:pPr>
      <w:r>
        <w:rPr>
          <w:rFonts w:ascii="Arial" w:cs="Arial" w:eastAsia="Arial" w:hAnsi="Arial"/>
          <w:sz w:val="18"/>
          <w:szCs w:val="18"/>
          <w:i w:val="1"/>
          <w:iCs w:val="1"/>
          <w:color w:val="auto"/>
        </w:rPr>
        <w:t>Dr. Ciaramella</w:t>
      </w:r>
      <w:r>
        <w:rPr>
          <w:rFonts w:ascii="Arial" w:cs="Arial" w:eastAsia="Arial" w:hAnsi="Arial"/>
          <w:sz w:val="18"/>
          <w:szCs w:val="18"/>
          <w:color w:val="auto"/>
        </w:rPr>
        <w:t>. Under his amended and restated employment agreement, if Dr. Ciaramella’s employment is terminated by us without cause or by him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 reason, he will be entitled to receive (i) continued payment of his base salary for a period of 12 months, (ii) an amount equal to his target annual bonus for the year of termination, pro-rated to reflect the portion of the calendar year during which he was employed, (iii) continued vesting for 12 months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the event of a change in control, 50% of the unvested equity awards held by Dr. Ciaramella, other than the portion of such equity awards that would otherwise have vested during the six-month period following such change in control (referred to as the “carved-out equity”), will become fully vested and exercisable. The carved-out equity will remain outstanding and eligible to vest in accordance with its terms. Under his amended and restated employment agreement, if Dr. Ciaramella’s employment is terminated by us without cause or by him for good reason within 12 months following or within 30 days immediately prior to the change in control, he will be entitled to receive (i) continued payment of his base salary for a period of 12 months, (ii) an amount equal to his target annual bonus for the year of termination, (iii) immediate vesting of any unvested equity awards, and (iv) payment of his full COBRA premiums for 12 months following his termination (or, if earlier, until the date on which Dr. Ciaramella becomes eligible for coverage under a subsequent employer’s medical plan), subject to his eligibility for, and timely election of, COBRA coverage.</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Ms. Burrell</w:t>
      </w:r>
      <w:r>
        <w:rPr>
          <w:rFonts w:ascii="Arial" w:cs="Arial" w:eastAsia="Arial" w:hAnsi="Arial"/>
          <w:sz w:val="18"/>
          <w:szCs w:val="18"/>
          <w:color w:val="auto"/>
        </w:rPr>
        <w:t>. Under her amended and restated letter agreement, if Ms. Burrell’s employment is terminated by us without cause or by her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she will be entitled to receive (i) continued payment of her base salary for a period of 12 months and (ii) payment of a portion of her COBRA premiums for 12 months following her termination (or, if earlier, until the date on which Ms. Burrell becomes eligible for coverage under a subsequent employer’s medical plan) in an amount equal to the employer portion of such premiums for active employees, subject to her eligibility for, and timely election of, COBRA coverage.</w:t>
      </w:r>
    </w:p>
    <w:p>
      <w:pPr>
        <w:spacing w:after="0" w:line="8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her amended and restated letter agreement, if Ms. Burrell’s employment is terminated by us without cause or by her for good reason within 12 months following or within 30 days immediately prior to a change in control, she will be entitled to receive (i) continued payment of her base salary for a period of 12 months following termination, (ii) an amount equal to her target annual bonus for the year of termination, (iii) immediate vesting of any unvested equity awards, and (iv) payment of a portion of her COBRA premiums for 12 months (or, if earlier, until the date on which Ms. Burrell becomes eligible for coverage under a subsequent employer’s medical plan) in an amount equal to the employer portion of such premiums for active employees, subject to her eligibility for, and timely election of, COBRA coverage.</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Severance Subject to Release of Claims. </w:t>
      </w:r>
      <w:r>
        <w:rPr>
          <w:rFonts w:ascii="Arial" w:cs="Arial" w:eastAsia="Arial" w:hAnsi="Arial"/>
          <w:sz w:val="18"/>
          <w:szCs w:val="18"/>
          <w:color w:val="auto"/>
        </w:rPr>
        <w:t>Our obligation to provide an executive with severance payments and other benefits under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employment or letter agreement is conditioned on the executive signing a release of claims in favor of us. In addition, our obligation to provide Mr. Evans with severance payments and other benefits under his letter agreement is conditioned on his remaining available to provide consulting services to us as reasonably requested by our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retirement benefits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provide broad-based health and welfare benefits that are available to all of our employees, including our named executive officers, including health, life, disability, vision, and dental insurance. In addition, we maintain a 401(k) retirement plan for our full-time employees. The 401(k) plan also permits us to make discretionary employer contributions. We did not make any employer contributions to the 401(k) plan in 2019. Other than the 401(k) plan, we do not provide any qualified or non-qualified retirement or deferred compensation benefits to our employees, including our named executive officers.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Outstanding awards at fiscal year-end table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Option awards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plan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8"/>
              </w:rPr>
              <w:t>Number</w:t>
            </w:r>
          </w:p>
        </w:tc>
        <w:tc>
          <w:tcPr>
            <w:tcW w:w="5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6"/>
              </w:rPr>
              <w:t>shares of</w:t>
            </w: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stock that</w:t>
            </w: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unearned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exercise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have not</w:t>
            </w: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price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expiration</w:t>
            </w:r>
          </w:p>
        </w:tc>
        <w:tc>
          <w:tcPr>
            <w:tcW w:w="8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vested</w:t>
            </w: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vested</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8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date</w:t>
            </w: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Evans</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74,205</w:t>
            </w:r>
          </w:p>
        </w:tc>
        <w:tc>
          <w:tcPr>
            <w:tcW w:w="5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1"/>
              </w:rPr>
              <w:t>(2 )</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$ 1,014,918</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443,171</w:t>
            </w:r>
          </w:p>
        </w:tc>
        <w:tc>
          <w:tcPr>
            <w:tcW w:w="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1"/>
              </w:rPr>
              <w:t>(3 )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$ 6,061,314</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198,672</w:t>
            </w: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0.67</w:t>
            </w: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5/8/2028(4)</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236,280</w:t>
            </w:r>
          </w:p>
        </w:tc>
        <w:tc>
          <w:tcPr>
            <w:tcW w:w="118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281,065</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w:t>
            </w: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7/13/2028(5)</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107,929</w:t>
            </w: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4.22</w:t>
            </w: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2/13/2029(6)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223,000</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7.22</w:t>
            </w: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5/17/2029(7)</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Giuseppe Ciaramella, Ph.D.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54,635</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0.67</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5/8/2028(8)</w:t>
            </w:r>
          </w:p>
        </w:tc>
        <w:tc>
          <w:tcPr>
            <w:tcW w:w="10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125,205</w:t>
            </w:r>
          </w:p>
        </w:tc>
        <w:tc>
          <w:tcPr>
            <w:tcW w:w="1180" w:type="dxa"/>
            <w:vAlign w:val="bottom"/>
            <w:gridSpan w:val="3"/>
          </w:tcPr>
          <w:p>
            <w:pPr>
              <w:jc w:val="right"/>
              <w:ind w:right="39"/>
              <w:spacing w:after="0"/>
              <w:rPr>
                <w:sz w:val="20"/>
                <w:szCs w:val="20"/>
                <w:color w:val="auto"/>
              </w:rPr>
            </w:pPr>
            <w:r>
              <w:rPr>
                <w:rFonts w:ascii="Arial" w:cs="Arial" w:eastAsia="Arial" w:hAnsi="Arial"/>
                <w:sz w:val="18"/>
                <w:szCs w:val="18"/>
                <w:color w:val="auto"/>
              </w:rPr>
              <w:t>147,970</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0.67</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5/8/2028(9)</w:t>
            </w:r>
          </w:p>
        </w:tc>
        <w:tc>
          <w:tcPr>
            <w:tcW w:w="10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59,486</w:t>
            </w:r>
          </w:p>
        </w:tc>
        <w:tc>
          <w:tcPr>
            <w:tcW w:w="1180" w:type="dxa"/>
            <w:vAlign w:val="bottom"/>
            <w:gridSpan w:val="3"/>
          </w:tcPr>
          <w:p>
            <w:pPr>
              <w:jc w:val="right"/>
              <w:ind w:right="39"/>
              <w:spacing w:after="0"/>
              <w:rPr>
                <w:sz w:val="20"/>
                <w:szCs w:val="20"/>
                <w:color w:val="auto"/>
              </w:rPr>
            </w:pPr>
            <w:r>
              <w:rPr>
                <w:rFonts w:ascii="Arial" w:cs="Arial" w:eastAsia="Arial" w:hAnsi="Arial"/>
                <w:sz w:val="18"/>
                <w:szCs w:val="18"/>
                <w:color w:val="auto"/>
              </w:rPr>
              <w:t>70,302</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7/13/2028(10)</w:t>
            </w:r>
          </w:p>
        </w:tc>
        <w:tc>
          <w:tcPr>
            <w:tcW w:w="10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25,957</w:t>
            </w:r>
          </w:p>
        </w:tc>
        <w:tc>
          <w:tcPr>
            <w:tcW w:w="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2/13/2029(11)</w:t>
            </w:r>
          </w:p>
        </w:tc>
        <w:tc>
          <w:tcPr>
            <w:tcW w:w="10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9"/>
              <w:spacing w:after="0"/>
              <w:rPr>
                <w:sz w:val="20"/>
                <w:szCs w:val="20"/>
                <w:color w:val="auto"/>
              </w:rPr>
            </w:pPr>
            <w:r>
              <w:rPr>
                <w:rFonts w:ascii="Arial" w:cs="Arial" w:eastAsia="Arial" w:hAnsi="Arial"/>
                <w:sz w:val="18"/>
                <w:szCs w:val="18"/>
                <w:color w:val="auto"/>
              </w:rPr>
              <w:t>121,646</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7.22</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5/17/2029(12)</w:t>
            </w:r>
          </w:p>
        </w:tc>
        <w:tc>
          <w:tcPr>
            <w:tcW w:w="10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9"/>
              <w:spacing w:after="0"/>
              <w:rPr>
                <w:sz w:val="20"/>
                <w:szCs w:val="20"/>
                <w:color w:val="auto"/>
              </w:rPr>
            </w:pPr>
            <w:r>
              <w:rPr>
                <w:rFonts w:ascii="Arial" w:cs="Arial" w:eastAsia="Arial" w:hAnsi="Arial"/>
                <w:sz w:val="18"/>
                <w:szCs w:val="18"/>
                <w:color w:val="auto"/>
              </w:rPr>
              <w:t>23,303</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7.22</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5/31/2029(13)</w:t>
            </w:r>
          </w:p>
        </w:tc>
        <w:tc>
          <w:tcPr>
            <w:tcW w:w="10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Terry-Ann Burrell</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390,250</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13.68</w:t>
            </w: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w w:val="99"/>
              </w:rPr>
              <w:t>8/31/2029(14)</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right="780" w:hanging="492"/>
        <w:spacing w:after="0" w:line="258"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 most recent estimated fair market value of a share of our common stock ($13.68), as determined by our board of directors on August 31, 2019.</w:t>
      </w:r>
    </w:p>
    <w:p>
      <w:pPr>
        <w:spacing w:after="0" w:line="1" w:lineRule="exact"/>
        <w:rPr>
          <w:rFonts w:ascii="Arial" w:cs="Arial" w:eastAsia="Arial" w:hAnsi="Arial"/>
          <w:sz w:val="18"/>
          <w:szCs w:val="18"/>
          <w:color w:val="auto"/>
        </w:rPr>
      </w:pPr>
    </w:p>
    <w:p>
      <w:pPr>
        <w:ind w:left="500" w:hanging="492"/>
        <w:spacing w:after="0" w:line="281"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228,068 restricted shares of our common stock granted on August 17, 2017, of which 85,594 restricted shares vested in equal monthly installments through January 3, 2018, and, after giving effect to an amendment to the grant, the remaining 142,474 restricted shares vest in 48 equal monthly installments following January 8, 2018, generally subject to Mr. Evans’s continued employment with us through the applicable vesting date.</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850,889 restricted shares of our common stock granted on January 8, 2018, which, after giving effect to an amendment to the grant, vest in 48 equal monthly installments following the grant date, generally subject to Mr. Evans’s continued employment with us through the applicable vesting date.</w:t>
      </w:r>
    </w:p>
    <w:p>
      <w:pPr>
        <w:spacing w:after="0" w:line="1" w:lineRule="exact"/>
        <w:rPr>
          <w:rFonts w:ascii="Arial" w:cs="Arial" w:eastAsia="Arial" w:hAnsi="Arial"/>
          <w:sz w:val="18"/>
          <w:szCs w:val="18"/>
          <w:color w:val="auto"/>
        </w:rPr>
      </w:pPr>
    </w:p>
    <w:p>
      <w:pPr>
        <w:ind w:left="500" w:hanging="492"/>
        <w:spacing w:after="0" w:line="281"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an option to purchase 198,672 shares of our common stock granted on May 8, 2018, which vests as to 50% of the underlying shares upon the achievement of certain development milestones related to editing applications and as to 50% of the underlying shares upon the achievement of a closing price hurdle following our IPO, in each case, generally subject to Mr. Evans’s continued employment with us through December 31, 2022.</w:t>
      </w:r>
    </w:p>
    <w:p>
      <w:pPr>
        <w:spacing w:after="0" w:line="1"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an option to purchase 539,645 shares of our common stock granted on July 13, 2018, which vested as to 25% of the underlying shares on January 8, 2019 and vests in 36 equal monthly installments thereafter, generally subject to Mr. Evans’s continued employment with us through the applicable vesting date.</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an option to purchase 107,929 shares of our common stock granted on February 13, 2019, which vests as to 50% of the underlying shares upon the achievement of certain development milestones related to editing applications and as to 50% of the underlying shares upon the achievement of a closing price hurdle following our IPO, in each case generally subject to Mr. Evans’s continued employment with us through December 31, 2022.</w:t>
      </w:r>
    </w:p>
    <w:p>
      <w:pPr>
        <w:spacing w:after="0" w:line="1"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an option to purchase 223,000 shares of our common stock granted on May 17, 2019, which vests as to 25% of the underlying shares on October 1, 2020 and vests in 36 equal monthly installments thereafter, generally subject to Mr. Evans’s continued employment with us through the applicable vesting date.</w:t>
      </w:r>
    </w:p>
    <w:p>
      <w:pPr>
        <w:spacing w:after="0" w:line="1" w:lineRule="exact"/>
        <w:rPr>
          <w:rFonts w:ascii="Arial" w:cs="Arial" w:eastAsia="Arial" w:hAnsi="Arial"/>
          <w:sz w:val="18"/>
          <w:szCs w:val="18"/>
          <w:color w:val="auto"/>
        </w:rPr>
      </w:pPr>
    </w:p>
    <w:p>
      <w:pPr>
        <w:ind w:left="500" w:right="80" w:hanging="492"/>
        <w:spacing w:after="0" w:line="25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an option to purchase 54,635 shares of our common stock granted on May 8, 2018, which vests as to 50% of the underlying shares upon the achievement of certain development milestones related to editing applications and as to 50% of the underlying shares upon the achievement of a closing price hurdle following our IPO, in each case, generally subject to Dr. Ciaramella’s continued employment with us through December 31, 2022.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7" w:name="page128"/>
    <w:bookmarkEnd w:id="127"/>
    <w:p>
      <w:pPr>
        <w:ind w:left="500" w:right="80" w:hanging="492"/>
        <w:spacing w:after="0" w:line="255"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273,175 shares of our common stock granted on May 8, 2018, which vested as to 25% of the underlying shares on February 26, 2019 and vests in 36 equal monthly installments thereafter, generally subject to Dr. Ciaramella’s continued employment with us through the applicable vesting date.</w:t>
      </w:r>
    </w:p>
    <w:p>
      <w:pPr>
        <w:spacing w:after="0" w:line="2"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129,788 shares of our common stock granted on July 13, 2018, which vested as to 25% of the underlying shares on February 26, 2019 and vests in 36 equal monthly installments thereafter, generally subject to Dr. Ciaramella’s continued employment with us through the applicable vesting date.</w:t>
      </w:r>
    </w:p>
    <w:p>
      <w:pPr>
        <w:spacing w:after="0" w:line="1"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25,957 shares of our common stock granted on February 13, 2019, which vests as to 50% of the underlying shares upon the achievement of certain development milestones related to editing applications and as to 50% of the underlying shares upon the achievement of a closing price hurdle following our IPO, in each case generally subject to Dr. Ciaramella’s continued employment with us through December 31, 2022.</w:t>
      </w:r>
    </w:p>
    <w:p>
      <w:pPr>
        <w:spacing w:after="0" w:line="1" w:lineRule="exact"/>
        <w:rPr>
          <w:rFonts w:ascii="Arial" w:cs="Arial" w:eastAsia="Arial" w:hAnsi="Arial"/>
          <w:sz w:val="18"/>
          <w:szCs w:val="18"/>
          <w:color w:val="auto"/>
        </w:rPr>
      </w:pPr>
    </w:p>
    <w:p>
      <w:pPr>
        <w:jc w:val="both"/>
        <w:ind w:left="500" w:right="100" w:hanging="492"/>
        <w:spacing w:after="0" w:line="250"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121,646 shares of our common stock granted on May 17, 2019, which vests as to 25% of the underlying shares on October 1, 2020 and vests in 36 equal monthly installments thereafter, generally subject to Dr. Ciaramella’s continued employment with us through the applicable vesting date.</w:t>
      </w:r>
    </w:p>
    <w:p>
      <w:pPr>
        <w:spacing w:after="0" w:line="1" w:lineRule="exact"/>
        <w:rPr>
          <w:rFonts w:ascii="Arial" w:cs="Arial" w:eastAsia="Arial" w:hAnsi="Arial"/>
          <w:sz w:val="18"/>
          <w:szCs w:val="18"/>
          <w:color w:val="auto"/>
        </w:rPr>
      </w:pPr>
    </w:p>
    <w:p>
      <w:pPr>
        <w:jc w:val="both"/>
        <w:ind w:left="500" w:right="140" w:hanging="492"/>
        <w:spacing w:after="0" w:line="250"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23,303 shares of our common stock granted on May 31, 2019, which vests as to 25% of the underlying shares on October 1, 2020 and vests in 36 equal monthly installments thereafter, generally subject to Dr. Ciaramella’s continued employment with us through the applicable vesting date.</w:t>
      </w:r>
    </w:p>
    <w:p>
      <w:pPr>
        <w:spacing w:after="0" w:line="1" w:lineRule="exact"/>
        <w:rPr>
          <w:rFonts w:ascii="Arial" w:cs="Arial" w:eastAsia="Arial" w:hAnsi="Arial"/>
          <w:sz w:val="18"/>
          <w:szCs w:val="18"/>
          <w:color w:val="auto"/>
        </w:rPr>
      </w:pPr>
    </w:p>
    <w:p>
      <w:pPr>
        <w:jc w:val="both"/>
        <w:ind w:left="500" w:right="100" w:hanging="492"/>
        <w:spacing w:after="0" w:line="255"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an option to purchase 390,250 shares of our common stock granted on August 31, 2019, which vests as to 25% of the underlying shares on August 20, 2020 and vests in 36 equal monthly installments thereafter, generally subject to Ms. Burrell’s continued employment with us through the applicable vesting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sets forth information concerning the compensation awarded to, earned by or paid to our non-employee directors during the fiscal year ended December 31, 2019. Mr. Evans’s compensation for 2019 is included with that of our other named executive officers above.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610"/>
              <w:spacing w:after="0"/>
              <w:rPr>
                <w:sz w:val="20"/>
                <w:szCs w:val="20"/>
                <w:color w:val="auto"/>
              </w:rPr>
            </w:pPr>
            <w:r>
              <w:rPr>
                <w:rFonts w:ascii="Arial" w:cs="Arial" w:eastAsia="Arial" w:hAnsi="Arial"/>
                <w:sz w:val="14"/>
                <w:szCs w:val="14"/>
                <w:b w:val="1"/>
                <w:bCs w:val="1"/>
                <w:color w:val="auto"/>
                <w:w w:val="90"/>
              </w:rPr>
              <w:t>Fees earned</w:t>
            </w:r>
          </w:p>
        </w:tc>
        <w:tc>
          <w:tcPr>
            <w:tcW w:w="1620" w:type="dxa"/>
            <w:vAlign w:val="bottom"/>
            <w:gridSpan w:val="3"/>
          </w:tcPr>
          <w:p>
            <w:pPr>
              <w:jc w:val="center"/>
              <w:ind w:right="73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tcPr>
          <w:p>
            <w:pPr>
              <w:jc w:val="center"/>
              <w:ind w:right="590"/>
              <w:spacing w:after="0" w:line="149" w:lineRule="exact"/>
              <w:rPr>
                <w:sz w:val="20"/>
                <w:szCs w:val="20"/>
                <w:color w:val="auto"/>
              </w:rPr>
            </w:pPr>
            <w:r>
              <w:rPr>
                <w:rFonts w:ascii="Arial" w:cs="Arial" w:eastAsia="Arial" w:hAnsi="Arial"/>
                <w:sz w:val="14"/>
                <w:szCs w:val="14"/>
                <w:b w:val="1"/>
                <w:bCs w:val="1"/>
                <w:color w:val="auto"/>
                <w:w w:val="95"/>
              </w:rPr>
              <w:t>or paid in</w:t>
            </w:r>
          </w:p>
        </w:tc>
        <w:tc>
          <w:tcPr>
            <w:tcW w:w="1620" w:type="dxa"/>
            <w:vAlign w:val="bottom"/>
            <w:gridSpan w:val="3"/>
          </w:tcPr>
          <w:p>
            <w:pPr>
              <w:jc w:val="center"/>
              <w:ind w:right="730"/>
              <w:spacing w:after="0" w:line="149" w:lineRule="exact"/>
              <w:rPr>
                <w:sz w:val="20"/>
                <w:szCs w:val="20"/>
                <w:color w:val="auto"/>
              </w:rPr>
            </w:pPr>
            <w:r>
              <w:rPr>
                <w:rFonts w:ascii="Arial" w:cs="Arial" w:eastAsia="Arial" w:hAnsi="Arial"/>
                <w:sz w:val="14"/>
                <w:szCs w:val="14"/>
                <w:b w:val="1"/>
                <w:bCs w:val="1"/>
                <w:color w:val="auto"/>
                <w:w w:val="91"/>
              </w:rPr>
              <w:t>awards</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610"/>
              <w:spacing w:after="0"/>
              <w:rPr>
                <w:sz w:val="20"/>
                <w:szCs w:val="20"/>
                <w:color w:val="auto"/>
              </w:rPr>
            </w:pPr>
            <w:r>
              <w:rPr>
                <w:rFonts w:ascii="Arial" w:cs="Arial" w:eastAsia="Arial" w:hAnsi="Arial"/>
                <w:sz w:val="14"/>
                <w:szCs w:val="14"/>
                <w:b w:val="1"/>
                <w:bCs w:val="1"/>
                <w:color w:val="auto"/>
                <w:w w:val="94"/>
              </w:rPr>
              <w:t>cash ($)(1)</w:t>
            </w:r>
          </w:p>
        </w:tc>
        <w:tc>
          <w:tcPr>
            <w:tcW w:w="1180" w:type="dxa"/>
            <w:vAlign w:val="bottom"/>
          </w:tcPr>
          <w:p>
            <w:pPr>
              <w:jc w:val="center"/>
              <w:ind w:right="275"/>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Kristina Burow(3)</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Mark Fishman, M.D.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Carole Ho, M.D.</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331,293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381,293</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Stephen Knight, M.D.(3)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Robert Nelsen(3)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Michael Yi(3)(4)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Feng Zhang, Ph.D.(5)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Graham Cooper(6)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 represents cash fees earned in fiscal year 2019, pro-rated for the director’s service during the year.</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represent the aggregate grant date fair value of options to purchase our common stock granted to Dr. Ho in fiscal year 2019 computed in accordance with FASB ASC 718, excluding the effect of estimated forfeitures. The assumptions used to value the options for this purpose are set forth in Note 13, </w:t>
      </w:r>
      <w:r>
        <w:rPr>
          <w:rFonts w:ascii="Arial" w:cs="Arial" w:eastAsia="Arial" w:hAnsi="Arial"/>
          <w:sz w:val="18"/>
          <w:szCs w:val="18"/>
          <w:i w:val="1"/>
          <w:iCs w:val="1"/>
          <w:color w:val="auto"/>
        </w:rPr>
        <w:t>Stock option and grant plan</w:t>
      </w:r>
      <w:r>
        <w:rPr>
          <w:rFonts w:ascii="Arial" w:cs="Arial" w:eastAsia="Arial" w:hAnsi="Arial"/>
          <w:sz w:val="18"/>
          <w:szCs w:val="18"/>
          <w:color w:val="auto"/>
        </w:rPr>
        <w:t>, to our consolidated financial statements included in this Annual Report on Form 10-K. As of December 31, 2019, Dr. Fishman held options to purchase 260,241 shares of our common stock and Dr. Ho held options to purchase 64,670 shares of our common stock.</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Directors who are affiliated with our investors do not receive compensation in respect of their service as members of our board of directors.</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Yi resigned from our board of directors effective July 16,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Zhang resigned from our board of directors effective February 21, 2019.</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Cooper joined our board of directors on October 8,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respect of their service on our board of directors in fiscal year 2019, Dr. Fishman, Dr. Ho and Mr. Cooper were each entitled to receive a $50,000 cash retainer, pro-rated, as applicable, for the director’s service during the year, and stock option grants as determined by our board of directors.</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April 30, 2018, we entered into a consulting agreement with Dr. Fishman pursuant to which he agreed to provide certain advisory services to our Chief Executive Officer and us in exchange for certain stock option grants, which were made in 2018. We and Dr. Fishman agreed to terminate the consulting agreement effective September 23,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both"/>
        <w:ind w:right="320"/>
        <w:spacing w:after="0" w:line="263" w:lineRule="auto"/>
        <w:rPr>
          <w:sz w:val="20"/>
          <w:szCs w:val="20"/>
          <w:color w:val="auto"/>
        </w:rPr>
      </w:pPr>
      <w:r>
        <w:rPr>
          <w:rFonts w:ascii="Arial" w:cs="Arial" w:eastAsia="Arial" w:hAnsi="Arial"/>
          <w:sz w:val="18"/>
          <w:szCs w:val="18"/>
          <w:color w:val="auto"/>
        </w:rPr>
        <w:t>On February 13, 2019, Dr. Ho received a grant of an option to purchase 64,670 shares of our common stock, which vested as to 25% of the underlying shares on October 19, 2019, with the remainder vesting in 36 equal monthly installments thereafter subject to her continued service with us through the applicable vesting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connection with our IPO, our board of directors adopted a non-employee director compensation policy, which became effective upon the completion of our IPO. Under the non-employee director compensation policy, our non-employee directors, other than our non-employee directors affiliated with ARCH Venture Partners or F Prime Capital, will be compensated as follows:</w:t>
      </w:r>
    </w:p>
    <w:p>
      <w:pPr>
        <w:spacing w:after="0" w:line="184" w:lineRule="exact"/>
        <w:rPr>
          <w:sz w:val="20"/>
          <w:szCs w:val="20"/>
          <w:color w:val="auto"/>
        </w:rPr>
      </w:pPr>
    </w:p>
    <w:p>
      <w:pPr>
        <w:ind w:left="740" w:hanging="368"/>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fee of $35,000 ($65,000 for the chairman of our board of directors);</w:t>
      </w:r>
    </w:p>
    <w:p>
      <w:pPr>
        <w:spacing w:after="0" w:line="225"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non-employee director who is a member of the audit committee will receive an additional annual cash fee of $7,500 ($15,000 for the audit committee chairman);</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non-employee director who is a member of our compensation committee will receive an additional annual cash fee of $5,000 ($10,000 for our compensation committee chairman);</w:t>
      </w:r>
    </w:p>
    <w:p>
      <w:pPr>
        <w:spacing w:after="0" w:line="17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non-employee director who is a member of the nominating and corporate governance committee will receive an additional annual cash fee of $4,000 ($8,000 for the nominating and corporate governance committee chairman);</w:t>
      </w:r>
    </w:p>
    <w:p>
      <w:pPr>
        <w:spacing w:after="0" w:line="170"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non-employee director who is first elected or appointed to our board of directors after the completion of our IPO will be granted an option under the 2019 Plan to purchase shares of common stock having a grant date fair value, determined in accordance with FASB ASC 718, of approximately $375,000 upon his or her initial election to our board of directors;</w:t>
      </w:r>
    </w:p>
    <w:p>
      <w:pPr>
        <w:spacing w:after="0" w:line="183" w:lineRule="exact"/>
        <w:rPr>
          <w:rFonts w:ascii="Arial" w:cs="Arial" w:eastAsia="Arial" w:hAnsi="Arial"/>
          <w:sz w:val="18"/>
          <w:szCs w:val="18"/>
          <w:color w:val="auto"/>
        </w:rPr>
      </w:pPr>
    </w:p>
    <w:p>
      <w:pPr>
        <w:ind w:left="740" w:right="40" w:hanging="368"/>
        <w:spacing w:after="0" w:line="279"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non-employee director who is not first elected or appointed to our board of directors in the calendar year in which an annual meeting occurs (or, for the avoidance of doubt, at the time of the annual meeting) will annually be granted an option under the 2019 Plan to purchase shares of common stock having a grant date fair value, determined in accordance with FASB ASC 718, of approximately $187,500 on the date of the first meeting of our board of directors held after such annual meeting of our stockholders; and</w:t>
      </w:r>
    </w:p>
    <w:p>
      <w:pPr>
        <w:spacing w:after="0" w:line="63" w:lineRule="exact"/>
        <w:rPr>
          <w:rFonts w:ascii="Arial" w:cs="Arial" w:eastAsia="Arial" w:hAnsi="Arial"/>
          <w:sz w:val="17"/>
          <w:szCs w:val="17"/>
          <w:color w:val="auto"/>
        </w:rPr>
      </w:pPr>
    </w:p>
    <w:p>
      <w:pPr>
        <w:ind w:left="740" w:right="200" w:hanging="368"/>
        <w:spacing w:after="0" w:line="277"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our IPO, Mr. Cooper was granted an option to purchase 31,220 shares of our common stock, with an exercise price equal to $17.00, our IPO price.</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stock options granted to our non-employee directors will have a per share exercise price equal to the fair market value of a share of our common stock on the date of grant and will expire not later than ten years after the date of grant. The stock options granted to non-employee directors upon the non-employee director’s initial election to our board of directors will vest as to one-third of the underlying shares on the first anniversary of the date of grant and in equal monthly installments as to the remainder of the shares for two years thereafter, subject to such director’s continued service on our board of directors. The annual stock options granted to our non-employee directors will vest in full on the first anniversary of the date of grant, subject to the director’s continued service on our board of directors.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cash fees will be paid quarterly, in arrears, or upon the earlier resignation or removal of the non-employee director. The amount of each payment will be prorated for any portion of a calendar quarter that a non-employee director is not serving on our board of directors, based on the number of calendar days served by such non-employee director.</w:t>
      </w:r>
    </w:p>
    <w:p>
      <w:pPr>
        <w:spacing w:after="0" w:line="7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Each non-employee director, including each director affiliated with ARCH Venture Partners or F-Prime Capital, is entitled to reimbursement for reasonable travel and other expenses incurred in connection with attending meetings of our board of directors and any committee on which he or she serves.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March 13, 2020, as adjusted to reflect the sale of common stock offered by us in our IPO, for:</w:t>
      </w:r>
    </w:p>
    <w:p>
      <w:pPr>
        <w:spacing w:after="0" w:line="62" w:lineRule="exact"/>
        <w:rPr>
          <w:sz w:val="20"/>
          <w:szCs w:val="20"/>
          <w:color w:val="auto"/>
        </w:rPr>
      </w:pPr>
    </w:p>
    <w:p>
      <w:pPr>
        <w:ind w:left="740" w:hanging="368"/>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5% of our common stock;</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8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Percentage ownership of our common stock before this offering is based on 51,327,657 shares of our common stock outstanding as of March 13, 2020. Outstanding common stock as of March 13, 2020 includes 2,310,400 shares of unvested restricted stock, which are not included as outstanding for accounting purposes and are not included as outstanding shares in our consolidated financial statements.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after March 13, 2020 are considered outstanding, although these shares are not considered outstanding for purposes of computing the percentage ownership of any other person. Unless noted otherwise, the address of all listed stockholders is 26 Landsdowne Street, 2nd Floor, Cambridge, MA 02139.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7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2"/>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of shares</w:t>
            </w:r>
          </w:p>
        </w:tc>
        <w:tc>
          <w:tcPr>
            <w:tcW w:w="1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7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owned</w:t>
            </w:r>
          </w:p>
        </w:tc>
        <w:tc>
          <w:tcPr>
            <w:tcW w:w="17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223"/>
        </w:trPr>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or greater stockholders:</w:t>
            </w:r>
          </w:p>
        </w:tc>
        <w:tc>
          <w:tcPr>
            <w:tcW w:w="1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Funds affiliated with ARCH Venture Partners(1)</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8,243,039</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F-Prime Capital Partners Healthcare Fund V LP(2)</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6,971,912</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David Liu</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3,282,287</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HH Beam Holdings LLC(3)</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2,671,403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Feng Zhang</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2,588,762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TLS Beta Pte. Ltd.(4)</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2,509,641</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Evans(5)</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1,393,749</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Giuseppe Ciaramella(6)</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218,270</w:t>
            </w:r>
          </w:p>
        </w:tc>
        <w:tc>
          <w:tcPr>
            <w:tcW w:w="180" w:type="dxa"/>
            <w:vAlign w:val="bottom"/>
          </w:tcPr>
          <w:p>
            <w:pPr>
              <w:spacing w:after="0"/>
              <w:rPr>
                <w:sz w:val="19"/>
                <w:szCs w:val="19"/>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Terry-Ann Burrell</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Kristina Burow</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Graham Cooper</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Mark Fishman, M.D.(7)</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147,127</w:t>
            </w:r>
          </w:p>
        </w:tc>
        <w:tc>
          <w:tcPr>
            <w:tcW w:w="180" w:type="dxa"/>
            <w:vAlign w:val="bottom"/>
          </w:tcPr>
          <w:p>
            <w:pPr>
              <w:spacing w:after="0"/>
              <w:rPr>
                <w:sz w:val="19"/>
                <w:szCs w:val="19"/>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Stephen Knight, M.D.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Carole Ho, M.D.(8)</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24,251</w:t>
            </w:r>
          </w:p>
        </w:tc>
        <w:tc>
          <w:tcPr>
            <w:tcW w:w="180" w:type="dxa"/>
            <w:vAlign w:val="bottom"/>
          </w:tcPr>
          <w:p>
            <w:pPr>
              <w:spacing w:after="0"/>
              <w:rPr>
                <w:sz w:val="19"/>
                <w:szCs w:val="19"/>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Nelsen</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(9 persons)(9)</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1,783,397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512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117" w:lineRule="exact"/>
        <w:rPr>
          <w:sz w:val="20"/>
          <w:szCs w:val="20"/>
          <w:color w:val="auto"/>
        </w:rPr>
      </w:pPr>
    </w:p>
    <w:p>
      <w:pPr>
        <w:ind w:left="500" w:right="40" w:hanging="492"/>
        <w:spacing w:after="0" w:line="271" w:lineRule="auto"/>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(a) 4,121,519 shares of common stock issuable upon exercise of convertible preferred stock held by ARCH Venture Fund IX Overage, L.P., or ARCH IX Overage, and (b) 4,121,520 shares of common stock issuable upon exercise of convertible preferred stock held by ARCH Venture Fund IX, L.P., or ARCH IX. ARCH Venture Partners IX Overage, L.P., or the GPLP, as the sole general partner of ARCH IX Overage, has the power to vote and dispose of the shares held of record by ARCH IX Overage and may be deemed to beneficially own certain of the shares held of record by ARCH IX Overage. ARCH Venture Partners IX, L.P., or AVP IX LP, has the power top vote and dispose of the shares held of record by ARCH IX and may be deemed to beneficially own certain of the shares held of record by ARCH IX. GPLP and AVP IX LP disclaim beneficial ownership of all shares held of record by ARCH IX Overage and ARCH IX, respectively, in which the GPLP or AVP IX LP does not have an actual pecuniary interest. ARCH Venture Partners IX, LLC, or the GPLLC, as the sole general partner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0" w:name="page131"/>
    <w:bookmarkEnd w:id="130"/>
    <w:p>
      <w:pPr>
        <w:ind w:left="500"/>
        <w:spacing w:after="0" w:line="284" w:lineRule="auto"/>
        <w:rPr>
          <w:sz w:val="20"/>
          <w:szCs w:val="20"/>
          <w:color w:val="auto"/>
        </w:rPr>
      </w:pPr>
      <w:r>
        <w:rPr>
          <w:rFonts w:ascii="Arial" w:cs="Arial" w:eastAsia="Arial" w:hAnsi="Arial"/>
          <w:sz w:val="16"/>
          <w:szCs w:val="16"/>
          <w:color w:val="auto"/>
        </w:rPr>
        <w:t>GPLP and AVP IX LP, has the power to vote and dispose of the shares held of record by ARCH IX Overage and ARCH IX and may be deemed to beneficially own certain of the shares held of record by ARCH IX Overage and ARCH IX. The GPLLC disclaims beneficial ownership of all shares held of record by ARCH IX Overage and ARCH IX in which it does not have an actual pecuniary interest. Keith Crandell, Clinton Bybee, and Robert Nelsen are the managing directors of the GPLLC, share the power to vote and dispose of the shares held of record by ARCH IX Overage and ARCH IX and may be deemed to beneficially own certain of the shares held of record by ARCH IX Overage and ARCH IX. The managing directors disclaim beneficial ownership of all shares held of record by ARCH IX Overage and ARCH IX in which they do not have an actual pecuniary interest. The address of all filing persons is 8755 W. Higgins Road, Suite 1025, Chicago, IL 60631.</w:t>
      </w:r>
    </w:p>
    <w:p>
      <w:pPr>
        <w:spacing w:after="0" w:line="2" w:lineRule="exact"/>
        <w:rPr>
          <w:sz w:val="20"/>
          <w:szCs w:val="20"/>
          <w:color w:val="auto"/>
        </w:rPr>
      </w:pPr>
    </w:p>
    <w:p>
      <w:pPr>
        <w:ind w:left="500" w:right="80" w:hanging="492"/>
        <w:spacing w:after="0" w:line="281"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66,369 shares of common stock issuable upon conversion of shares of Series B Preferred Stock, 4,715,723 shares of common stock issuable upon conversion of shares of Series A2 Preferred Stock and 2,189,820 shares of common stock issuable upon conversion of shares of Series A1 Preferred Stock held by F-Prime Capital Partners Healthcare Fund V LP. F-Prime Capital Partners Healthcare Advisors Fund V LP is the general partner of F-Prime Capital Partners Healthcare Fund V LP. F-Prime Capital Partners Healthcare Advisors Fund V LP is solely managed by Impresa Management LLC, the managing member of its general partner and its investment manager. Impresa Management LLC is owned, directly or indirectly, by various shareholders and employees of FMR LLC. Each of the entities listed above expressly disclaims beneficial ownership of the securities listed above except to the extent of any pecuniary interest therein. The address of these entities is 245 Summer Street, Boston, MA 02210.</w:t>
      </w:r>
    </w:p>
    <w:p>
      <w:pPr>
        <w:spacing w:after="0" w:line="4" w:lineRule="exact"/>
        <w:rPr>
          <w:rFonts w:ascii="Arial" w:cs="Arial" w:eastAsia="Arial" w:hAnsi="Arial"/>
          <w:sz w:val="16"/>
          <w:szCs w:val="16"/>
          <w:color w:val="auto"/>
        </w:rPr>
      </w:pPr>
    </w:p>
    <w:p>
      <w:pPr>
        <w:ind w:left="500" w:right="24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1,991,072 shares of common stock issuable upon conversion of shares of Series B Preferred Stock, 630,776 shares of common stock issuable upon conversion of shares of Series A2 Preferred Stock and 49,555 shares of common stock issuable upon conversion of shares of Series A1 Preferred Stock held by HH Beam Holdings LLC. HH Beam Holdings LLC is beneficially owned and controlled by Hillhouse Fund IV, L.P. Hillhouse Capital Management, Ltd. acts as the sole management company of Hillhouse Fund IV, L.P., which is in turn ultimately controlled by Mr. Lei Zhang. The registered address of HH Beam Holdings LLC is Citco Trustees (Cayman) Limited, 89 Nexus Way, Camana Bay, PO Box 31106, Grand Cayman KY1-1205, Cayman Islands.</w:t>
      </w:r>
    </w:p>
    <w:p>
      <w:pPr>
        <w:spacing w:after="0" w:line="2"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TLS Beta Pte. Ltd. is a wholly owned subsidiary of Temasek Life Sciences Private Limited, which is a wholly owned subsidiary of Fullerton Management Pte. Ltd., which is a wholly owned subsidiary of Temasek Holdings (Private) Limited. The address of these entities is 60B Orchard Road, #06-18 Tower 2, The Atrium@Orchard, Singapore 238891.</w:t>
      </w:r>
    </w:p>
    <w:p>
      <w:pPr>
        <w:spacing w:after="0" w:line="1" w:lineRule="exact"/>
        <w:rPr>
          <w:rFonts w:ascii="Arial" w:cs="Arial" w:eastAsia="Arial" w:hAnsi="Arial"/>
          <w:sz w:val="18"/>
          <w:szCs w:val="18"/>
          <w:color w:val="auto"/>
        </w:rPr>
      </w:pPr>
    </w:p>
    <w:p>
      <w:pPr>
        <w:ind w:left="500" w:right="560" w:hanging="492"/>
        <w:spacing w:after="0" w:line="25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455,292 shares of unvested restricted stock as of March 13, 2020 that Mr. Evans has the ability to vote. Includes options to purchase 292,492 shares of common stock that are exercisable within 60 days of March 13, 2020.</w:t>
      </w: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options to purchase 218,270 shares of common stock that are exercisable within 60 days of March 13,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options to purchase 130,120 shares of common stock that are exercisable within 60 days of March 13,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options to purchase 24,251 shares of common stock that are exercisable within 60 days of December 31, 2019.</w:t>
      </w:r>
    </w:p>
    <w:p>
      <w:pPr>
        <w:spacing w:after="0" w:line="9" w:lineRule="exact"/>
        <w:rPr>
          <w:rFonts w:ascii="Arial" w:cs="Arial" w:eastAsia="Arial" w:hAnsi="Arial"/>
          <w:sz w:val="18"/>
          <w:szCs w:val="18"/>
          <w:color w:val="auto"/>
        </w:rPr>
      </w:pPr>
    </w:p>
    <w:p>
      <w:pPr>
        <w:ind w:left="500" w:right="560" w:hanging="492"/>
        <w:spacing w:after="0" w:line="260"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455,292 shares of unvested restricted stock as of March 13, 2020 that Mr. Evans has the ability to vote. Includes options to purchase 665,133 shares of common stock that are exercisable within 60 days of March 13,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promoters or beneficial holders of more than 5% of our capital stock had or will have a direct or indirect material interest. We believe that all of the transactions described below were made on terms no less favorable to us than could have been obtained from unaffiliated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November 2018, December 2018, January 2019 and February 2019 we completed the sale of an aggregate of 40,178,574 shares of our Series B convertible preferred stock at a purchase price of $3.36 per share for an aggregate purchase price of $135.0 million. Each share of our Series B convertible preferred stock was converted into shares of our common stock immediately prior to the closing of our IPO, including adjustments in connection with</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1-for-4.4843 reverse stock split of our common stock effected on January 24, 2020. The following table summarizes purchases of shares of our Series B convertible preferred stock by holders of more than 5% of our capital stock and entities affiliated with a member of our board of directors.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 of series</w:t>
            </w:r>
          </w:p>
        </w:tc>
        <w:tc>
          <w:tcPr>
            <w:tcW w:w="160" w:type="dxa"/>
            <w:vAlign w:val="bottom"/>
          </w:tcPr>
          <w:p>
            <w:pPr>
              <w:spacing w:after="0"/>
              <w:rPr>
                <w:sz w:val="14"/>
                <w:szCs w:val="14"/>
                <w:color w:val="auto"/>
              </w:rPr>
            </w:pPr>
          </w:p>
        </w:tc>
        <w:tc>
          <w:tcPr>
            <w:tcW w:w="12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Director</w:t>
            </w: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B preferred</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4"/>
              </w:rPr>
              <w:t>purchase price</w:t>
            </w:r>
          </w:p>
        </w:tc>
        <w:tc>
          <w:tcPr>
            <w:tcW w:w="0" w:type="dxa"/>
            <w:vAlign w:val="bottom"/>
          </w:tcPr>
          <w:p>
            <w:pPr>
              <w:spacing w:after="0"/>
              <w:rPr>
                <w:sz w:val="1"/>
                <w:szCs w:val="1"/>
                <w:color w:val="auto"/>
              </w:rPr>
            </w:pPr>
          </w:p>
        </w:tc>
      </w:tr>
      <w:tr>
        <w:trPr>
          <w:trHeight w:val="209"/>
        </w:trPr>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Funds affiliated with ARCH Venture Partners</w:t>
            </w: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Kristina Burow</w:t>
            </w:r>
          </w:p>
        </w:tc>
        <w:tc>
          <w:tcPr>
            <w:tcW w:w="14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Robert Nelsen</w:t>
            </w:r>
          </w:p>
        </w:tc>
        <w:tc>
          <w:tcPr>
            <w:tcW w:w="14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297,620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1,000,003</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F-Prime Capital Partners Healthcare Fund V LP</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Stephen Knight</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297,620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1,000,003</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HH Beam Holdings LLC</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8,928,573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30,000,002</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TLS Beta Pte. Ltd.</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7,440,476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24,999,999</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academic consulting agreements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 2017, we entered into Academic Consulting Agreements with each of David Liu, Feng Zhang and Keith Joung, or the Founders, pursuant to which the Founders provide advisory services as mutually determined by us and the Founders from time to time. The initial term of the Academic Consulting Agreements is for four years, and the agreements continue in effect thereafter until terminated by either party. Under the terms of the agreements, we pay each of the Founders a consulting fee of $150,000 per year, payable in monthly installments in arrears beginning with the initial closing of our Series A-1 convertible preferred stock on June 28, 2017. Additionally, we agreed to reimburse each of the Founders for reasonable business expenses incurred in connection with the performance of their services under the agreements. To date, we have paid each of the Founders $200,000 for consulting services pursuant to these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collaboration agreement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September 2019, we entered into a collaboration and license agreement with Prime Medicine, Inc., or Prime Medicine, to research and develop a novel gene editing technology recently developed by David Liu and his group at Broad Institute. David Liu is a Founder and beneficially owns 5% or more of our common stock. Under the terms of this agreement, we granted Prime Medicine a non-exclusive license to certain of our CRISPR technology (including Cas12b) and delivery technology, and certain other technology controlled by us, to develop and commercialize gene-editing products for the treatment of human diseases. Prime Medicine granted us an exclusive license under certain gene editing technology controlled by Prime Medicine in certain fields and for certain applications similar to those we are already pursuing with base editing (specifically, the creation and correction of single-base transition mutations as well as the treatment of sickle cell disease). Our exclusive rights from Prime Medicine are also subject to Broad Institute’s inclusive innovation model. We are not currently using the intellectual property licensed from Prime Medicine in any of our current programs, however, we are required to use commercially reasonable efforts to develop new product candidates using the intellectual property licensed from Prime Medicine and therefore intend to evaluate this gene editing technology in accordance with our agreement with Prime Medicine and may in the future use this technology in future product candidates.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7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required to use commercially reasonable efforts to develop and seek regulatory approval for two products that use licensed technology from Prime Medicine in certain specified countries and to commercialize licensed products for which regulatory approval has been obtained in certain specified countries. Prime Medicine and we are each required to use commercially reasonable efforts to conduct the activities for which we are responsible under any development plan(s) under the agreement. Prime Medicine has an option to jointly develop and commercialize, and share expenses and revenue for, certain products that use technology licensed from Prime Medicine in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2" w:name="page133"/>
    <w:bookmarkEnd w:id="132"/>
    <w:p>
      <w:pPr>
        <w:ind w:right="20"/>
        <w:spacing w:after="0" w:line="270" w:lineRule="auto"/>
        <w:rPr>
          <w:sz w:val="20"/>
          <w:szCs w:val="20"/>
          <w:color w:val="auto"/>
        </w:rPr>
      </w:pPr>
      <w:r>
        <w:rPr>
          <w:rFonts w:ascii="Arial" w:cs="Arial" w:eastAsia="Arial" w:hAnsi="Arial"/>
          <w:sz w:val="17"/>
          <w:szCs w:val="17"/>
          <w:color w:val="auto"/>
        </w:rPr>
        <w:t>For products that use technology licensed from Prime Medicine, we may be required to make milestone payments to Prime Medicine upon the achievement of certain clinical, regulatory and commercial events. The aggregate potential milestone payments per product for the achievement of such clinical and regulatory events ranges from the low- to mid-eight figures. The aggregate potential milestone payments per product for the achievement of such commercial events ranges from the mid- to high-eight figures. We may also be obligated to pay a high-single digit royalty to a royalty rate between 10% and 15% on net sales of products that are covered by the technology licensed to us or by certain technology developed under the agreement, subject to certain reductions. We may be entitled to receive from Prime Medicine a low-single digit royalty on net sales of products developed by Prime Medicine that are covered by the technology licensed from us, subject to certain reductions. In addition, certain of the rights licensed under the agreement are sublicensed from third parties, and we or Prime Medicine may be required to make certain payments to such third parties to the extent we or Prime Medicine develop and commercialize products under such rights.</w:t>
      </w:r>
    </w:p>
    <w:p>
      <w:pPr>
        <w:spacing w:after="0" w:line="7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have an obligation to issue $5,000,000 in shares of our common stock to Prime Medicine, and Prime Medicine has an obligation to issue 5,000,000 shares of its common stock to us, should the collaboration extend beyond one year. We are also obligated to provide management services to Prime Medicine for up to one year. We have the right to designate one member of Prime Medicine’s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affiliations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Some of our directors are affiliated with and serve on our board of directors as representatives of entities which beneficially own or owned 5% or more of our common stock, as indicated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86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Principal stockholder</w:t>
            </w:r>
          </w:p>
        </w:tc>
      </w:tr>
      <w:tr>
        <w:trPr>
          <w:trHeight w:val="21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Kristina Burow</w:t>
            </w:r>
          </w:p>
        </w:tc>
        <w:tc>
          <w:tcPr>
            <w:tcW w:w="860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Funds affiliated with ARCH Venture Partners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Robert Nelsen</w:t>
            </w:r>
          </w:p>
        </w:tc>
        <w:tc>
          <w:tcPr>
            <w:tcW w:w="8600" w:type="dxa"/>
            <w:vAlign w:val="bottom"/>
          </w:tcPr>
          <w:p>
            <w:pPr>
              <w:ind w:left="1520"/>
              <w:spacing w:after="0"/>
              <w:rPr>
                <w:sz w:val="20"/>
                <w:szCs w:val="20"/>
                <w:color w:val="auto"/>
              </w:rPr>
            </w:pPr>
            <w:r>
              <w:rPr>
                <w:rFonts w:ascii="Arial" w:cs="Arial" w:eastAsia="Arial" w:hAnsi="Arial"/>
                <w:sz w:val="18"/>
                <w:szCs w:val="18"/>
                <w:color w:val="auto"/>
              </w:rPr>
              <w:t>Funds affiliated with ARCH Venture Partners</w:t>
            </w:r>
          </w:p>
        </w:tc>
      </w:tr>
      <w:tr>
        <w:trPr>
          <w:trHeight w:val="216"/>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Stephen Knight</w:t>
            </w:r>
          </w:p>
        </w:tc>
        <w:tc>
          <w:tcPr>
            <w:tcW w:w="8600" w:type="dxa"/>
            <w:vAlign w:val="bottom"/>
            <w:shd w:val="clear" w:color="auto" w:fill="CFF0FC"/>
          </w:tcPr>
          <w:p>
            <w:pPr>
              <w:ind w:left="1520"/>
              <w:spacing w:after="0"/>
              <w:rPr>
                <w:sz w:val="20"/>
                <w:szCs w:val="20"/>
                <w:color w:val="auto"/>
              </w:rPr>
            </w:pPr>
            <w:r>
              <w:rPr>
                <w:rFonts w:ascii="Arial" w:cs="Arial" w:eastAsia="Arial" w:hAnsi="Arial"/>
                <w:sz w:val="18"/>
                <w:szCs w:val="18"/>
                <w:color w:val="auto"/>
              </w:rPr>
              <w:t>F-Prime Capital Partners Healthcare Fund V LP</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party to an amended and restated investor rights agreement, or the Investor Rights Agreement, with each holder of our convertible preferred stock, which includes each holder of more than 5% of our capital stock and certain of our directors (or, in some cases, entities affiliated therewith). The Investor Rights Agreement imposes certain affirmative obligations on us, and also grants certain rights to the holders, including certain registration rights with respect to the registrable securities held by them. Other provisions of the Investor Rights Agreement were terminated upon completion of our IPO.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offer letter agreements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We have entered into employment or offer letter agreements with certain of our executive officers. See Item 11.,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this Annual Report on Form 10-K.</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granted stock options and/or restricted stock to our named executive officers, other executive officers and certain of our directors. See the Item 11, Executive Compensation,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rules of the Nasdaq Stock Market, independent directors must comprise a majority of a listed company’s board of directors within one year of the completion of its initial public offering. In addition, the rules of the Nasdaq Stock Market require that, subject to specified exceptions, each member of a listed company’s audit and compensation committees be independent and that director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ind w:right="140"/>
        <w:spacing w:after="0" w:line="257" w:lineRule="auto"/>
        <w:rPr>
          <w:sz w:val="20"/>
          <w:szCs w:val="20"/>
          <w:color w:val="auto"/>
        </w:rPr>
      </w:pPr>
      <w:r>
        <w:rPr>
          <w:rFonts w:ascii="Arial" w:cs="Arial" w:eastAsia="Arial" w:hAnsi="Arial"/>
          <w:sz w:val="18"/>
          <w:szCs w:val="18"/>
          <w:color w:val="auto"/>
        </w:rPr>
        <w:t>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Nasdaq Stock Market and the Exchange Act rules.</w:t>
      </w:r>
    </w:p>
    <w:p>
      <w:pPr>
        <w:spacing w:after="0" w:line="8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upon information requested from and provided by each director concerning his or her background, employment and affiliations, including family relationships, our board of directors has determined that each of our directors, with the exception of Mr. Evans, is an “independent director” as defined under applicable rules of the Nasdaq Stock Market, including, in the case of Mr. Cooper and Mr. Fishman, the independence criteria set forth in Rule 10A-3 under the Exchange Act, and in the case of all the members of our compensation committee, the independence criteria set forth in Rule 10C-1 under the Exchange Act and are “non-employee directors” as defined in Section 16b-3 of the Exchange Act. In making such determination, our board of directors considered the relationships that each such non-employee director has with us and all other facts and circumstances that our board of directors deemed relevant in determining his or her independence, including the beneficial ownership of our capital stock by each non-employee director. Mr. Evans is not an independent director under these rules because he is our Chief Executive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audit committee has appointed Deloitte and Touch LLP, or Deloitte, as our independent registered public accounting firm for the fiscal year ending December 31, 2019. Deloitte has served as our registered public accountant since 2017.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aggregate fees billed to us for services related to the fiscal years ended December 31, 2019 and 2018, by Deloitte.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CFF0FC"/>
            </w:tcBorders>
          </w:tcPr>
          <w:p>
            <w:pPr>
              <w:spacing w:after="0"/>
              <w:rPr>
                <w:sz w:val="14"/>
                <w:szCs w:val="14"/>
                <w:color w:val="auto"/>
              </w:rPr>
            </w:pPr>
          </w:p>
        </w:tc>
        <w:tc>
          <w:tcPr>
            <w:tcW w:w="62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Audit fees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1,684,546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229,693</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15,225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14,500</w:t>
            </w: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1,895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1,701,666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244,193</w:t>
            </w: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26" w:lineRule="exact"/>
        <w:rPr>
          <w:sz w:val="20"/>
          <w:szCs w:val="20"/>
          <w:color w:val="auto"/>
        </w:rPr>
      </w:pPr>
    </w:p>
    <w:p>
      <w:pPr>
        <w:ind w:left="380" w:right="320" w:hanging="372"/>
        <w:spacing w:after="0" w:line="255" w:lineRule="auto"/>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performed by Deloitte for the audit of our annual consolidated financial statements, the review of interim consolidated financial statements, and review of the registration statement on Form S-1 for our IPO, and related services that are normally provided in connection with statutory and regulatory filings or engagements.</w:t>
      </w:r>
    </w:p>
    <w:p>
      <w:pPr>
        <w:spacing w:after="0" w:line="2" w:lineRule="exact"/>
        <w:rPr>
          <w:rFonts w:ascii="Arial" w:cs="Arial" w:eastAsia="Arial" w:hAnsi="Arial"/>
          <w:sz w:val="18"/>
          <w:szCs w:val="18"/>
          <w:color w:val="auto"/>
        </w:rPr>
      </w:pPr>
    </w:p>
    <w:p>
      <w:pPr>
        <w:ind w:left="380" w:right="180" w:hanging="372"/>
        <w:spacing w:after="0" w:line="250" w:lineRule="auto"/>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Audit related fees consist of fees billed for assurance and related services that are reasonably related to the performance of the audit or review of our consolidated financial statements, such as fees for the adoption of new accounting standards.</w:t>
      </w:r>
    </w:p>
    <w:p>
      <w:pPr>
        <w:ind w:left="380" w:hanging="372"/>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compliance, and transfer pricing services.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other fees consist of database subscription fees paid to Deloitte.</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Deloitte and has concluded that the provision of such services is compatible with maintaining such independence.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Policies and Procedures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registered public accounting firm. These policies and procedures generally provide that we will not engage our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7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 committee may also delegate to one or more subcommittees or an individual member of our audit committee the authority to approve any audit or non-audit services to be provided to us by our registered public accounting firm. Any approval of services by a subcommittee or member of our audit committee pursuant to this delegated authority is reported on at the next meeting of our audit committee. During our 2019 and 2018 fiscal years, all services provided by Deloitte were pre-approved by our audit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 list of the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xml:space="preserve"> on page F-1 of this Annual Report on Form 10-K, incorporated into this Item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40" w:type="dxa"/>
            <w:vAlign w:val="bottom"/>
            <w:gridSpan w:val="26"/>
            <w:vMerge w:val="restart"/>
          </w:tcPr>
          <w:p>
            <w:pPr>
              <w:ind w:left="520"/>
              <w:spacing w:after="0"/>
              <w:rPr>
                <w:sz w:val="20"/>
                <w:szCs w:val="20"/>
                <w:color w:val="auto"/>
              </w:rPr>
            </w:pPr>
            <w:r>
              <w:rPr>
                <w:rFonts w:ascii="Arial" w:cs="Arial" w:eastAsia="Arial" w:hAnsi="Arial"/>
                <w:sz w:val="14"/>
                <w:szCs w:val="14"/>
                <w:b w:val="1"/>
                <w:bCs w:val="1"/>
                <w:color w:val="auto"/>
              </w:rPr>
              <w:t>Description of Exhibit</w:t>
            </w:r>
          </w:p>
        </w:tc>
        <w:tc>
          <w:tcPr>
            <w:tcW w:w="88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jc w:val="center"/>
              <w:ind w:left="2"/>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26"/>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4900" w:type="dxa"/>
            <w:vAlign w:val="bottom"/>
            <w:tcBorders>
              <w:bottom w:val="single" w:sz="8" w:color="0000EE"/>
            </w:tcBorders>
            <w:gridSpan w:val="26"/>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Fourth Amended Certificate of Incorporation of Beam Therapeutics</w:t>
              </w:r>
            </w:hyperlink>
          </w:p>
        </w:tc>
        <w:tc>
          <w:tcPr>
            <w:tcW w:w="280" w:type="dxa"/>
            <w:vAlign w:val="bottom"/>
            <w:gridSpan w:val="4"/>
          </w:tcPr>
          <w:p>
            <w:pPr>
              <w:spacing w:after="0"/>
              <w:rPr>
                <w:sz w:val="24"/>
                <w:szCs w:val="24"/>
                <w:color w:val="auto"/>
              </w:rPr>
            </w:pPr>
          </w:p>
        </w:tc>
        <w:tc>
          <w:tcPr>
            <w:tcW w:w="88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Inc.</w:t>
              </w:r>
            </w:hyperlink>
          </w:p>
        </w:tc>
        <w:tc>
          <w:tcPr>
            <w:tcW w:w="4900" w:type="dxa"/>
            <w:vAlign w:val="bottom"/>
            <w:gridSpan w:val="28"/>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83">
              <w:r>
                <w:rPr>
                  <w:rFonts w:ascii="Arial" w:cs="Arial" w:eastAsia="Arial" w:hAnsi="Arial"/>
                  <w:sz w:val="18"/>
                  <w:szCs w:val="18"/>
                  <w:color w:val="0000EE"/>
                </w:rPr>
                <w:t>Amended and Restated By-laws of Beam Therapeutics Inc.</w:t>
              </w:r>
            </w:hyperlink>
          </w:p>
        </w:tc>
        <w:tc>
          <w:tcPr>
            <w:tcW w:w="88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84">
              <w:r>
                <w:rPr>
                  <w:rFonts w:ascii="Arial" w:cs="Arial" w:eastAsia="Arial" w:hAnsi="Arial"/>
                  <w:sz w:val="18"/>
                  <w:szCs w:val="18"/>
                  <w:color w:val="0000EE"/>
                </w:rPr>
                <w:t>Specimen stock certificate evidencing shares of common stock</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w w:val="94"/>
              </w:rPr>
            </w:pPr>
            <w:hyperlink r:id="rId185">
              <w:r>
                <w:rPr>
                  <w:rFonts w:ascii="Arial" w:cs="Arial" w:eastAsia="Arial" w:hAnsi="Arial"/>
                  <w:sz w:val="18"/>
                  <w:szCs w:val="18"/>
                  <w:color w:val="0000EE"/>
                  <w:w w:val="94"/>
                </w:rPr>
                <w:t>Amended and Restated Investors’ Rights Agreement, by and among</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Beam Therapeutics Inc. and the investors party thereto, dated as of</w:t>
              </w:r>
            </w:hyperlink>
          </w:p>
        </w:tc>
        <w:tc>
          <w:tcPr>
            <w:tcW w:w="2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November 8, 2018</w:t>
              </w:r>
            </w:hyperlink>
          </w:p>
        </w:tc>
        <w:tc>
          <w:tcPr>
            <w:tcW w:w="38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Description of Registered Securities</w:t>
              </w:r>
            </w:hyperlink>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ind w:left="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86">
              <w:r>
                <w:rPr>
                  <w:rFonts w:ascii="Arial" w:cs="Arial" w:eastAsia="Arial" w:hAnsi="Arial"/>
                  <w:sz w:val="18"/>
                  <w:szCs w:val="18"/>
                  <w:color w:val="0000EE"/>
                </w:rPr>
                <w:t>Lease, by and between UP 26 Landsdowne, LLC and Beam</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Therapeutics Inc., dated February 21, 2018</w:t>
              </w:r>
            </w:hyperlink>
          </w:p>
        </w:tc>
        <w:tc>
          <w:tcPr>
            <w:tcW w:w="1200" w:type="dxa"/>
            <w:vAlign w:val="bottom"/>
            <w:tcBorders>
              <w:top w:val="single" w:sz="8" w:color="0000EE"/>
            </w:tcBorders>
            <w:gridSpan w:val="7"/>
          </w:tcPr>
          <w:p>
            <w:pPr>
              <w:spacing w:after="0"/>
              <w:rPr>
                <w:sz w:val="17"/>
                <w:szCs w:val="17"/>
                <w:color w:val="auto"/>
              </w:rPr>
            </w:pPr>
          </w:p>
        </w:tc>
        <w:tc>
          <w:tcPr>
            <w:tcW w:w="88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87">
              <w:r>
                <w:rPr>
                  <w:rFonts w:ascii="Arial" w:cs="Arial" w:eastAsia="Arial" w:hAnsi="Arial"/>
                  <w:sz w:val="18"/>
                  <w:szCs w:val="18"/>
                  <w:color w:val="0000EE"/>
                </w:rPr>
                <w:t>Indenture of Lease, by and between Massachusetts Institute of</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Technology and Beam Therapeutics Inc., dated as of April 24, 2019</w:t>
              </w:r>
            </w:hyperlink>
          </w:p>
        </w:tc>
        <w:tc>
          <w:tcPr>
            <w:tcW w:w="3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540" w:type="dxa"/>
            <w:vAlign w:val="bottom"/>
            <w:tcBorders>
              <w:bottom w:val="single" w:sz="8" w:color="0000EE"/>
            </w:tcBorders>
            <w:gridSpan w:val="18"/>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License Agreement, by and between MIL 21E, LLC and Beam</w:t>
              </w:r>
            </w:hyperlink>
          </w:p>
        </w:tc>
        <w:tc>
          <w:tcPr>
            <w:tcW w:w="640" w:type="dxa"/>
            <w:vAlign w:val="bottom"/>
            <w:gridSpan w:val="12"/>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0"/>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Therapeutics Inc., dated as of June 25, 2019</w:t>
              </w:r>
            </w:hyperlink>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4720" w:type="dxa"/>
            <w:vAlign w:val="bottom"/>
            <w:tcBorders>
              <w:bottom w:val="single" w:sz="8" w:color="0000EE"/>
            </w:tcBorders>
            <w:gridSpan w:val="19"/>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License Agreement, by and between the President and Fellows of</w:t>
              </w:r>
            </w:hyperlink>
          </w:p>
        </w:tc>
        <w:tc>
          <w:tcPr>
            <w:tcW w:w="460" w:type="dxa"/>
            <w:vAlign w:val="bottom"/>
            <w:gridSpan w:val="11"/>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Harvard College and Beam Therapeutics Inc., dated as of June 27,</w:t>
              </w:r>
            </w:hyperlink>
          </w:p>
        </w:tc>
        <w:tc>
          <w:tcPr>
            <w:tcW w:w="40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40" w:type="dxa"/>
            <w:vAlign w:val="bottom"/>
            <w:gridSpan w:val="4"/>
          </w:tcPr>
          <w:p>
            <w:pPr>
              <w:ind w:left="180"/>
              <w:spacing w:after="0" w:line="196" w:lineRule="exact"/>
              <w:rPr>
                <w:rFonts w:ascii="Arial" w:cs="Arial" w:eastAsia="Arial" w:hAnsi="Arial"/>
                <w:sz w:val="18"/>
                <w:szCs w:val="18"/>
                <w:color w:val="0000EE"/>
                <w:w w:val="84"/>
              </w:rPr>
            </w:pPr>
            <w:hyperlink r:id="rId189">
              <w:r>
                <w:rPr>
                  <w:rFonts w:ascii="Arial" w:cs="Arial" w:eastAsia="Arial" w:hAnsi="Arial"/>
                  <w:sz w:val="18"/>
                  <w:szCs w:val="18"/>
                  <w:color w:val="0000EE"/>
                  <w:w w:val="84"/>
                </w:rPr>
                <w:t>2017</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4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License Agreement, by and between The Broad Institute, Inc. and</w:t>
              </w:r>
            </w:hyperlink>
          </w:p>
        </w:tc>
        <w:tc>
          <w:tcPr>
            <w:tcW w:w="440" w:type="dxa"/>
            <w:vAlign w:val="bottom"/>
            <w:gridSpan w:val="10"/>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0"/>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Blink Therapeutics Inc., dated as of May 9, 2018</w:t>
              </w:r>
            </w:hyperlink>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4980" w:type="dxa"/>
            <w:vAlign w:val="bottom"/>
            <w:tcBorders>
              <w:bottom w:val="single" w:sz="8" w:color="0000EE"/>
            </w:tcBorders>
            <w:gridSpan w:val="28"/>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License Agreement, by and between Editas Medicine, Inc. and Beam</w:t>
              </w:r>
            </w:hyperlink>
          </w:p>
        </w:tc>
        <w:tc>
          <w:tcPr>
            <w:tcW w:w="200" w:type="dxa"/>
            <w:vAlign w:val="bottom"/>
            <w:gridSpan w:val="2"/>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Therapeutics Inc., dated as of May 9, 2018</w:t>
              </w:r>
            </w:hyperlink>
          </w:p>
        </w:tc>
        <w:tc>
          <w:tcPr>
            <w:tcW w:w="2100" w:type="dxa"/>
            <w:vAlign w:val="bottom"/>
            <w:gridSpan w:val="22"/>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4920" w:type="dxa"/>
            <w:vAlign w:val="bottom"/>
            <w:tcBorders>
              <w:bottom w:val="single" w:sz="8" w:color="0000EE"/>
            </w:tcBorders>
            <w:gridSpan w:val="27"/>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License Agreement, by and between Bio Palette Co., Ltd. and Beam</w:t>
              </w:r>
            </w:hyperlink>
          </w:p>
        </w:tc>
        <w:tc>
          <w:tcPr>
            <w:tcW w:w="260" w:type="dxa"/>
            <w:vAlign w:val="bottom"/>
            <w:gridSpan w:val="3"/>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Therapeutics Inc., dated as of March 27, 2019</w:t>
              </w:r>
            </w:hyperlink>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93">
              <w:r>
                <w:rPr>
                  <w:rFonts w:ascii="Arial" w:cs="Arial" w:eastAsia="Arial" w:hAnsi="Arial"/>
                  <w:sz w:val="18"/>
                  <w:szCs w:val="18"/>
                  <w:color w:val="0000EE"/>
                </w:rPr>
                <w:t>Beam Therapeutics Inc. 2017 Stock Option and Grant Plan</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4820" w:type="dxa"/>
            <w:vAlign w:val="bottom"/>
            <w:tcBorders>
              <w:bottom w:val="single" w:sz="8" w:color="0000EE"/>
            </w:tcBorders>
            <w:gridSpan w:val="23"/>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Form of Restricted Stock Agreement under the Beam Therapeutics</w:t>
              </w:r>
            </w:hyperlink>
          </w:p>
        </w:tc>
        <w:tc>
          <w:tcPr>
            <w:tcW w:w="360" w:type="dxa"/>
            <w:vAlign w:val="bottom"/>
            <w:gridSpan w:val="7"/>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0"/>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Inc. 2017 Stock Option and Grant Plan</w:t>
              </w:r>
            </w:hyperlink>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rPr>
            </w:pPr>
            <w:hyperlink r:id="rId195">
              <w:r>
                <w:rPr>
                  <w:rFonts w:ascii="Arial" w:cs="Arial" w:eastAsia="Arial" w:hAnsi="Arial"/>
                  <w:sz w:val="18"/>
                  <w:szCs w:val="18"/>
                  <w:color w:val="0000EE"/>
                </w:rPr>
                <w:t>Form of Incentive Stock Option Grant Notice under the Beam</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Therapeutics Inc. 2017 Stock Option and Grant Plan</w:t>
              </w:r>
            </w:hyperlink>
          </w:p>
        </w:tc>
        <w:tc>
          <w:tcPr>
            <w:tcW w:w="680" w:type="dxa"/>
            <w:vAlign w:val="bottom"/>
            <w:tcBorders>
              <w:top w:val="single" w:sz="8" w:color="0000EE"/>
            </w:tcBorders>
            <w:gridSpan w:val="3"/>
          </w:tcPr>
          <w:p>
            <w:pPr>
              <w:spacing w:after="0"/>
              <w:rPr>
                <w:sz w:val="17"/>
                <w:szCs w:val="17"/>
                <w:color w:val="auto"/>
              </w:rPr>
            </w:pPr>
          </w:p>
        </w:tc>
        <w:tc>
          <w:tcPr>
            <w:tcW w:w="70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w w:val="98"/>
              </w:rPr>
            </w:pPr>
            <w:hyperlink r:id="rId196">
              <w:r>
                <w:rPr>
                  <w:rFonts w:ascii="Arial" w:cs="Arial" w:eastAsia="Arial" w:hAnsi="Arial"/>
                  <w:sz w:val="18"/>
                  <w:szCs w:val="18"/>
                  <w:color w:val="0000EE"/>
                  <w:w w:val="98"/>
                </w:rPr>
                <w:t>Form of Non-Qualified Stock Option Grant Notice under the Beam</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Therapeutics Inc. 2017 Stock Option and Grant Plan</w:t>
              </w:r>
            </w:hyperlink>
          </w:p>
        </w:tc>
        <w:tc>
          <w:tcPr>
            <w:tcW w:w="1060" w:type="dxa"/>
            <w:vAlign w:val="bottom"/>
            <w:tcBorders>
              <w:top w:val="single" w:sz="8" w:color="0000EE"/>
            </w:tcBorders>
            <w:gridSpan w:val="11"/>
          </w:tcPr>
          <w:p>
            <w:pPr>
              <w:spacing w:after="0"/>
              <w:rPr>
                <w:sz w:val="17"/>
                <w:szCs w:val="17"/>
                <w:color w:val="auto"/>
              </w:rPr>
            </w:pPr>
          </w:p>
        </w:tc>
        <w:tc>
          <w:tcPr>
            <w:tcW w:w="34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5180" w:type="dxa"/>
            <w:vAlign w:val="bottom"/>
            <w:gridSpan w:val="30"/>
          </w:tcPr>
          <w:p>
            <w:pP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Form of Indemnification Agreement between Beam Therapeutics Inc.</w:t>
              </w:r>
            </w:hyperlink>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and its directors and officers</w:t>
              </w:r>
            </w:hyperlink>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20" w:type="dxa"/>
            <w:vAlign w:val="bottom"/>
            <w:tcBorders>
              <w:top w:val="single" w:sz="8" w:color="0000EE"/>
            </w:tcBorders>
            <w:gridSpan w:val="4"/>
          </w:tcPr>
          <w:p>
            <w:pPr>
              <w:spacing w:after="0"/>
              <w:rPr>
                <w:sz w:val="24"/>
                <w:szCs w:val="24"/>
                <w:color w:val="auto"/>
              </w:rPr>
            </w:pPr>
          </w:p>
        </w:tc>
        <w:tc>
          <w:tcPr>
            <w:tcW w:w="2800" w:type="dxa"/>
            <w:vAlign w:val="bottom"/>
            <w:gridSpan w:val="19"/>
          </w:tcPr>
          <w:p>
            <w:pPr>
              <w:jc w:val="right"/>
              <w:ind w:right="2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20"/>
            <w:vMerge w:val="restart"/>
          </w:tcPr>
          <w:p>
            <w:pPr>
              <w:ind w:left="200"/>
              <w:spacing w:after="0"/>
              <w:rPr>
                <w:sz w:val="20"/>
                <w:szCs w:val="20"/>
                <w:color w:val="auto"/>
              </w:rPr>
            </w:pPr>
            <w:r>
              <w:rPr>
                <w:rFonts w:ascii="Arial" w:cs="Arial" w:eastAsia="Arial" w:hAnsi="Arial"/>
                <w:sz w:val="14"/>
                <w:szCs w:val="14"/>
                <w:b w:val="1"/>
                <w:bCs w:val="1"/>
                <w:color w:val="auto"/>
              </w:rPr>
              <w:t>Description of Exhibit</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20"/>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4900" w:type="dxa"/>
            <w:vAlign w:val="bottom"/>
            <w:tcBorders>
              <w:bottom w:val="single" w:sz="8" w:color="0000EE"/>
            </w:tcBorders>
            <w:gridSpan w:val="23"/>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Letter Agreement between Beam Therapeutics Inc. and John Evans,</w:t>
              </w:r>
            </w:hyperlink>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24"/>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dated January 24, 2020</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4600" w:type="dxa"/>
            <w:vAlign w:val="bottom"/>
            <w:tcBorders>
              <w:bottom w:val="single" w:sz="8" w:color="0000EE"/>
            </w:tcBorders>
            <w:gridSpan w:val="14"/>
          </w:tcPr>
          <w:p>
            <w:pPr>
              <w:spacing w:after="0"/>
              <w:rPr>
                <w:rFonts w:ascii="Arial" w:cs="Arial" w:eastAsia="Arial" w:hAnsi="Arial"/>
                <w:sz w:val="18"/>
                <w:szCs w:val="18"/>
                <w:color w:val="0000EE"/>
                <w:w w:val="89"/>
              </w:rPr>
            </w:pPr>
            <w:hyperlink r:id="rId201">
              <w:r>
                <w:rPr>
                  <w:rFonts w:ascii="Arial" w:cs="Arial" w:eastAsia="Arial" w:hAnsi="Arial"/>
                  <w:sz w:val="18"/>
                  <w:szCs w:val="18"/>
                  <w:color w:val="0000EE"/>
                  <w:w w:val="89"/>
                </w:rPr>
                <w:t>Amended and Restated Employment Agreement between Beam</w:t>
              </w:r>
            </w:hyperlink>
          </w:p>
        </w:tc>
        <w:tc>
          <w:tcPr>
            <w:tcW w:w="380" w:type="dxa"/>
            <w:vAlign w:val="bottom"/>
            <w:gridSpan w:val="10"/>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Therapeutics Inc. and Giuseppe Ciaramella, dated January 24, 2020</w:t>
              </w:r>
            </w:hyperlink>
          </w:p>
        </w:tc>
        <w:tc>
          <w:tcPr>
            <w:tcW w:w="10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4"/>
              </w:rPr>
            </w:pPr>
            <w:hyperlink r:id="rId202">
              <w:r>
                <w:rPr>
                  <w:rFonts w:ascii="Arial" w:cs="Arial" w:eastAsia="Arial" w:hAnsi="Arial"/>
                  <w:sz w:val="18"/>
                  <w:szCs w:val="18"/>
                  <w:color w:val="0000EE"/>
                  <w:w w:val="94"/>
                </w:rPr>
                <w:t>Letter Agreement between Beam Therapeutics Inc. and Terry-Ann</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Burrell, dated January 24, 2020</w:t>
              </w:r>
            </w:hyperlink>
          </w:p>
        </w:tc>
        <w:tc>
          <w:tcPr>
            <w:tcW w:w="200" w:type="dxa"/>
            <w:vAlign w:val="bottom"/>
            <w:gridSpan w:val="6"/>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rPr>
            </w:pPr>
            <w:hyperlink r:id="rId203">
              <w:r>
                <w:rPr>
                  <w:rFonts w:ascii="Arial" w:cs="Arial" w:eastAsia="Arial" w:hAnsi="Arial"/>
                  <w:sz w:val="18"/>
                  <w:szCs w:val="18"/>
                  <w:color w:val="0000EE"/>
                </w:rPr>
                <w:t>Beam Therapeutics Inc. 2019 Equity Incentive Plan</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rPr>
            </w:pPr>
            <w:hyperlink r:id="rId204">
              <w:r>
                <w:rPr>
                  <w:rFonts w:ascii="Arial" w:cs="Arial" w:eastAsia="Arial" w:hAnsi="Arial"/>
                  <w:sz w:val="18"/>
                  <w:szCs w:val="18"/>
                  <w:color w:val="0000EE"/>
                </w:rPr>
                <w:t>Form of Incentive Stock Option Agreement under the Beam</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Therapeutics Inc. 2019 Equity Incentive Plan</w:t>
              </w:r>
            </w:hyperlink>
          </w:p>
        </w:tc>
        <w:tc>
          <w:tcPr>
            <w:tcW w:w="1060" w:type="dxa"/>
            <w:vAlign w:val="bottom"/>
            <w:tcBorders>
              <w:top w:val="single" w:sz="8" w:color="0000EE"/>
            </w:tcBorders>
            <w:gridSpan w:val="4"/>
          </w:tcPr>
          <w:p>
            <w:pPr>
              <w:spacing w:after="0"/>
              <w:rPr>
                <w:sz w:val="17"/>
                <w:szCs w:val="17"/>
                <w:color w:val="auto"/>
              </w:rPr>
            </w:pPr>
          </w:p>
        </w:tc>
        <w:tc>
          <w:tcPr>
            <w:tcW w:w="66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6"/>
              </w:rPr>
            </w:pPr>
            <w:hyperlink r:id="rId205">
              <w:r>
                <w:rPr>
                  <w:rFonts w:ascii="Arial" w:cs="Arial" w:eastAsia="Arial" w:hAnsi="Arial"/>
                  <w:sz w:val="18"/>
                  <w:szCs w:val="18"/>
                  <w:color w:val="0000EE"/>
                  <w:w w:val="96"/>
                </w:rPr>
                <w:t>Form of Non-Statutory Stock Option Agreement under the Beam</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Therapeutics Inc. 2019 Equity Incentive Plan</w:t>
              </w:r>
            </w:hyperlink>
          </w:p>
        </w:tc>
        <w:tc>
          <w:tcPr>
            <w:tcW w:w="1420" w:type="dxa"/>
            <w:vAlign w:val="bottom"/>
            <w:tcBorders>
              <w:top w:val="single" w:sz="8" w:color="0000EE"/>
            </w:tcBorders>
            <w:gridSpan w:val="8"/>
          </w:tcPr>
          <w:p>
            <w:pPr>
              <w:spacing w:after="0"/>
              <w:rPr>
                <w:sz w:val="17"/>
                <w:szCs w:val="17"/>
                <w:color w:val="auto"/>
              </w:rPr>
            </w:pPr>
          </w:p>
        </w:tc>
        <w:tc>
          <w:tcPr>
            <w:tcW w:w="300" w:type="dxa"/>
            <w:vAlign w:val="bottom"/>
            <w:gridSpan w:val="9"/>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7"/>
              </w:rPr>
            </w:pPr>
            <w:hyperlink r:id="rId206">
              <w:r>
                <w:rPr>
                  <w:rFonts w:ascii="Arial" w:cs="Arial" w:eastAsia="Arial" w:hAnsi="Arial"/>
                  <w:sz w:val="18"/>
                  <w:szCs w:val="18"/>
                  <w:color w:val="0000EE"/>
                  <w:w w:val="97"/>
                </w:rPr>
                <w:t>Form of Non-Statutory Stock Option Agreement (Non-Employee</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Directors) under the Beam Therapeutics Inc. 2019 Equity Incentive</w:t>
              </w:r>
            </w:hyperlink>
          </w:p>
        </w:tc>
        <w:tc>
          <w:tcPr>
            <w:tcW w:w="12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3"/>
              </w:rPr>
            </w:pPr>
            <w:hyperlink r:id="rId206">
              <w:r>
                <w:rPr>
                  <w:rFonts w:ascii="Arial" w:cs="Arial" w:eastAsia="Arial" w:hAnsi="Arial"/>
                  <w:sz w:val="18"/>
                  <w:szCs w:val="18"/>
                  <w:color w:val="0000EE"/>
                  <w:w w:val="83"/>
                </w:rPr>
                <w:t>Plan</w:t>
              </w:r>
            </w:hyperlink>
          </w:p>
        </w:tc>
        <w:tc>
          <w:tcPr>
            <w:tcW w:w="4660" w:type="dxa"/>
            <w:vAlign w:val="bottom"/>
            <w:gridSpan w:val="23"/>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rPr>
            </w:pPr>
            <w:hyperlink r:id="rId207">
              <w:r>
                <w:rPr>
                  <w:rFonts w:ascii="Arial" w:cs="Arial" w:eastAsia="Arial" w:hAnsi="Arial"/>
                  <w:sz w:val="18"/>
                  <w:szCs w:val="18"/>
                  <w:color w:val="0000EE"/>
                </w:rPr>
                <w:t>Beam Therapeutics Inc. 2019 Employee Stock Purchase Plan</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4400" w:type="dxa"/>
            <w:vAlign w:val="bottom"/>
            <w:tcBorders>
              <w:top w:val="single" w:sz="8" w:color="0000EE"/>
            </w:tcBorders>
            <w:gridSpan w:val="12"/>
          </w:tcPr>
          <w:p>
            <w:pPr>
              <w:spacing w:after="0"/>
              <w:rPr>
                <w:rFonts w:ascii="Arial" w:cs="Arial" w:eastAsia="Arial" w:hAnsi="Arial"/>
                <w:sz w:val="18"/>
                <w:szCs w:val="18"/>
                <w:color w:val="0000EE"/>
              </w:rPr>
            </w:pPr>
            <w:hyperlink r:id="rId208">
              <w:r>
                <w:rPr>
                  <w:rFonts w:ascii="Arial" w:cs="Arial" w:eastAsia="Arial" w:hAnsi="Arial"/>
                  <w:sz w:val="18"/>
                  <w:szCs w:val="18"/>
                  <w:color w:val="0000EE"/>
                </w:rPr>
                <w:t>Beam Therapeutics Inc. 2019 Cash Incentive Plan</w:t>
              </w:r>
            </w:hyperlink>
          </w:p>
        </w:tc>
        <w:tc>
          <w:tcPr>
            <w:tcW w:w="580" w:type="dxa"/>
            <w:vAlign w:val="bottom"/>
            <w:gridSpan w:val="12"/>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Beam Therapeutics Inc. Non-Employee Director Compensation</w:t>
              </w:r>
            </w:hyperlink>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Policy</w:t>
              </w:r>
            </w:hyperlink>
          </w:p>
        </w:tc>
        <w:tc>
          <w:tcPr>
            <w:tcW w:w="4120" w:type="dxa"/>
            <w:vAlign w:val="bottom"/>
            <w:tcBorders>
              <w:top w:val="single" w:sz="8" w:color="0000EE"/>
            </w:tcBorders>
            <w:gridSpan w:val="11"/>
          </w:tcPr>
          <w:p>
            <w:pPr>
              <w:spacing w:after="0"/>
              <w:rPr>
                <w:sz w:val="17"/>
                <w:szCs w:val="17"/>
                <w:color w:val="auto"/>
              </w:rPr>
            </w:pPr>
          </w:p>
        </w:tc>
        <w:tc>
          <w:tcPr>
            <w:tcW w:w="40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4"/>
                <w:szCs w:val="24"/>
                <w:color w:val="auto"/>
              </w:rPr>
            </w:pPr>
          </w:p>
        </w:tc>
        <w:tc>
          <w:tcPr>
            <w:tcW w:w="33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5">
              <w:r>
                <w:rPr>
                  <w:rFonts w:ascii="Arial" w:cs="Arial" w:eastAsia="Arial" w:hAnsi="Arial"/>
                  <w:sz w:val="18"/>
                  <w:szCs w:val="18"/>
                  <w:color w:val="0000EE"/>
                  <w:w w:val="91"/>
                </w:rPr>
                <w:t>List of Subsidiaries of Beam Therapeutics Inc.</w:t>
              </w:r>
            </w:hyperlink>
          </w:p>
        </w:tc>
        <w:tc>
          <w:tcPr>
            <w:tcW w:w="1620" w:type="dxa"/>
            <w:vAlign w:val="bottom"/>
            <w:gridSpan w:val="16"/>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25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76">
              <w:r>
                <w:rPr>
                  <w:rFonts w:ascii="Arial" w:cs="Arial" w:eastAsia="Arial" w:hAnsi="Arial"/>
                  <w:sz w:val="18"/>
                  <w:szCs w:val="18"/>
                  <w:color w:val="0000EE"/>
                  <w:w w:val="92"/>
                </w:rPr>
                <w:t>Consent of Deloitte &amp; Touche LLP</w:t>
              </w:r>
            </w:hyperlink>
          </w:p>
        </w:tc>
        <w:tc>
          <w:tcPr>
            <w:tcW w:w="2440" w:type="dxa"/>
            <w:vAlign w:val="bottom"/>
            <w:gridSpan w:val="18"/>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5"/>
              </w:rPr>
            </w:pPr>
            <w:hyperlink w:anchor="page177">
              <w:r>
                <w:rPr>
                  <w:rFonts w:ascii="Arial" w:cs="Arial" w:eastAsia="Arial" w:hAnsi="Arial"/>
                  <w:sz w:val="18"/>
                  <w:szCs w:val="18"/>
                  <w:color w:val="0000EE"/>
                  <w:w w:val="95"/>
                </w:rPr>
                <w:t>Certification of Principal Executive Officer Pursuant to Rules 13a-</w:t>
              </w:r>
            </w:hyperlink>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300" w:type="dxa"/>
            <w:vAlign w:val="bottom"/>
            <w:gridSpan w:val="1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14(a) and 15d-14(a) under the Securities Exchange Act of 1934, as</w:t>
              </w:r>
            </w:hyperlink>
          </w:p>
        </w:tc>
        <w:tc>
          <w:tcPr>
            <w:tcW w:w="16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Adopted Pursuant to Section 302 of the Sarbanes-Oxley Act of 2002.</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47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78">
              <w:r>
                <w:rPr>
                  <w:rFonts w:ascii="Arial" w:cs="Arial" w:eastAsia="Arial" w:hAnsi="Arial"/>
                  <w:sz w:val="18"/>
                  <w:szCs w:val="18"/>
                  <w:color w:val="0000EE"/>
                  <w:w w:val="92"/>
                </w:rPr>
                <w:t>Certification of Principal Financial Officer Pursuant to Rules 13a-</w:t>
              </w:r>
            </w:hyperlink>
          </w:p>
        </w:tc>
        <w:tc>
          <w:tcPr>
            <w:tcW w:w="22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14(a) and 15d-14(a) under the Securities Exchange Act of 1934, as</w:t>
              </w:r>
            </w:hyperlink>
          </w:p>
        </w:tc>
        <w:tc>
          <w:tcPr>
            <w:tcW w:w="16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Adopted Pursuant to Section 302 of the Sarbanes-Oxley Act of 2002.</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474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Certification of Principal Executive Officer Pursuant to 18 U.S.C.</w:t>
              </w:r>
            </w:hyperlink>
          </w:p>
        </w:tc>
        <w:tc>
          <w:tcPr>
            <w:tcW w:w="240" w:type="dxa"/>
            <w:vAlign w:val="bottom"/>
            <w:gridSpan w:val="8"/>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24"/>
          </w:tcPr>
          <w:p>
            <w:pPr>
              <w:spacing w:after="0" w:line="196" w:lineRule="exact"/>
              <w:rPr>
                <w:rFonts w:ascii="Arial" w:cs="Arial" w:eastAsia="Arial" w:hAnsi="Arial"/>
                <w:sz w:val="18"/>
                <w:szCs w:val="18"/>
                <w:color w:val="0000EE"/>
                <w:w w:val="91"/>
              </w:rPr>
            </w:pPr>
            <w:hyperlink w:anchor="page179">
              <w:r>
                <w:rPr>
                  <w:rFonts w:ascii="Arial" w:cs="Arial" w:eastAsia="Arial" w:hAnsi="Arial"/>
                  <w:sz w:val="18"/>
                  <w:szCs w:val="18"/>
                  <w:color w:val="0000EE"/>
                  <w:w w:val="91"/>
                </w:rPr>
                <w:t>Section 1350, as Adopted Pursuant to Section 906 of the Sarbanes-</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Oxley Act of 2002.</w:t>
              </w:r>
            </w:hyperlink>
          </w:p>
        </w:tc>
        <w:tc>
          <w:tcPr>
            <w:tcW w:w="16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300" w:type="dxa"/>
            <w:vAlign w:val="bottom"/>
            <w:gridSpan w:val="1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4980" w:type="dxa"/>
            <w:vAlign w:val="bottom"/>
            <w:gridSpan w:val="24"/>
          </w:tcPr>
          <w:p>
            <w:pPr>
              <w:spacing w:after="0"/>
              <w:rPr>
                <w:rFonts w:ascii="Arial" w:cs="Arial" w:eastAsia="Arial" w:hAnsi="Arial"/>
                <w:sz w:val="18"/>
                <w:szCs w:val="18"/>
                <w:color w:val="0000EE"/>
                <w:w w:val="98"/>
              </w:rPr>
            </w:pPr>
            <w:hyperlink w:anchor="page180">
              <w:r>
                <w:rPr>
                  <w:rFonts w:ascii="Arial" w:cs="Arial" w:eastAsia="Arial" w:hAnsi="Arial"/>
                  <w:sz w:val="18"/>
                  <w:szCs w:val="18"/>
                  <w:color w:val="0000EE"/>
                  <w:w w:val="98"/>
                </w:rPr>
                <w:t>Certification of Principal Financial Officer Pursuant to 18 U.S.C.</w:t>
              </w:r>
            </w:hyperlink>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gridSpan w:val="15"/>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24"/>
          </w:tcPr>
          <w:p>
            <w:pPr>
              <w:spacing w:after="0" w:line="19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Section 1350, as Adopted Pursuant to Section 906 of the Sarbanes-</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Oxley Act of 2002.</w:t>
              </w:r>
            </w:hyperlink>
          </w:p>
        </w:tc>
        <w:tc>
          <w:tcPr>
            <w:tcW w:w="16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2" w:lineRule="exact"/>
        <w:rPr>
          <w:sz w:val="20"/>
          <w:szCs w:val="20"/>
          <w:color w:val="auto"/>
        </w:rPr>
      </w:pPr>
    </w:p>
    <w:p>
      <w:pPr>
        <w:ind w:left="500" w:right="220" w:hanging="492"/>
        <w:spacing w:after="0" w:line="273"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 Registrant has determined they are not material and would likely cause competitive harm to the Registrant if publicly disclosed</w:t>
      </w:r>
    </w:p>
    <w:p>
      <w:pPr>
        <w:spacing w:after="0" w:line="2"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00" w:right="200" w:hanging="492"/>
        <w:spacing w:after="0" w:line="311"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4380" w:type="dxa"/>
            <w:vAlign w:val="bottom"/>
            <w:gridSpan w:val="2"/>
          </w:tcPr>
          <w:p>
            <w:pPr>
              <w:ind w:left="1960"/>
              <w:spacing w:after="0"/>
              <w:rPr>
                <w:sz w:val="20"/>
                <w:szCs w:val="20"/>
                <w:color w:val="auto"/>
              </w:rPr>
            </w:pPr>
            <w:r>
              <w:rPr>
                <w:rFonts w:ascii="Arial" w:cs="Arial" w:eastAsia="Arial" w:hAnsi="Arial"/>
                <w:sz w:val="18"/>
                <w:szCs w:val="18"/>
                <w:color w:val="auto"/>
                <w:w w:val="99"/>
              </w:rPr>
              <w:t>BEAM THERAPEUTICS, INC.</w:t>
            </w:r>
          </w:p>
        </w:tc>
        <w:tc>
          <w:tcPr>
            <w:tcW w:w="330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30, 2020</w:t>
            </w:r>
          </w:p>
        </w:tc>
        <w:tc>
          <w:tcPr>
            <w:tcW w:w="438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2010"/>
              <w:spacing w:after="0"/>
              <w:rPr>
                <w:sz w:val="20"/>
                <w:szCs w:val="20"/>
                <w:color w:val="auto"/>
              </w:rPr>
            </w:pPr>
            <w:r>
              <w:rPr>
                <w:rFonts w:ascii="Arial" w:cs="Arial" w:eastAsia="Arial" w:hAnsi="Arial"/>
                <w:sz w:val="18"/>
                <w:szCs w:val="18"/>
                <w:color w:val="auto"/>
                <w:w w:val="88"/>
              </w:rPr>
              <w:t>/s/ John Evans</w:t>
            </w:r>
          </w:p>
        </w:tc>
      </w:tr>
      <w:tr>
        <w:trPr>
          <w:trHeight w:val="211"/>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990"/>
              <w:spacing w:after="0"/>
              <w:rPr>
                <w:sz w:val="20"/>
                <w:szCs w:val="20"/>
                <w:color w:val="auto"/>
              </w:rPr>
            </w:pPr>
            <w:r>
              <w:rPr>
                <w:rFonts w:ascii="Arial" w:cs="Arial" w:eastAsia="Arial" w:hAnsi="Arial"/>
                <w:sz w:val="18"/>
                <w:szCs w:val="18"/>
                <w:b w:val="1"/>
                <w:bCs w:val="1"/>
                <w:color w:val="auto"/>
                <w:w w:val="89"/>
              </w:rPr>
              <w:t>John Evans</w:t>
            </w:r>
          </w:p>
        </w:tc>
      </w:tr>
    </w:tbl>
    <w:p>
      <w:pPr>
        <w:ind w:left="7640"/>
        <w:spacing w:after="0"/>
        <w:rPr>
          <w:sz w:val="20"/>
          <w:szCs w:val="20"/>
          <w:color w:val="auto"/>
        </w:rPr>
      </w:pPr>
      <w:r>
        <w:rPr>
          <w:rFonts w:ascii="Arial" w:cs="Arial" w:eastAsia="Arial" w:hAnsi="Arial"/>
          <w:sz w:val="18"/>
          <w:szCs w:val="18"/>
          <w:b w:val="1"/>
          <w:bCs w:val="1"/>
          <w:color w:val="auto"/>
        </w:rPr>
        <w:t>Chief Executive Officer</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4"/>
                <w:szCs w:val="14"/>
                <w:color w:val="auto"/>
              </w:rPr>
            </w:pPr>
          </w:p>
        </w:tc>
        <w:tc>
          <w:tcPr>
            <w:tcW w:w="52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John Evans</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Terry-Ann Burrell</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Terry-Ann Burrell</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Kristina Burow</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3"/>
              </w:rPr>
              <w:t>Kristina Burow</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Graham Cooper</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Graham Cooper</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Fishman</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6"/>
              </w:rPr>
              <w:t>Mark Fishman,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Knight</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Knight,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Carole Ho</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6"/>
              </w:rPr>
              <w:t>Carole Ho,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Nelsen</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30, 2020</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Robert Nelsen</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40" w:type="dxa"/>
            <w:vAlign w:val="bottom"/>
            <w:gridSpan w:val="4"/>
          </w:tcPr>
          <w:p>
            <w:pPr>
              <w:jc w:val="center"/>
              <w:ind w:right="1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780" w:type="dxa"/>
            <w:vAlign w:val="bottom"/>
          </w:tcPr>
          <w:p>
            <w:pPr>
              <w:spacing w:after="0"/>
              <w:rPr>
                <w:sz w:val="20"/>
                <w:szCs w:val="20"/>
                <w:color w:val="auto"/>
              </w:rPr>
            </w:pPr>
          </w:p>
        </w:tc>
      </w:tr>
      <w:tr>
        <w:trPr>
          <w:trHeight w:val="418"/>
        </w:trPr>
        <w:tc>
          <w:tcPr>
            <w:tcW w:w="40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Report of independent registered public accounting firm</w:t>
              </w:r>
            </w:hyperlink>
          </w:p>
        </w:tc>
        <w:tc>
          <w:tcPr>
            <w:tcW w:w="5420" w:type="dxa"/>
            <w:vAlign w:val="bottom"/>
            <w:gridSpan w:val="3"/>
          </w:tcPr>
          <w:p>
            <w:pPr>
              <w:spacing w:after="0"/>
              <w:rPr>
                <w:sz w:val="24"/>
                <w:szCs w:val="24"/>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r>
      <w:tr>
        <w:trPr>
          <w:trHeight w:val="196"/>
        </w:trPr>
        <w:tc>
          <w:tcPr>
            <w:tcW w:w="20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Consolidated balance sheets</w:t>
              </w:r>
            </w:hyperlink>
          </w:p>
        </w:tc>
        <w:tc>
          <w:tcPr>
            <w:tcW w:w="7440" w:type="dxa"/>
            <w:vAlign w:val="bottom"/>
            <w:gridSpan w:val="6"/>
          </w:tcPr>
          <w:p>
            <w:pPr>
              <w:spacing w:after="0"/>
              <w:rPr>
                <w:sz w:val="17"/>
                <w:szCs w:val="17"/>
                <w:color w:val="auto"/>
              </w:rPr>
            </w:pPr>
          </w:p>
        </w:tc>
        <w:tc>
          <w:tcPr>
            <w:tcW w:w="1780" w:type="dxa"/>
            <w:vAlign w:val="bottom"/>
          </w:tcPr>
          <w:p>
            <w:pPr>
              <w:ind w:left="152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Consolidated statements of operations and other comprehensive loss</w:t>
              </w:r>
            </w:hyperlink>
          </w:p>
        </w:tc>
        <w:tc>
          <w:tcPr>
            <w:tcW w:w="4540" w:type="dxa"/>
            <w:vAlign w:val="bottom"/>
            <w:gridSpan w:val="2"/>
          </w:tcPr>
          <w:p>
            <w:pPr>
              <w:spacing w:after="0"/>
              <w:rPr>
                <w:sz w:val="17"/>
                <w:szCs w:val="17"/>
                <w:color w:val="auto"/>
              </w:rPr>
            </w:pPr>
          </w:p>
        </w:tc>
        <w:tc>
          <w:tcPr>
            <w:tcW w:w="1780" w:type="dxa"/>
            <w:vAlign w:val="bottom"/>
          </w:tcPr>
          <w:p>
            <w:pPr>
              <w:ind w:left="152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6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Consolidated statements of redeemable convertible preferred stock and stockholders’ deficit</w:t>
              </w:r>
            </w:hyperlink>
          </w:p>
        </w:tc>
        <w:tc>
          <w:tcPr>
            <w:tcW w:w="2840" w:type="dxa"/>
            <w:vAlign w:val="bottom"/>
          </w:tcPr>
          <w:p>
            <w:pPr>
              <w:spacing w:after="0"/>
              <w:rPr>
                <w:sz w:val="17"/>
                <w:szCs w:val="17"/>
                <w:color w:val="auto"/>
              </w:rPr>
            </w:pPr>
          </w:p>
        </w:tc>
        <w:tc>
          <w:tcPr>
            <w:tcW w:w="1780" w:type="dxa"/>
            <w:vAlign w:val="bottom"/>
          </w:tcPr>
          <w:p>
            <w:pPr>
              <w:ind w:left="152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9480" w:type="dxa"/>
            <w:vAlign w:val="bottom"/>
            <w:gridSpan w:val="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cash flows</w:t>
              </w:r>
            </w:hyperlink>
          </w:p>
        </w:tc>
        <w:tc>
          <w:tcPr>
            <w:tcW w:w="1780" w:type="dxa"/>
            <w:vAlign w:val="bottom"/>
          </w:tcPr>
          <w:p>
            <w:pPr>
              <w:ind w:left="152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9480" w:type="dxa"/>
            <w:vAlign w:val="bottom"/>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Notes to consolidated financial statements</w:t>
              </w:r>
            </w:hyperlink>
          </w:p>
        </w:tc>
        <w:tc>
          <w:tcPr>
            <w:tcW w:w="1780" w:type="dxa"/>
            <w:vAlign w:val="bottom"/>
          </w:tcPr>
          <w:p>
            <w:pPr>
              <w:ind w:left="1520"/>
              <w:spacing w:after="0" w:line="196" w:lineRule="exact"/>
              <w:rPr>
                <w:sz w:val="20"/>
                <w:szCs w:val="20"/>
                <w:color w:val="auto"/>
              </w:rPr>
            </w:pPr>
            <w:r>
              <w:rPr>
                <w:rFonts w:ascii="Arial" w:cs="Arial" w:eastAsia="Arial" w:hAnsi="Arial"/>
                <w:sz w:val="18"/>
                <w:szCs w:val="18"/>
                <w:color w:val="auto"/>
                <w:w w:val="88"/>
              </w:rPr>
              <w:t>F-7</w:t>
            </w:r>
          </w:p>
        </w:tc>
      </w:tr>
      <w:tr>
        <w:trPr>
          <w:trHeight w:val="45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40" w:type="dxa"/>
            <w:vAlign w:val="bottom"/>
            <w:gridSpan w:val="2"/>
          </w:tcPr>
          <w:p>
            <w:pPr>
              <w:jc w:val="center"/>
              <w:ind w:right="3180"/>
              <w:spacing w:after="0"/>
              <w:rPr>
                <w:sz w:val="20"/>
                <w:szCs w:val="20"/>
                <w:color w:val="auto"/>
              </w:rPr>
            </w:pPr>
            <w:r>
              <w:rPr>
                <w:rFonts w:ascii="Arial" w:cs="Arial" w:eastAsia="Arial" w:hAnsi="Arial"/>
                <w:sz w:val="18"/>
                <w:szCs w:val="18"/>
                <w:color w:val="auto"/>
                <w:w w:val="88"/>
              </w:rPr>
              <w:t>F-1</w:t>
            </w:r>
          </w:p>
        </w:tc>
        <w:tc>
          <w:tcPr>
            <w:tcW w:w="1780" w:type="dxa"/>
            <w:vAlign w:val="bottom"/>
          </w:tcPr>
          <w:p>
            <w:pPr>
              <w:spacing w:after="0"/>
              <w:rPr>
                <w:sz w:val="24"/>
                <w:szCs w:val="24"/>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9" w:name="page140"/>
    <w:bookmarkEnd w:id="139"/>
    <w:p>
      <w:pPr>
        <w:ind w:right="5080"/>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Beam Therapeutics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Beam Therapeutics Inc. and subsidiaries (the "Company") as of December 31, 2019 and 2018, the related consolidated statements of operations and other comprehensive loss, redeemable convertible preferred stock and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in Note 2 to the financial statements, effective January 1, 2019, the Company adopted FASB Accounting Standards Codification Topic 842, Leases, using the modified retrospective approach and utilizing the effective date as its date of adoption.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37,221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146,443</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54,627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2,696</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94,544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148,275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24,290</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13,332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18,957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4,976</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167,012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7,846</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7,852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7,800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liability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equipment financing liability</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Financing milestone liabilities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rent, current portion</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29,138</w:t>
            </w: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21,187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equipment financing liability</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55,154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32,984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Commitments and contingencies (See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xml:space="preserve">Redeemable convertible preferred stock (See Note 11,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302,049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251,434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5"/>
              </w:rPr>
              <w:t>Common stock, $0.01 par value; 205,000,000 and 190,000,000 shares authorized, 9,981,991 and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w w:val="99"/>
              </w:rPr>
              <w:t>9,780,300 issued, and 7,326,185 and 5,565,368 outstanding at December 31, 2019 and 2018,</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(203,044)</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(124,718)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(201,104)</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(117,406)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167,012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54,619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20,553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75,172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45,741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(75,154)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(45,741)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Loss on issuance of preferred stock in connection with Blink Merger (see Note 10, </w:t>
            </w:r>
            <w:r>
              <w:rPr>
                <w:rFonts w:ascii="Arial" w:cs="Arial" w:eastAsia="Arial" w:hAnsi="Arial"/>
                <w:sz w:val="18"/>
                <w:szCs w:val="18"/>
                <w:i w:val="1"/>
                <w:iCs w:val="1"/>
                <w:color w:val="auto"/>
              </w:rPr>
              <w:t>Blink</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Therapeutics</w:t>
            </w: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(49,500)</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issuance of preferred stock to investors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(70,997)</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(78,326)</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(116,738)</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(78,310)</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(116,738)</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(116,738)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 in Blink</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 including dividends 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(12,714)</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(117,325)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1"/>
              </w:rPr>
              <w:t>Weighted-average common shares used in net loss per share attributable to common stockholders, basic</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6,479,591</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2,893,978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auto"/>
        </w:rPr>
        <w:t>Beam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deficit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ectPr>
          <w:pgSz w:w="11900" w:h="16838" w:orient="portrait"/>
          <w:cols w:equalWidth="0" w:num="1">
            <w:col w:w="11240"/>
          </w:cols>
          <w:pgMar w:left="320" w:top="342" w:right="339" w:bottom="1440" w:gutter="0" w:footer="0" w:header="0"/>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80" w:type="dxa"/>
            <w:vAlign w:val="bottom"/>
          </w:tcPr>
          <w:p>
            <w:pPr>
              <w:spacing w:after="0"/>
              <w:rPr>
                <w:sz w:val="23"/>
                <w:szCs w:val="23"/>
                <w:color w:val="auto"/>
              </w:rPr>
            </w:pPr>
          </w:p>
        </w:tc>
        <w:tc>
          <w:tcPr>
            <w:tcW w:w="1700" w:type="dxa"/>
            <w:vAlign w:val="bottom"/>
            <w:tcBorders>
              <w:right w:val="single" w:sz="8" w:color="auto"/>
            </w:tcBorders>
            <w:gridSpan w:val="5"/>
          </w:tcPr>
          <w:p>
            <w:pPr>
              <w:jc w:val="right"/>
              <w:ind w:right="168"/>
              <w:spacing w:after="0"/>
              <w:rPr>
                <w:sz w:val="20"/>
                <w:szCs w:val="20"/>
                <w:color w:val="auto"/>
              </w:rPr>
            </w:pPr>
            <w:r>
              <w:rPr>
                <w:rFonts w:ascii="Arial" w:cs="Arial" w:eastAsia="Arial" w:hAnsi="Arial"/>
                <w:sz w:val="13"/>
                <w:szCs w:val="13"/>
                <w:b w:val="1"/>
                <w:bCs w:val="1"/>
                <w:color w:val="auto"/>
                <w:w w:val="94"/>
              </w:rPr>
              <w:t>Redeemable Convertible</w:t>
            </w:r>
          </w:p>
        </w:tc>
        <w:tc>
          <w:tcPr>
            <w:tcW w:w="0" w:type="dxa"/>
            <w:vAlign w:val="bottom"/>
          </w:tcPr>
          <w:p>
            <w:pPr>
              <w:spacing w:after="0"/>
              <w:rPr>
                <w:sz w:val="1"/>
                <w:szCs w:val="1"/>
                <w:color w:val="auto"/>
              </w:rPr>
            </w:pPr>
          </w:p>
        </w:tc>
      </w:tr>
      <w:tr>
        <w:trPr>
          <w:trHeight w:val="153"/>
        </w:trPr>
        <w:tc>
          <w:tcPr>
            <w:tcW w:w="2480" w:type="dxa"/>
            <w:vAlign w:val="bottom"/>
          </w:tcPr>
          <w:p>
            <w:pPr>
              <w:spacing w:after="0"/>
              <w:rPr>
                <w:sz w:val="13"/>
                <w:szCs w:val="13"/>
                <w:color w:val="auto"/>
              </w:rPr>
            </w:pPr>
          </w:p>
        </w:tc>
        <w:tc>
          <w:tcPr>
            <w:tcW w:w="1700" w:type="dxa"/>
            <w:vAlign w:val="bottom"/>
            <w:tcBorders>
              <w:bottom w:val="single" w:sz="8" w:color="auto"/>
              <w:right w:val="single" w:sz="8" w:color="auto"/>
            </w:tcBorders>
            <w:gridSpan w:val="5"/>
          </w:tcPr>
          <w:p>
            <w:pPr>
              <w:jc w:val="right"/>
              <w:ind w:right="408"/>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42"/>
        </w:trPr>
        <w:tc>
          <w:tcPr>
            <w:tcW w:w="2480" w:type="dxa"/>
            <w:vAlign w:val="bottom"/>
            <w:vMerge w:val="restart"/>
          </w:tcPr>
          <w:p>
            <w:pPr>
              <w:spacing w:after="0"/>
              <w:rPr>
                <w:sz w:val="20"/>
                <w:szCs w:val="20"/>
                <w:color w:val="auto"/>
              </w:rPr>
            </w:pPr>
            <w:r>
              <w:rPr>
                <w:rFonts w:ascii="Arial" w:cs="Arial" w:eastAsia="Arial" w:hAnsi="Arial"/>
                <w:sz w:val="14"/>
                <w:szCs w:val="14"/>
                <w:color w:val="auto"/>
              </w:rPr>
              <w:t>Balance at December 31, 2017</w:t>
            </w:r>
          </w:p>
        </w:tc>
        <w:tc>
          <w:tcPr>
            <w:tcW w:w="1000" w:type="dxa"/>
            <w:vAlign w:val="bottom"/>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jc w:val="right"/>
              <w:ind w:right="128"/>
              <w:spacing w:after="0" w:line="142" w:lineRule="exact"/>
              <w:rPr>
                <w:sz w:val="20"/>
                <w:szCs w:val="20"/>
                <w:color w:val="auto"/>
              </w:rPr>
            </w:pPr>
            <w:r>
              <w:rPr>
                <w:rFonts w:ascii="Arial" w:cs="Arial" w:eastAsia="Arial" w:hAnsi="Arial"/>
                <w:sz w:val="13"/>
                <w:szCs w:val="13"/>
                <w:b w:val="1"/>
                <w:bCs w:val="1"/>
                <w:color w:val="auto"/>
                <w:w w:val="85"/>
              </w:rPr>
              <w:t>Amount</w:t>
            </w:r>
          </w:p>
        </w:tc>
        <w:tc>
          <w:tcPr>
            <w:tcW w:w="0" w:type="dxa"/>
            <w:vAlign w:val="bottom"/>
          </w:tcPr>
          <w:p>
            <w:pPr>
              <w:spacing w:after="0"/>
              <w:rPr>
                <w:sz w:val="1"/>
                <w:szCs w:val="1"/>
                <w:color w:val="auto"/>
              </w:rPr>
            </w:pPr>
          </w:p>
        </w:tc>
      </w:tr>
      <w:tr>
        <w:trPr>
          <w:trHeight w:val="150"/>
        </w:trPr>
        <w:tc>
          <w:tcPr>
            <w:tcW w:w="2480" w:type="dxa"/>
            <w:vAlign w:val="bottom"/>
            <w:vMerge w:val="continue"/>
          </w:tcPr>
          <w:p>
            <w:pPr>
              <w:spacing w:after="0"/>
              <w:rPr>
                <w:sz w:val="13"/>
                <w:szCs w:val="13"/>
                <w:color w:val="auto"/>
              </w:rPr>
            </w:pPr>
          </w:p>
        </w:tc>
        <w:tc>
          <w:tcPr>
            <w:tcW w:w="920" w:type="dxa"/>
            <w:vAlign w:val="bottom"/>
            <w:tcBorders>
              <w:top w:val="single" w:sz="8" w:color="auto"/>
            </w:tcBorders>
          </w:tcPr>
          <w:p>
            <w:pPr>
              <w:jc w:val="right"/>
              <w:ind w:right="29"/>
              <w:spacing w:after="0" w:line="151" w:lineRule="exact"/>
              <w:rPr>
                <w:sz w:val="20"/>
                <w:szCs w:val="20"/>
                <w:color w:val="auto"/>
              </w:rPr>
            </w:pPr>
            <w:r>
              <w:rPr>
                <w:rFonts w:ascii="Arial" w:cs="Arial" w:eastAsia="Arial" w:hAnsi="Arial"/>
                <w:sz w:val="14"/>
                <w:szCs w:val="14"/>
                <w:color w:val="auto"/>
              </w:rPr>
              <w:t>5,050,000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right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A-1 redeemable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6"/>
              </w:rPr>
              <w:t>issuance costs of $108 and including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derecognition of preferred stock</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tranche liability of $769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21,783,324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22,659</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A-2 redeemable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9"/>
              </w:rPr>
              <w:t>issuance costs of $57 and including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derecognition of preferred stock</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tranche liability of $4,567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33,604,886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60,467</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B redeemable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issuance costs of $519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28,870,177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96,484</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Blink Series A</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redeemable convertible preferred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stock</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A-2 redeemable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in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connection with Blink Merger and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redemption of redeemable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noncontrolling interest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64,500</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Issuance of Blink common stock</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in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connection with Blink Merger</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to</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scientific founders in connection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with Blink Merger</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Redemption of noncontrolling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interest in Blink upon Blink Merger</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8"/>
              </w:rPr>
              <w:t>Accretion of redeemable convertible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w w:val="99"/>
              </w:rPr>
              <w:t>preferred stock to redemption value</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6"/>
              </w:rPr>
              <w:t>Issuance of common stock related to</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anti-dilution rights, including</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derecognition of anti-dilution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derivative liability of $300</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4"/>
                <w:szCs w:val="14"/>
                <w:color w:val="auto"/>
              </w:rPr>
              <w:t>Balance at December 31, 2018</w:t>
            </w:r>
          </w:p>
        </w:tc>
        <w:tc>
          <w:tcPr>
            <w:tcW w:w="92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119,308,387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8"/>
              </w:rPr>
              <w:t>251,434</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60"/>
              <w:spacing w:after="0"/>
              <w:rPr>
                <w:sz w:val="20"/>
                <w:szCs w:val="20"/>
                <w:color w:val="auto"/>
              </w:rPr>
            </w:pPr>
            <w:r>
              <w:rPr>
                <w:rFonts w:ascii="Arial" w:cs="Arial" w:eastAsia="Arial" w:hAnsi="Arial"/>
                <w:sz w:val="14"/>
                <w:szCs w:val="14"/>
                <w:color w:val="auto"/>
              </w:rPr>
              <w:t>Issuance of Series B redeemable</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net of</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issuance costs of $95</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11,308,397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37,901</w:t>
            </w: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8"/>
              </w:rPr>
              <w:t>Accretion of redeemable convertible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w w:val="99"/>
              </w:rPr>
              <w:t>preferred stock to redemption value</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12,714</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Pr>
          <w:p>
            <w:pPr>
              <w:ind w:left="260"/>
              <w:spacing w:after="0" w:line="149" w:lineRule="exact"/>
              <w:rPr>
                <w:sz w:val="20"/>
                <w:szCs w:val="20"/>
                <w:color w:val="auto"/>
              </w:rPr>
            </w:pPr>
            <w:r>
              <w:rPr>
                <w:rFonts w:ascii="Arial" w:cs="Arial" w:eastAsia="Arial" w:hAnsi="Arial"/>
                <w:sz w:val="14"/>
                <w:szCs w:val="14"/>
                <w:color w:val="auto"/>
                <w:w w:val="96"/>
              </w:rPr>
              <w:t>Issuance of common stock related to</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license agreement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4"/>
                <w:szCs w:val="14"/>
                <w:color w:val="auto"/>
              </w:rPr>
              <w:t>Balance at December 31, 2019</w:t>
            </w:r>
          </w:p>
        </w:tc>
        <w:tc>
          <w:tcPr>
            <w:tcW w:w="92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130,616,784</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8"/>
              </w:rPr>
              <w:t>302,049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1"/>
                <w:szCs w:val="11"/>
                <w:color w:val="auto"/>
              </w:rPr>
            </w:pPr>
          </w:p>
        </w:tc>
        <w:tc>
          <w:tcPr>
            <w:tcW w:w="88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Redeemable</w:t>
            </w:r>
          </w:p>
        </w:tc>
      </w:tr>
      <w:tr>
        <w:trPr>
          <w:trHeight w:val="153"/>
        </w:trPr>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Paid-in</w:t>
            </w:r>
          </w:p>
        </w:tc>
        <w:tc>
          <w:tcPr>
            <w:tcW w:w="108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900" w:type="dxa"/>
            <w:vAlign w:val="bottom"/>
            <w:gridSpan w:val="4"/>
          </w:tcPr>
          <w:p>
            <w:pPr>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84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jc w:val="right"/>
              <w:ind w:right="88"/>
              <w:spacing w:after="0" w:line="142"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9"/>
              <w:spacing w:after="0" w:line="142"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7"/>
              </w:rPr>
              <w:t>Interest</w:t>
            </w:r>
          </w:p>
        </w:tc>
      </w:tr>
      <w:tr>
        <w:trPr>
          <w:trHeight w:val="176"/>
        </w:trPr>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486,986</w:t>
            </w:r>
          </w:p>
        </w:tc>
        <w:tc>
          <w:tcPr>
            <w:tcW w:w="60" w:type="dxa"/>
            <w:vAlign w:val="bottom"/>
          </w:tcPr>
          <w:p>
            <w:pPr>
              <w:spacing w:after="0"/>
              <w:rPr>
                <w:sz w:val="15"/>
                <w:szCs w:val="15"/>
                <w:color w:val="auto"/>
              </w:rPr>
            </w:pPr>
          </w:p>
        </w:tc>
        <w:tc>
          <w:tcPr>
            <w:tcW w:w="34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(9,461)</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(9,439)</w:t>
            </w:r>
          </w:p>
        </w:tc>
        <w:tc>
          <w:tcPr>
            <w:tcW w:w="8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r>
      <w:tr>
        <w:trPr>
          <w:trHeight w:val="751"/>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756"/>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59"/>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59"/>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4"/>
                <w:szCs w:val="24"/>
                <w:color w:val="auto"/>
              </w:rPr>
            </w:pPr>
          </w:p>
        </w:tc>
      </w:tr>
      <w:tr>
        <w:trPr>
          <w:trHeight w:val="736"/>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r>
      <w:tr>
        <w:trPr>
          <w:trHeight w:val="182"/>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10"/>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865,240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3,483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3,492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59"/>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934,132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3,761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3,770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11"/>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90"/>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2"/>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2,496,383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587"/>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765,549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3,052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3,052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17,078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(115,257)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(116,738)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5"/>
        </w:trPr>
        <w:tc>
          <w:tcPr>
            <w:tcW w:w="7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5,565,368</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7,256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(124,718)</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(117,406)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55"/>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90"/>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2"/>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1,559,126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90"/>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16,725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7,028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7,028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780" w:type="dxa"/>
            <w:vAlign w:val="bottom"/>
          </w:tcPr>
          <w:p>
            <w:pPr>
              <w:jc w:val="right"/>
              <w:ind w:right="49"/>
              <w:spacing w:after="0"/>
              <w:rPr>
                <w:sz w:val="20"/>
                <w:szCs w:val="20"/>
                <w:color w:val="auto"/>
              </w:rPr>
            </w:pPr>
            <w:r>
              <w:rPr>
                <w:rFonts w:ascii="Arial" w:cs="Arial" w:eastAsia="Arial" w:hAnsi="Arial"/>
                <w:sz w:val="14"/>
                <w:szCs w:val="14"/>
                <w:color w:val="auto"/>
              </w:rPr>
              <w:t>184,966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(78,326)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(78,326)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5"/>
        </w:trPr>
        <w:tc>
          <w:tcPr>
            <w:tcW w:w="7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7,326,185</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1,851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(203,044)</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(201,104)</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-5391150</wp:posOffset>
            </wp:positionV>
            <wp:extent cx="7132320" cy="1117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-4799965</wp:posOffset>
            </wp:positionV>
            <wp:extent cx="7132320" cy="4800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-4028440</wp:posOffset>
            </wp:positionV>
            <wp:extent cx="7132320"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-3256915</wp:posOffset>
            </wp:positionV>
            <wp:extent cx="713232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-2956560</wp:posOffset>
            </wp:positionV>
            <wp:extent cx="7132320" cy="291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-2468245</wp:posOffset>
            </wp:positionV>
            <wp:extent cx="713232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-2167890</wp:posOffset>
            </wp:positionV>
            <wp:extent cx="7132320" cy="386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-1679575</wp:posOffset>
            </wp:positionV>
            <wp:extent cx="713232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-1473835</wp:posOffset>
            </wp:positionV>
            <wp:extent cx="713232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-1045210</wp:posOffset>
            </wp:positionV>
            <wp:extent cx="7132320" cy="19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-745490</wp:posOffset>
            </wp:positionV>
            <wp:extent cx="7132320" cy="196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-445135</wp:posOffset>
            </wp:positionV>
            <wp:extent cx="713232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-239395</wp:posOffset>
            </wp:positionV>
            <wp:extent cx="71323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4180" w:space="60"/>
            <w:col w:w="7000"/>
          </w:cols>
          <w:pgMar w:left="320" w:top="342" w:right="339" w:bottom="1440"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5"/>
          <w:szCs w:val="15"/>
          <w:b w:val="1"/>
          <w:bCs w:val="1"/>
          <w:color w:val="auto"/>
        </w:rPr>
        <w:t>Beam Therapeutics Inc.</w:t>
      </w:r>
    </w:p>
    <w:p>
      <w:pPr>
        <w:jc w:val="center"/>
        <w:spacing w:after="0" w:line="233" w:lineRule="auto"/>
        <w:rPr>
          <w:sz w:val="20"/>
          <w:szCs w:val="20"/>
          <w:color w:val="auto"/>
        </w:rPr>
      </w:pPr>
      <w:r>
        <w:rPr>
          <w:rFonts w:ascii="Arial" w:cs="Arial" w:eastAsia="Arial" w:hAnsi="Arial"/>
          <w:sz w:val="15"/>
          <w:szCs w:val="15"/>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(78,326)</w:t>
            </w:r>
          </w:p>
        </w:tc>
        <w:tc>
          <w:tcPr>
            <w:tcW w:w="160" w:type="dxa"/>
            <w:vAlign w:val="bottom"/>
          </w:tcPr>
          <w:p>
            <w:pPr>
              <w:spacing w:after="0"/>
              <w:rPr>
                <w:sz w:val="15"/>
                <w:szCs w:val="15"/>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w w:val="96"/>
              </w:rPr>
              <w:t>(116,738)</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5"/>
                <w:szCs w:val="15"/>
                <w:color w:val="auto"/>
              </w:rPr>
              <w:t>Depreciation</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3,503</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650</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 xml:space="preserve">Loss on issuance of preferred stock in connection with Blink Merger (See Note 10, </w:t>
            </w:r>
            <w:r>
              <w:rPr>
                <w:rFonts w:ascii="Arial" w:cs="Arial" w:eastAsia="Arial" w:hAnsi="Arial"/>
                <w:sz w:val="15"/>
                <w:szCs w:val="15"/>
                <w:i w:val="1"/>
                <w:iCs w:val="1"/>
                <w:color w:val="auto"/>
              </w:rPr>
              <w:t>Blink Therapeutics</w:t>
            </w: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49,500</w:t>
            </w: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5"/>
                <w:szCs w:val="15"/>
                <w:color w:val="auto"/>
              </w:rPr>
              <w:t>Loss on issuance of preferred stock to investors</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5,715</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investment premiums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7,028</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7,002</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operating lease right-of-use assets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1,904</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Non-cash research and development license expense</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113</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7,424</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derivative liabilities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5,400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11,749</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Change in fair value of preferred stock tranche liabilities</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4,325</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9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(1,258)</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(1,696)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long-term assets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(634)</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4,092</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2,436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liabilities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3,571</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1,606</w:t>
            </w: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Arial" w:cs="Arial" w:eastAsia="Arial" w:hAnsi="Arial"/>
                <w:sz w:val="15"/>
                <w:szCs w:val="15"/>
                <w:color w:val="auto"/>
              </w:rPr>
              <w:t>Deferred rent liabilities</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7,556</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Operating lease liabilities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(2,535)</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740"/>
              <w:spacing w:after="0"/>
              <w:rPr>
                <w:sz w:val="20"/>
                <w:szCs w:val="20"/>
                <w:color w:val="auto"/>
              </w:rPr>
            </w:pPr>
            <w:r>
              <w:rPr>
                <w:rFonts w:ascii="Arial" w:cs="Arial" w:eastAsia="Arial" w:hAnsi="Arial"/>
                <w:sz w:val="15"/>
                <w:szCs w:val="15"/>
                <w:color w:val="auto"/>
              </w:rPr>
              <w:t>Financing milestone liabilities</w:t>
            </w:r>
          </w:p>
        </w:tc>
        <w:tc>
          <w:tcPr>
            <w:tcW w:w="9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(13,750)</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long-term liabilities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(191)</w:t>
            </w:r>
          </w:p>
        </w:tc>
        <w:tc>
          <w:tcPr>
            <w:tcW w:w="16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69"/>
        </w:trPr>
        <w:tc>
          <w:tcPr>
            <w:tcW w:w="7720" w:type="dxa"/>
            <w:vAlign w:val="bottom"/>
          </w:tcPr>
          <w:p>
            <w:pPr>
              <w:ind w:left="1000"/>
              <w:spacing w:after="0" w:line="169" w:lineRule="exact"/>
              <w:rPr>
                <w:sz w:val="20"/>
                <w:szCs w:val="20"/>
                <w:color w:val="auto"/>
              </w:rPr>
            </w:pPr>
            <w:r>
              <w:rPr>
                <w:rFonts w:ascii="Arial" w:cs="Arial" w:eastAsia="Arial" w:hAnsi="Arial"/>
                <w:sz w:val="15"/>
                <w:szCs w:val="15"/>
                <w:color w:val="auto"/>
              </w:rPr>
              <w:t>Net cash used in operating activities</w:t>
            </w:r>
          </w:p>
        </w:tc>
        <w:tc>
          <w:tcPr>
            <w:tcW w:w="9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(72,003)</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jc w:val="right"/>
              <w:ind w:right="4"/>
              <w:spacing w:after="0" w:line="169" w:lineRule="exact"/>
              <w:rPr>
                <w:sz w:val="20"/>
                <w:szCs w:val="20"/>
                <w:color w:val="auto"/>
              </w:rPr>
            </w:pPr>
            <w:r>
              <w:rPr>
                <w:rFonts w:ascii="Arial" w:cs="Arial" w:eastAsia="Arial" w:hAnsi="Arial"/>
                <w:sz w:val="15"/>
                <w:szCs w:val="15"/>
                <w:color w:val="auto"/>
              </w:rPr>
              <w:t>(20,298)</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Investing activities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Purchases of property and equipment</w:t>
            </w:r>
          </w:p>
        </w:tc>
        <w:tc>
          <w:tcPr>
            <w:tcW w:w="9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(12,518)</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(13,124)</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marketable securities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9"/>
              </w:rPr>
              <w:t>(129,760)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Maturities of marketable securities</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76,069</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long-term investment</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(450)</w:t>
            </w:r>
          </w:p>
        </w:tc>
        <w:tc>
          <w:tcPr>
            <w:tcW w:w="16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69"/>
        </w:trPr>
        <w:tc>
          <w:tcPr>
            <w:tcW w:w="7720" w:type="dxa"/>
            <w:vAlign w:val="bottom"/>
          </w:tcPr>
          <w:p>
            <w:pPr>
              <w:ind w:left="1000"/>
              <w:spacing w:after="0" w:line="169" w:lineRule="exact"/>
              <w:rPr>
                <w:sz w:val="20"/>
                <w:szCs w:val="20"/>
                <w:color w:val="auto"/>
              </w:rPr>
            </w:pPr>
            <w:r>
              <w:rPr>
                <w:rFonts w:ascii="Arial" w:cs="Arial" w:eastAsia="Arial" w:hAnsi="Arial"/>
                <w:sz w:val="15"/>
                <w:szCs w:val="15"/>
                <w:color w:val="auto"/>
              </w:rPr>
              <w:t>Net cash used in investing activities</w:t>
            </w:r>
          </w:p>
        </w:tc>
        <w:tc>
          <w:tcPr>
            <w:tcW w:w="9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(66,659)</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jc w:val="right"/>
              <w:ind w:right="4"/>
              <w:spacing w:after="0" w:line="169" w:lineRule="exact"/>
              <w:rPr>
                <w:sz w:val="20"/>
                <w:szCs w:val="20"/>
                <w:color w:val="auto"/>
              </w:rPr>
            </w:pPr>
            <w:r>
              <w:rPr>
                <w:rFonts w:ascii="Arial" w:cs="Arial" w:eastAsia="Arial" w:hAnsi="Arial"/>
                <w:sz w:val="15"/>
                <w:szCs w:val="15"/>
                <w:color w:val="auto"/>
              </w:rPr>
              <w:t>(13,424)</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Proceeds from issuance of Series A-1 Preferred Stock, net</w:t>
            </w:r>
          </w:p>
        </w:tc>
        <w:tc>
          <w:tcPr>
            <w:tcW w:w="96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19,842</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Series A-2 Preferred Stock, net</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48,517</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Proceeds from issuance of Series B Preferred Stock, net</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37,901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96,484</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Blink Series A Preferred Stock, net</w:t>
            </w:r>
          </w:p>
        </w:tc>
        <w:tc>
          <w:tcPr>
            <w:tcW w:w="9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14,874</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Proceeds from equipment financings</w:t>
            </w: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6,178</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 of equipment financings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Equity issuance costs</w:t>
            </w:r>
          </w:p>
        </w:tc>
        <w:tc>
          <w:tcPr>
            <w:tcW w:w="9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(2,521)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185</w:t>
            </w:r>
          </w:p>
        </w:tc>
        <w:tc>
          <w:tcPr>
            <w:tcW w:w="16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8"/>
        </w:trPr>
        <w:tc>
          <w:tcPr>
            <w:tcW w:w="7720" w:type="dxa"/>
            <w:vAlign w:val="bottom"/>
          </w:tcPr>
          <w:p>
            <w:pPr>
              <w:ind w:left="1000"/>
              <w:spacing w:after="0"/>
              <w:rPr>
                <w:sz w:val="20"/>
                <w:szCs w:val="20"/>
                <w:color w:val="auto"/>
              </w:rPr>
            </w:pPr>
            <w:r>
              <w:rPr>
                <w:rFonts w:ascii="Arial" w:cs="Arial" w:eastAsia="Arial" w:hAnsi="Arial"/>
                <w:sz w:val="15"/>
                <w:szCs w:val="15"/>
                <w:color w:val="auto"/>
              </w:rPr>
              <w:t>Net cash provided by financing activities</w:t>
            </w:r>
          </w:p>
        </w:tc>
        <w:tc>
          <w:tcPr>
            <w:tcW w:w="960" w:type="dxa"/>
            <w:vAlign w:val="bottom"/>
          </w:tcPr>
          <w:p>
            <w:pPr>
              <w:spacing w:after="0"/>
              <w:rPr>
                <w:sz w:val="16"/>
                <w:szCs w:val="16"/>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41,279</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179,727</w:t>
            </w:r>
          </w:p>
        </w:tc>
        <w:tc>
          <w:tcPr>
            <w:tcW w:w="0" w:type="dxa"/>
            <w:vAlign w:val="bottom"/>
          </w:tcPr>
          <w:p>
            <w:pPr>
              <w:spacing w:after="0"/>
              <w:rPr>
                <w:sz w:val="1"/>
                <w:szCs w:val="1"/>
                <w:color w:val="auto"/>
              </w:rPr>
            </w:pPr>
          </w:p>
        </w:tc>
      </w:tr>
      <w:tr>
        <w:trPr>
          <w:trHeight w:val="35"/>
        </w:trPr>
        <w:tc>
          <w:tcPr>
            <w:tcW w:w="7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Net (decrease) increase in in cash, cash equivalents and restricted cash</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(97,383)</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146,005</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cash—beginning of period</w:t>
            </w: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147,936</w:t>
            </w:r>
          </w:p>
        </w:tc>
        <w:tc>
          <w:tcPr>
            <w:tcW w:w="16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1,931</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cash equivalents and restricted cash—end of period</w:t>
            </w:r>
          </w:p>
        </w:tc>
        <w:tc>
          <w:tcPr>
            <w:tcW w:w="960" w:type="dxa"/>
            <w:vAlign w:val="bottom"/>
            <w:tcBorders>
              <w:bottom w:val="single" w:sz="8" w:color="auto"/>
            </w:tcBorders>
            <w:shd w:val="clear" w:color="auto" w:fill="CFF0FC"/>
          </w:tcPr>
          <w:p>
            <w:pPr>
              <w:jc w:val="right"/>
              <w:ind w:right="80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50,553</w:t>
            </w:r>
          </w:p>
        </w:tc>
        <w:tc>
          <w:tcPr>
            <w:tcW w:w="1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0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rPr>
              <w:t>147,936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Property and equipment additions in accounts payable and accrued expenses</w:t>
            </w: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2,465</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4,135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Receipt of common stock in exchange for technology license</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FF0FC"/>
            </w:tcBorders>
            <w:vMerge w:val="continue"/>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460</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Operating lease liabilities arising from obtaining right-of-use assets</w:t>
            </w: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6,221</w:t>
            </w:r>
          </w:p>
        </w:tc>
        <w:tc>
          <w:tcPr>
            <w:tcW w:w="1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Issuance of common stock in connection with Blink Merger</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FF0FC"/>
            </w:tcBorders>
            <w:vMerge w:val="continue"/>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3,492</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Issuance of common stock to founders in connection with Blink Merger</w:t>
            </w: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3,770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Issuance of Series A-2 Preferred Stock in connection with Blink Merger</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FF0FC"/>
            </w:tcBorders>
            <w:vMerge w:val="continue"/>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64,500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Issuance of Series A-1 and A-2 Preferred Stock for research and development license</w:t>
            </w: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3,716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Recognition and derecognition of preferred stock tranche liabilities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60" w:type="dxa"/>
            <w:vAlign w:val="bottom"/>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ind w:right="64"/>
              <w:spacing w:after="0" w:line="156" w:lineRule="exact"/>
              <w:rPr>
                <w:sz w:val="20"/>
                <w:szCs w:val="20"/>
                <w:color w:val="auto"/>
              </w:rPr>
            </w:pPr>
            <w:r>
              <w:rPr>
                <w:rFonts w:ascii="Arial" w:cs="Arial" w:eastAsia="Arial" w:hAnsi="Arial"/>
                <w:sz w:val="15"/>
                <w:szCs w:val="15"/>
                <w:color w:val="auto"/>
              </w:rPr>
              <w:t>5,335</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Issuance of common stock for research and development license</w:t>
            </w:r>
          </w:p>
        </w:tc>
        <w:tc>
          <w:tcPr>
            <w:tcW w:w="960" w:type="dxa"/>
            <w:vAlign w:val="bottom"/>
            <w:tcBorders>
              <w:top w:val="single" w:sz="8" w:color="auto"/>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113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515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Equity issuance costs in accounts payable and accrued expenses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FF0FC"/>
            </w:tcBorders>
            <w:vMerge w:val="continue"/>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593</w:t>
            </w:r>
          </w:p>
        </w:tc>
        <w:tc>
          <w:tcPr>
            <w:tcW w:w="16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Accretion of redeemable convertible preferred stock to redemption value, including dividends on preferred stock</w:t>
            </w: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12,714</w:t>
            </w:r>
          </w:p>
        </w:tc>
        <w:tc>
          <w:tcPr>
            <w:tcW w:w="1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2,068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44" w:name="page145"/>
    <w:bookmarkEnd w:id="144"/>
    <w:p>
      <w:pPr>
        <w:jc w:val="center"/>
        <w:ind w:right="-79"/>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Beam Therapeutics Inc. (the “Company” or “Beam”) is a research stage biotechnology company committed to creating a new class of precision genetic medicines, based on the Company’s proprietary base editing technology, with a vision of providing life-long cures to patients suffering from serious diseases. The Company was incorporated on January 25, 2017 (Inception) as a Delaware corporation and began operations in July 2017. Its principal offices are in Cambridge, Massachusetts.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Since its inception, the Company has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its inception, the Company has incurred substantial losses and had a net loss of $78.3 million for the year ended December 31, 2019. As of December 31, 2019, the Company had an accumulated deficit of $203.0 million. The Company expects to generate operating losses and negative operating cash flows for the foreseeable future.</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11, 2020, the Company completed its initial public offering, or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expects that its cash, cash equivalents and marketable securities as of December 31, 2019 of $91.8 million, along with $188.3 million in net IPO proceeds,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As further discussed in Note 11,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upon the completion of the IPO of its common stock in February 2020, all outstanding redeemable convertible preferred stock converted into shares of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accompanying consolidated financial statements include the accounts of Beam Therapeutics, Inc. and its wholly owned subsidiaries, Blink Therapeutics Inc., or Blink, which is a Delaware subsidiary that holds certain intellectual property related to RNA base editing, and Beam Therapeutics Securities Corporation, which is a Massachusetts subsidiary. All intercompany transactions and balances have been eliminated in consolidation.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the fair values of common stock, redeemable convertible preferred stock, redeemable convertible preferred stock tranche liabilities, stock-based compensation, financing milestone payments and success payments. Actual results could differ from these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and cash equivalents consist of standard checking accounts, money market accounts and commercial paper. The Company considers all highly liquid investments with an original maturity of three months or less at the date of purchase to be cash equivalents.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classifies marketable securities with a remaining maturity when purchased of greater than three months as available-for-sale. Available-for-sale securities are maintained by the Company’s investment managers and consist of commercial paper and high-grade corporate notes. Available-for-sale securities are carried at fair value with the unrealized gains and losses included in accumulated other comprehensive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Restricted cash represents collateral provided for letters of credit issued as security deposits in connection with the Company’s lease of its corporate facilities. As of December 31, 2019 and 2018, restricted cash was $13.3 million and $1.5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as defined the Company.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2019 and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 costs</w:t>
      </w:r>
    </w:p>
    <w:p>
      <w:pPr>
        <w:spacing w:after="0" w:line="117" w:lineRule="exact"/>
        <w:rPr>
          <w:sz w:val="20"/>
          <w:szCs w:val="20"/>
          <w:color w:val="auto"/>
        </w:rPr>
      </w:pPr>
    </w:p>
    <w:p>
      <w:pPr>
        <w:ind w:right="180"/>
        <w:spacing w:after="0" w:line="313" w:lineRule="auto"/>
        <w:rPr>
          <w:sz w:val="20"/>
          <w:szCs w:val="20"/>
          <w:color w:val="auto"/>
        </w:rPr>
      </w:pPr>
      <w:r>
        <w:rPr>
          <w:rFonts w:ascii="Arial" w:cs="Arial" w:eastAsia="Arial" w:hAnsi="Arial"/>
          <w:sz w:val="16"/>
          <w:szCs w:val="16"/>
          <w:color w:val="auto"/>
        </w:rPr>
        <w:t>The Company capitalized incremental legal, professional, accounting and other third-party fees that were directly associated with the IPO as other non-current assets until the IPO was consummated. After consummation of the IPO in February 2020, these costs were recorded in stockholders’ deficit as a reduction of additional paid-in-capital generated as a result of the offering. As of December 31, 2019, equity issuance costs of $3.1 million were included in other assets in the accompanying consolidated balance sheets. As of December 31, 2018, there were no deferred offering costs.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6" w:name="page147"/>
    <w:bookmarkEnd w:id="146"/>
    <w:p>
      <w:pPr>
        <w:ind w:left="760" w:right="200"/>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62" w:lineRule="exact"/>
        <w:rPr>
          <w:sz w:val="20"/>
          <w:szCs w:val="20"/>
          <w:color w:val="auto"/>
        </w:rPr>
      </w:pPr>
    </w:p>
    <w:p>
      <w:pPr>
        <w:ind w:left="760" w:right="140"/>
        <w:spacing w:after="0" w:line="342" w:lineRule="auto"/>
        <w:rPr>
          <w:sz w:val="20"/>
          <w:szCs w:val="20"/>
          <w:color w:val="auto"/>
        </w:rPr>
      </w:pPr>
      <w:r>
        <w:rPr>
          <w:rFonts w:ascii="Arial" w:cs="Arial" w:eastAsia="Arial" w:hAnsi="Arial"/>
          <w:sz w:val="16"/>
          <w:szCs w:val="16"/>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There have been no changes to the valuation methods utilized during the years ended December 31, 2019 and 2018. The Company evaluates transfers between levels at the end of each reporting period. There were no transfers of financial instruments between levels during the years ended December 31, 2019 and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estimated useful life of each assets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50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 years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Laboratory equipment and office furniture</w:t>
            </w:r>
          </w:p>
        </w:tc>
        <w:tc>
          <w:tcPr>
            <w:tcW w:w="5500" w:type="dxa"/>
            <w:vAlign w:val="bottom"/>
          </w:tcPr>
          <w:p>
            <w:pPr>
              <w:spacing w:after="0"/>
              <w:rPr>
                <w:sz w:val="20"/>
                <w:szCs w:val="20"/>
                <w:color w:val="auto"/>
              </w:rPr>
            </w:pPr>
            <w:r>
              <w:rPr>
                <w:rFonts w:ascii="Arial" w:cs="Arial" w:eastAsia="Arial" w:hAnsi="Arial"/>
                <w:sz w:val="18"/>
                <w:szCs w:val="18"/>
                <w:color w:val="auto"/>
              </w:rPr>
              <w:t>5 years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500" w:type="dxa"/>
            <w:vAlign w:val="bottom"/>
          </w:tcPr>
          <w:p>
            <w:pPr>
              <w:spacing w:after="0"/>
              <w:rPr>
                <w:sz w:val="20"/>
                <w:szCs w:val="20"/>
                <w:color w:val="auto"/>
              </w:rPr>
            </w:pPr>
            <w:r>
              <w:rPr>
                <w:rFonts w:ascii="Arial" w:cs="Arial" w:eastAsia="Arial" w:hAnsi="Arial"/>
                <w:sz w:val="18"/>
                <w:szCs w:val="18"/>
                <w:color w:val="auto"/>
              </w:rPr>
              <w:t>Shorter of useful life or remaining term</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evaluates its long-lived assets, which consist primarily of property and equipment and operating lease right-of-use assets, and our investment in Verve Therapeutics, Inc., or Verve,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2019 and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Freestanding financial instruments and derivatives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identified the following financial instruments, which are recorded as liabilities on the consolidated balance sheet and separately accounted for at fair value.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Preferred Stock Tranche Liabilities – The Company has determined that its obligation to issue, and the Company’s investors’ right to purchase, additional shares of redeemable convertible Series A-1 Preferred Stock, or Series A-1 Preferred, pursuant to the second closing and redeemable convertible Series A-2 Preferred Stock, or Series A-2 Preferred, and together with the Series A-1 Preferred, the Series A Preferred, pursuant to the third closing (see Note 11,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represent a freestanding instrument. The freestanding preferred stock tranche liability, or the tranche liability, was</w:t>
      </w:r>
      <w:r>
        <w:rPr>
          <w:rFonts w:ascii="Arial" w:cs="Arial" w:eastAsia="Arial" w:hAnsi="Arial"/>
          <w:sz w:val="17"/>
          <w:szCs w:val="17"/>
          <w:i w:val="1"/>
          <w:iCs w:val="1"/>
          <w:color w:val="auto"/>
        </w:rPr>
        <w:t xml:space="preserve"> </w:t>
      </w:r>
      <w:r>
        <w:rPr>
          <w:rFonts w:ascii="Arial" w:cs="Arial" w:eastAsia="Arial" w:hAnsi="Arial"/>
          <w:sz w:val="17"/>
          <w:szCs w:val="17"/>
          <w:color w:val="auto"/>
        </w:rPr>
        <w:t>initially recorded at fair value, with gains and losses arising from changes in fair value recognized in other income (expense) in the consolidated statement of operations and other comprehensive loss. The tranche liabilities were remeasured at each reporting period and upon the modification, exercise or expiration of the obligation. The liabilities were valued using an option pricing model. In 2018, all Series A-1 Preferred and Series A-2 Preferred closings occurred, and all tranche liabilities have been derecognized.</w:t>
      </w:r>
    </w:p>
    <w:p>
      <w:pPr>
        <w:spacing w:after="0" w:line="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The following financial instruments were issued pursuant to a license agreement between the President and Fellows of Harvard College, or Harvard, and the Company, or the Harvard License Agreement, and a license agreement with the Broad Institute of MIT and Harvard, or Broad Institute, and the Company, or the Broad License Agreement, (see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w:t>
      </w:r>
    </w:p>
    <w:p>
      <w:pPr>
        <w:spacing w:after="0" w:line="184" w:lineRule="exact"/>
        <w:rPr>
          <w:sz w:val="20"/>
          <w:szCs w:val="20"/>
          <w:color w:val="auto"/>
        </w:rPr>
      </w:pPr>
    </w:p>
    <w:p>
      <w:pPr>
        <w:ind w:left="740" w:right="40" w:hanging="368"/>
        <w:spacing w:after="0" w:line="254" w:lineRule="auto"/>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Financing Milestone Payments – The Company was required to make future cash payments to Harvard and Broad Institute upon the achievement of future financing milestones tied to the closing of additional rounds of Series A Preferred and Series B Preferred Stock. The financing milestone payments were accounted for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or ASC 815, and were initially recorded at fair value with a corresponding charge to research and development expense. The liabilities were marked to market at each balance sheet date with all changes in value recognized in other income (expense) in the consolidated statement of operations and other comprehensive loss. The Company adjusted the liability for changes in fair value until the achievement of the financing milestones. To determine the estimated fair value of the financing milestone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7" w:name="page148"/>
    <w:bookmarkEnd w:id="147"/>
    <w:p>
      <w:pPr>
        <w:ind w:left="740" w:right="180"/>
        <w:spacing w:after="0" w:line="279" w:lineRule="auto"/>
        <w:rPr>
          <w:sz w:val="20"/>
          <w:szCs w:val="20"/>
          <w:color w:val="auto"/>
        </w:rPr>
      </w:pPr>
      <w:r>
        <w:rPr>
          <w:rFonts w:ascii="Arial" w:cs="Arial" w:eastAsia="Arial" w:hAnsi="Arial"/>
          <w:sz w:val="17"/>
          <w:szCs w:val="17"/>
          <w:color w:val="auto"/>
        </w:rPr>
        <w:t>payments, the Company used a Monte Carlo simulation model, which models the value of the liability based on the change of several key variables, including time to capital raise, probabilities to capital raise, cost of debt, as well as the projected price per share upon issuance. As of December 31, 2018, all financing milestone payments have been achieved and were either paid in cash or are recorded in accrued expenses for actual amounts due. All outstanding financing milestone payment liabilities have been paid in 2019.</w:t>
      </w:r>
    </w:p>
    <w:p>
      <w:pPr>
        <w:spacing w:after="0" w:line="171" w:lineRule="exact"/>
        <w:rPr>
          <w:sz w:val="20"/>
          <w:szCs w:val="20"/>
          <w:color w:val="auto"/>
        </w:rPr>
      </w:pPr>
    </w:p>
    <w:p>
      <w:pPr>
        <w:ind w:left="740" w:right="120" w:hanging="368"/>
        <w:spacing w:after="0" w:line="270"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Success Payments –The Company is required to make success payments to Harvard and Broad Institute based on increases in the per share fair market value of the Company’s Series A Preferred, payable in cash. Subsequent to the February 2020 IPO, the amount of success payments will be based on market value of Beam’s common stock. The success payments are accounted for under ASC 815 and are initially recorded at fair value with a corresponding charge to research and development expense. The liabilities are marked to market at each balance sheet date with all changes in value recognized in other income (expense) in the consolidated statement of operations and other comprehensive loss. The Company will continue to adjust the liability for changes in fair value until the earlier of the achievement or expiration of the success payment obligation.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w:t>
      </w:r>
    </w:p>
    <w:p>
      <w:pPr>
        <w:spacing w:after="0" w:line="180" w:lineRule="exact"/>
        <w:rPr>
          <w:rFonts w:ascii="Arial" w:cs="Arial" w:eastAsia="Arial" w:hAnsi="Arial"/>
          <w:sz w:val="17"/>
          <w:szCs w:val="17"/>
          <w:color w:val="auto"/>
        </w:rPr>
      </w:pPr>
    </w:p>
    <w:p>
      <w:pPr>
        <w:ind w:left="740" w:right="20" w:hanging="368"/>
        <w:spacing w:after="0" w:line="269" w:lineRule="auto"/>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Anti-Dilution Issuance Rights – Additional shares of common stock were issued to Harvard and Broad Institute upon equity financings allowing Harvard and Broad Institute to maintain a defined ownership percentage in the Company on a fully diluted basis until the Company achieved a defined aggregate level of preferred stock financing. These anti-dilution issuance rights were accounted for under ASC 815 and are initially recorded at fair value with a corresponding charge to research and development expense. As such, the Company recorded this instrument as a liability at its fair value with a corresponding amount recorded as research and development expense and marked it to market at each reporting period, with changes in fair value recognized in other income (expense) in the consolidated statement of operations and other comprehensive loss at each period-end while this instrument was outstanding. The liability was valued using a Monte Carlo simulation model, which models the value of the liability based on the change of several key variables, including the time to the capital raise, the probability of the capital raise, as well as the fair value of the Company’s common stock. During 2018, the anti-dilution issuance rights were satisfied and there is no additional derivative liability accounting.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has classified redeemable convertible preferred stock as temporary equity on the accompanying consolidated balance sheet because it becomes redeemable due to the passage of time or could become redeemable due to certain change in control clauses that are outside of the Company’s control. As a result of becoming redeemable due to the passage of time, the Company records changes in the redemption value and accretes the redeemable convertible preferred stock immediately to redemption value as they occur. These increases are recorded as charges against retained earnings, if any, and then to additional paid-in capital. Then, in the absence of additional paid-in capital, the accretion is charged to the accumulated deficit. As discussed in Note 11,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all of the Company’s outstanding redeemable convertible preferred stock converted into the Company’s common stock upon the closing of the IPO in February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Additionally, under the terms of the Harvard License Agreement and the Broad License Agreement, the Company is obligated to make future payments should certain financing, development and regulatory milestones be achieved. The Company has included such costs as research and development as the costs incurred related to the license agreements had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stock-based compensation program allows for grants of stock options and restricted stock awards. Grants are awarded to employees and non-employees, including directors.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non-employees and directors, to be recognized as expense in the consolidated statements of operations and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w:t>
      </w:r>
    </w:p>
    <w:p>
      <w:pPr>
        <w:spacing w:after="0" w:line="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8" w:name="page149"/>
    <w:bookmarkEnd w:id="148"/>
    <w:p>
      <w:pPr>
        <w:jc w:val="both"/>
        <w:ind w:right="120"/>
        <w:spacing w:after="0" w:line="263" w:lineRule="auto"/>
        <w:rPr>
          <w:sz w:val="20"/>
          <w:szCs w:val="20"/>
          <w:color w:val="auto"/>
        </w:rPr>
      </w:pPr>
      <w:r>
        <w:rPr>
          <w:rFonts w:ascii="Arial" w:cs="Arial" w:eastAsia="Arial" w:hAnsi="Arial"/>
          <w:sz w:val="18"/>
          <w:szCs w:val="18"/>
          <w:color w:val="auto"/>
        </w:rPr>
        <w:t>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7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Due to the absence of an active market during the years ended December 31, 2019 and 2018 for the Company’s common stock, the Company utilized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In determining the exercise prices for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redeemable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Company’s real estate operating leases provide for scheduled annual rent increases throughout the lease terms. The Company recognizes the effects of the scheduled rent increases on a straight-line basis over the full terms of the lease. Prior to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or ASC 842, tenant improvement allowances, if any, provided by a landlord are recorded as deferred rent and amortized as reduction to rent expense over the lease terms. Subsequent to the adoption of ASC 842, tenant improvement allowances, if any, provided by a landlord are recorded as a reduction of the right-of-use, or ROU, asset related to that lease.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reviews each legal entity formed by related parties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9" w:name="page150"/>
    <w:bookmarkEnd w:id="149"/>
    <w:p>
      <w:pPr>
        <w:ind w:right="200"/>
        <w:spacing w:after="0" w:line="311" w:lineRule="auto"/>
        <w:rPr>
          <w:sz w:val="20"/>
          <w:szCs w:val="20"/>
          <w:color w:val="auto"/>
        </w:rPr>
      </w:pPr>
      <w:r>
        <w:rPr>
          <w:rFonts w:ascii="Arial" w:cs="Arial" w:eastAsia="Arial" w:hAnsi="Arial"/>
          <w:sz w:val="16"/>
          <w:szCs w:val="16"/>
          <w:color w:val="auto"/>
        </w:rPr>
        <w:t>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stockholders’ deficit which includes certain changes in equity that are excluded from net loss. The Company’s only element of other comprehensive income is unrealized gains and losses on marketable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8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the dilutive net loss per share calculation, stock options and stock units for which the performance and market vesting conditions have been deemed probable, potential dilutive securities, which include redeemable convertible preferred stock, unvested restricted stock, common stock options and shares issuable under anti-dilution rights are considered to be common stock equivalents, while stock options and stock units with performance- or market-based vesting conditions that were not deemed probable as of December 31, 2019 are not considered to be common stock equivalents.</w:t>
      </w:r>
    </w:p>
    <w:p>
      <w:pPr>
        <w:spacing w:after="0" w:line="4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2019 and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February 2016, the FASB issued ASC 842. The new lease standard requires leases to be accounted for using a right-of-use model, which recognizes that, at the date of commencement, a lessee has a financial obligation to make lease payments to the lessor for the right to use the underlying asset during the lease term. The lessee recognizes a corresponding right-of-use asset related to this right. Effective January 1, 2019, the Company early adopted ASC 842 using the modified retrospective approach, which provides a method for recording existing leases at adoption using the effective date as its date of initial application, for which prior periods are presented in accordance with the previous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ASC 840. The Company made the following practical expedients elections: (1) elected the short-term lease exception, (2) did not elect hindsight and (3) elected to not separate non-lease components from lease components. It also adopted the transitional practical expedients, which allowed the Company to carry forward its historical assessment of whether existing agreements contained a lease and the classification of its existing operating leases. As of January 1, 2019, the Company did not have any financing leases or obligations. For financing obligations as of December 31, 2019, refer to Note 7,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0" w:name="page151"/>
    <w:bookmarkEnd w:id="150"/>
    <w:p>
      <w:pPr>
        <w:jc w:val="both"/>
        <w:ind w:right="100"/>
        <w:spacing w:after="0" w:line="286" w:lineRule="auto"/>
        <w:rPr>
          <w:sz w:val="20"/>
          <w:szCs w:val="20"/>
          <w:color w:val="auto"/>
        </w:rPr>
      </w:pPr>
      <w:r>
        <w:rPr>
          <w:rFonts w:ascii="Arial" w:cs="Arial" w:eastAsia="Arial" w:hAnsi="Arial"/>
          <w:sz w:val="17"/>
          <w:szCs w:val="17"/>
          <w:color w:val="auto"/>
        </w:rPr>
        <w:t>asset for the lease term and lease liabilities represent its obligation to make lease payments arising from the lease. The Company typically only includes an initial lease term in its assessment of a lease arrangement. It also considers termination options and factors those into the determination of lease payments. Options to renew a lease are not included in the assessment unless there is reasonable certainty that the Company will renew.</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In transition to ASC 842, the Company utilized the remaining lease term of its leases in determining the appropriate incremental borrowing rates. Lease expense for lease payments is recognized on a straight-line basis over the lease term.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ASC 842 on the Consolidated Financial Statements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ASC 842</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(Prior to ASC</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842 Adoption)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Operating lease assets (1)</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14,218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14,218</w:t>
            </w:r>
          </w:p>
        </w:tc>
        <w:tc>
          <w:tcPr>
            <w:tcW w:w="0" w:type="dxa"/>
            <w:vAlign w:val="bottom"/>
          </w:tcPr>
          <w:p>
            <w:pPr>
              <w:spacing w:after="0"/>
              <w:rPr>
                <w:sz w:val="1"/>
                <w:szCs w:val="1"/>
                <w:color w:val="auto"/>
              </w:rPr>
            </w:pPr>
          </w:p>
        </w:tc>
      </w:tr>
      <w:tr>
        <w:trPr>
          <w:trHeight w:val="229"/>
        </w:trPr>
        <w:tc>
          <w:tcPr>
            <w:tcW w:w="5800" w:type="dxa"/>
            <w:vAlign w:val="bottom"/>
            <w:gridSpan w:val="3"/>
          </w:tcPr>
          <w:p>
            <w:pPr>
              <w:spacing w:after="0"/>
              <w:rPr>
                <w:sz w:val="20"/>
                <w:szCs w:val="20"/>
                <w:color w:val="auto"/>
              </w:rPr>
            </w:pPr>
            <w:r>
              <w:rPr>
                <w:rFonts w:ascii="Arial" w:cs="Arial" w:eastAsia="Arial" w:hAnsi="Arial"/>
                <w:sz w:val="18"/>
                <w:szCs w:val="18"/>
                <w:color w:val="auto"/>
              </w:rPr>
              <w:t>Deferred rent, current portion (2)</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rent, net of current portion (2)</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7,224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0" w:type="dxa"/>
            <w:vAlign w:val="bottom"/>
            <w:gridSpan w:val="3"/>
          </w:tcPr>
          <w:p>
            <w:pPr>
              <w:spacing w:after="0"/>
              <w:rPr>
                <w:sz w:val="20"/>
                <w:szCs w:val="20"/>
                <w:color w:val="auto"/>
              </w:rPr>
            </w:pPr>
            <w:r>
              <w:rPr>
                <w:rFonts w:ascii="Arial" w:cs="Arial" w:eastAsia="Arial" w:hAnsi="Arial"/>
                <w:sz w:val="18"/>
                <w:szCs w:val="18"/>
                <w:color w:val="auto"/>
              </w:rPr>
              <w:t>Current portion of operating lease liability (3)</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9"/>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operating lease liability (3)</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20,495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20,495</w:t>
            </w: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300" w:type="dxa"/>
            <w:vAlign w:val="bottom"/>
            <w:vMerge w:val="restart"/>
          </w:tcPr>
          <w:p>
            <w:pPr>
              <w:spacing w:after="0"/>
              <w:rPr>
                <w:sz w:val="20"/>
                <w:szCs w:val="20"/>
                <w:color w:val="auto"/>
              </w:rPr>
            </w:pPr>
            <w:r>
              <w:rPr>
                <w:rFonts w:ascii="Arial" w:cs="Arial" w:eastAsia="Arial" w:hAnsi="Arial"/>
                <w:sz w:val="18"/>
                <w:szCs w:val="18"/>
                <w:color w:val="auto"/>
              </w:rPr>
              <w:t>recognition of operating lease right-of-use assets.</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1140" w:type="dxa"/>
            <w:vAlign w:val="bottom"/>
          </w:tcPr>
          <w:p>
            <w:pPr>
              <w:ind w:left="140"/>
              <w:spacing w:after="0" w:line="195" w:lineRule="exact"/>
              <w:rPr>
                <w:sz w:val="20"/>
                <w:szCs w:val="20"/>
                <w:color w:val="auto"/>
              </w:rPr>
            </w:pPr>
            <w:r>
              <w:rPr>
                <w:rFonts w:ascii="Arial" w:cs="Arial" w:eastAsia="Arial" w:hAnsi="Arial"/>
                <w:sz w:val="18"/>
                <w:szCs w:val="18"/>
                <w:color w:val="auto"/>
              </w:rPr>
              <w:t>Represents</w:t>
            </w:r>
          </w:p>
        </w:tc>
        <w:tc>
          <w:tcPr>
            <w:tcW w:w="43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rPr>
              <w:t>Represents reclassification of deferred rent to operating lease.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5440" w:type="dxa"/>
            <w:vAlign w:val="bottom"/>
            <w:gridSpan w:val="2"/>
          </w:tcPr>
          <w:p>
            <w:pPr>
              <w:ind w:left="140"/>
              <w:spacing w:after="0"/>
              <w:rPr>
                <w:sz w:val="20"/>
                <w:szCs w:val="20"/>
                <w:color w:val="auto"/>
              </w:rPr>
            </w:pPr>
            <w:r>
              <w:rPr>
                <w:rFonts w:ascii="Arial" w:cs="Arial" w:eastAsia="Arial" w:hAnsi="Arial"/>
                <w:sz w:val="18"/>
                <w:szCs w:val="18"/>
                <w:color w:val="auto"/>
              </w:rPr>
              <w:t>Represents recognition of operating lease liabilities.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adoption of ASC 842 did not have a material effect on the Company’s consolidated statements of operations and other comprehensive loss, consolidated statements of redeemable convertible preferred stock and stockholders’ deficit or consolidated statements of cash flows. The Company will continue to report financial information for fiscal years ended before December 31, 2018 under ASC 840.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recognizes revenue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or, collectively, ASC 606.</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distinct in the context of the contract. If these criteria are not met, the promised goods and services are accounted for as a combined performance obligation.</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1" w:name="page152"/>
    <w:bookmarkEnd w:id="151"/>
    <w:p>
      <w:pPr>
        <w:ind w:right="20"/>
        <w:spacing w:after="0" w:line="263" w:lineRule="auto"/>
        <w:rPr>
          <w:sz w:val="20"/>
          <w:szCs w:val="20"/>
          <w:color w:val="auto"/>
        </w:rPr>
      </w:pPr>
      <w:r>
        <w:rPr>
          <w:rFonts w:ascii="Arial" w:cs="Arial" w:eastAsia="Arial" w:hAnsi="Arial"/>
          <w:sz w:val="18"/>
          <w:szCs w:val="18"/>
          <w:color w:val="auto"/>
        </w:rPr>
        <w:t>performance obligation or to a distinct service that forms part of a single performance obligation. The consideration to be received is allocated among the separate performance obligations based on relative standalone selling prices. The Company typically determines standalone selling prices using an adjusted market assessment approach model.</w:t>
      </w:r>
    </w:p>
    <w:p>
      <w:pPr>
        <w:spacing w:after="0" w:line="7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5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See Note 9,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 for a discussion of Beam’s license agreement with Verve Therapeutics, Inc., or Verve.</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Milestone payments: At the inception of each arrangement that includes development or regulatory milestone payments, the Company evaluates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the Company has not recognized any milestone revenue resulting from any of its agreements.</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not recognized any royalty revenue resulting from any of its agreements.</w:t>
      </w:r>
    </w:p>
    <w:p>
      <w:pPr>
        <w:spacing w:after="0" w:line="7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Jumpstart Our Business Startups Act of 2012 permits an emerging growth company to take advantage of an extended transition period to comply with new or revised accounting standards applicable to public companies until those standards would otherwise apply to private companies. As an emerging growth company, the Company has elected to not to “opt out” of such extended transition period.</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or ASU 2016-13. The FASB has subsequently issued amendments to ASU 2016-13, which will be effective for the Company on January 1, 2022. This guidance requires that credit losses be reported using an expected losses model rather than the incurred losses model that is currently used, and establishes additional disclosures related to credit risks. For available-for-sale securities with unrealized losses, these standards now require allowances to be recorded instead of reducing the amortized cost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investment. The adoption of ASU 2016-13 is not expected to have a material effect on the Company’s consolidated financial statements or disclosures.</w:t>
      </w:r>
    </w:p>
    <w:p>
      <w:pPr>
        <w:spacing w:after="0" w:line="14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or ASC 808, which clarifies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ASC 808 will be effective for the Company in the first quarter of fiscal 2021, with early adoption permitted. A retrospective adoption to the date the Company adopted ASC 606 is required by recognizing a cumulative-effect adjustment to the opening balance or retained earnings of the earliest period presented. The Company is currently evaluating the impact of the adoption of this standard on its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at December 31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12,653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10,262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Lab equipment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12,029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6,313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4"/>
        </w:trPr>
        <w:tc>
          <w:tcPr>
            <w:tcW w:w="7720" w:type="dxa"/>
            <w:vAlign w:val="bottom"/>
          </w:tcPr>
          <w:p>
            <w:pPr>
              <w:ind w:left="260"/>
              <w:spacing w:after="0"/>
              <w:rPr>
                <w:sz w:val="20"/>
                <w:szCs w:val="20"/>
                <w:color w:val="auto"/>
              </w:rPr>
            </w:pPr>
            <w:r>
              <w:rPr>
                <w:rFonts w:ascii="Arial" w:cs="Arial" w:eastAsia="Arial" w:hAnsi="Arial"/>
                <w:sz w:val="18"/>
                <w:szCs w:val="18"/>
                <w:color w:val="auto"/>
              </w:rPr>
              <w:t>Total property and equipment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28,454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17,605</w:t>
            </w:r>
          </w:p>
        </w:tc>
      </w:tr>
      <w:tr>
        <w:trPr>
          <w:trHeight w:val="134"/>
        </w:trPr>
        <w:tc>
          <w:tcPr>
            <w:tcW w:w="7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24,290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16,944</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2019 and 2018 was $3.5 million, and $0.7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financial instruments that are measured at fair value on a recurring basis consist of cash equivalents, marketable securities and success payment derivative liabilities pursuant to the Harvard License Agreement and the Broad License Agreement.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1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5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4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6,172</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gridSpan w:val="3"/>
          </w:tcPr>
          <w:p>
            <w:pPr>
              <w:ind w:left="380"/>
              <w:spacing w:after="0"/>
              <w:rPr>
                <w:sz w:val="20"/>
                <w:szCs w:val="20"/>
                <w:color w:val="auto"/>
              </w:rPr>
            </w:pPr>
            <w:r>
              <w:rPr>
                <w:rFonts w:ascii="Arial" w:cs="Arial" w:eastAsia="Arial" w:hAnsi="Arial"/>
                <w:sz w:val="18"/>
                <w:szCs w:val="18"/>
                <w:color w:val="auto"/>
              </w:rPr>
              <w:t>Commercial paper</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3"/>
          </w:tcPr>
          <w:p>
            <w:pPr>
              <w:ind w:left="380"/>
              <w:spacing w:after="0"/>
              <w:rPr>
                <w:sz w:val="20"/>
                <w:szCs w:val="20"/>
                <w:color w:val="auto"/>
              </w:rPr>
            </w:pPr>
            <w:r>
              <w:rPr>
                <w:rFonts w:ascii="Arial" w:cs="Arial" w:eastAsia="Arial" w:hAnsi="Arial"/>
                <w:sz w:val="18"/>
                <w:szCs w:val="18"/>
                <w:color w:val="auto"/>
              </w:rPr>
              <w:t>Commercial paper</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Corporate notes</w:t>
            </w:r>
          </w:p>
        </w:tc>
        <w:tc>
          <w:tcPr>
            <w:tcW w:w="1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58,613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7"/>
              </w:rPr>
              <w:t>Liabilities</w:t>
            </w:r>
          </w:p>
        </w:tc>
        <w:tc>
          <w:tcPr>
            <w:tcW w:w="29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Success payment liability</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2018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1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6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80,093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80,093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80,093</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80,093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80,093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80,093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Success payment liabilities</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ind w:left="260"/>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F-15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53" w:name="page154"/>
    <w:bookmarkEnd w:id="153"/>
    <w:p>
      <w:pPr>
        <w:ind w:right="280"/>
        <w:spacing w:after="0" w:line="258"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Cash equivalents as of December 31, 2019 and 2018 includes $6.2 and $80.1 million of money market funds, which are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Level 1 of the fair value hierarchy because they are valued using quoted market prices in active markets. In addition to money market funds, cash equivalents as of December 31, 2019 included $4.0 million of commercial paper, which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 The Company measures its marketable securities at fair value on a recurring basis and classify those instruments within Level 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hierarchy.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Success Payment Liability </w:t>
      </w:r>
      <w:r>
        <w:rPr>
          <w:rFonts w:ascii="Arial" w:cs="Arial" w:eastAsia="Arial" w:hAnsi="Arial"/>
          <w:sz w:val="18"/>
          <w:szCs w:val="18"/>
          <w:color w:val="auto"/>
        </w:rPr>
        <w:t>– The Company is required to make payments to Harvard and Broad Institute based upon increases in the per share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value of the Company’s Series A Preferred at specified future dates, which is further discussed in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success payment liability at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2018</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 Preferred (per share)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2.34</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0.10–8.01</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1.20–9.00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Harvard success payment liability at December 31, 2019 and 2018 was $3.9 million and $1.2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variables were incorporated in the calculation of the estimated fair value of the Broad Institute success payment liability at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2018</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 Preferred (per share)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2.34</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0.10–8.01</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1.20–9.00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Broad Institute success payment liability at December 31, 2019 and 2018 was $3.9 million and $1.2 million, respectively.</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fair value of the Series A Preferred was determined by management with the assistance of an independent third-party specialist. 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reconciliations of changes in the fair value of financial instruments based on Level 3 inputs for years ended December 31, 2019 and 2018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Anti-</w:t>
            </w:r>
          </w:p>
        </w:tc>
        <w:tc>
          <w:tcPr>
            <w:tcW w:w="160" w:type="dxa"/>
            <w:vAlign w:val="bottom"/>
          </w:tcPr>
          <w:p>
            <w:pPr>
              <w:spacing w:after="0"/>
              <w:rPr>
                <w:sz w:val="14"/>
                <w:szCs w:val="14"/>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dilution</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0"/>
              </w:rPr>
              <w:t>Success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Tranche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issuance</w:t>
            </w:r>
          </w:p>
        </w:tc>
        <w:tc>
          <w:tcPr>
            <w:tcW w:w="16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milestone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right</w:t>
            </w:r>
          </w:p>
        </w:tc>
        <w:tc>
          <w:tcPr>
            <w:tcW w:w="1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payment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payment</w:t>
            </w:r>
          </w:p>
        </w:tc>
        <w:tc>
          <w:tcPr>
            <w:tcW w:w="220" w:type="dxa"/>
            <w:vAlign w:val="bottom"/>
          </w:tcPr>
          <w:p>
            <w:pPr>
              <w:spacing w:after="0"/>
              <w:rPr>
                <w:sz w:val="12"/>
                <w:szCs w:val="12"/>
                <w:color w:val="auto"/>
              </w:rPr>
            </w:pPr>
          </w:p>
        </w:tc>
        <w:tc>
          <w:tcPr>
            <w:tcW w:w="9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liability</w:t>
            </w:r>
          </w:p>
        </w:tc>
        <w:tc>
          <w:tcPr>
            <w:tcW w:w="1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liability</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3,500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Fair value at issuance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Series A Preferred</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60"/>
              <w:spacing w:after="0"/>
              <w:rPr>
                <w:sz w:val="20"/>
                <w:szCs w:val="20"/>
                <w:color w:val="auto"/>
              </w:rPr>
            </w:pPr>
            <w:r>
              <w:rPr>
                <w:rFonts w:ascii="Arial" w:cs="Arial" w:eastAsia="Arial" w:hAnsi="Arial"/>
                <w:sz w:val="18"/>
                <w:szCs w:val="18"/>
                <w:color w:val="auto"/>
              </w:rPr>
              <w:t>Reclassification to financing milestone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80"/>
              <w:spacing w:after="0"/>
              <w:rPr>
                <w:sz w:val="20"/>
                <w:szCs w:val="20"/>
                <w:color w:val="auto"/>
              </w:rPr>
            </w:pPr>
            <w:r>
              <w:rPr>
                <w:rFonts w:ascii="Arial" w:cs="Arial" w:eastAsia="Arial" w:hAnsi="Arial"/>
                <w:sz w:val="18"/>
                <w:szCs w:val="18"/>
                <w:color w:val="auto"/>
              </w:rPr>
              <w:t>payable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w:t>
            </w:r>
          </w:p>
        </w:tc>
        <w:tc>
          <w:tcPr>
            <w:tcW w:w="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4,325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9,700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2018</w:t>
            </w:r>
          </w:p>
        </w:tc>
        <w:tc>
          <w:tcPr>
            <w:tcW w:w="7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w:t>
            </w:r>
          </w:p>
        </w:tc>
        <w:tc>
          <w:tcPr>
            <w:tcW w:w="7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33"/>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2019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36,875</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14</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17,736</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54,611</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16</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December 31, 2018.</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amortized cost of marketable securities is adjusted for amortization of premiums and accretion of discounts to maturity. At December 31, 2019, the balance in accumulated other comprehensive income was comprised solely of activity related to marketable securities. There were no realized gains or losses recognized on the sale or maturity of marketable securities for the year ended December 31, 2019 and, as a result, the Company did not reclassify any amounts out of accumulated other comprehensive income for the same period.</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determined it did not hold any investments with any other-than-temporary impairment as of December 31, 2019. The contractual maturity date of all the investments are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at December 31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related benefits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3,531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954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Professional fees</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673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costs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1,548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66</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7,852</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1,734</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February 2018, the Company signed a noncancelable lease for 38,203 square feet of office and laboratory space in Cambridge, Massachusetts. The lease commenced in March 2018 and has a 10.6-year term. The Company has an option to extend the lease for one five-year term. The lease is subject to fixed rate escalation increases and the landlord waived the Company’s rent obligation for the first seven months of the lease, having an initial value of</w:t>
      </w:r>
    </w:p>
    <w:p>
      <w:pPr>
        <w:spacing w:after="0" w:line="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$1.7 million. The landlord also agreed to fund up to $6.1 million in tenant improvements. The Company recorded the tenant improvements as leasehold improvements and deferred rent on the December 31, 2018 consolidated balance sheet. With the adoption of ASC 842, the Company has recorded an operating lease right-of-use asset and corresponding lease liability. The operating lease right-of-use asset and corresponding lease liability do not include the additional five-year period under the option as management does not believe there is reasonable certainty the Company will exercise the option.</w:t>
      </w:r>
    </w:p>
    <w:p>
      <w:pPr>
        <w:spacing w:after="0" w:line="5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October 2018, the Company entered into a lease agreement for laboratory space in Cambridge, Massachusetts. The agreement is subject to fixed rate escalations. The lease commenced on April 1, 2019 and has a two-year term. The Company recognized an operating lease right-of-use asset and corresponding lease liability of $2.1 million upon commencement of this lease.</w:t>
      </w:r>
    </w:p>
    <w:p>
      <w:pPr>
        <w:spacing w:after="0" w:line="7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In June and July 2019, the Company entered into lease agreements for additional laboratory and office space in Cambridge, Massachusetts. The leases commenced in October 2019 and expire on December 31, 2021. The leases are subject to fixed rate escalations. The Company recognized an operating lease right-of-use asset of $4.1 million and a lease liability of $3.7 million upon commencement of these leases.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and assessed the following estimates in recognizing the operating lease right-of-use asset and corresponding liability:</w:t>
      </w:r>
    </w:p>
    <w:p>
      <w:pPr>
        <w:spacing w:after="0" w:line="237" w:lineRule="exact"/>
        <w:rPr>
          <w:sz w:val="20"/>
          <w:szCs w:val="20"/>
          <w:color w:val="auto"/>
        </w:rPr>
      </w:pPr>
    </w:p>
    <w:p>
      <w:pPr>
        <w:ind w:left="740" w:right="160" w:hanging="368"/>
        <w:spacing w:after="0" w:line="279" w:lineRule="auto"/>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Expected lease term: The expected lease term for those leases commencing prior to January 1, 2019 did not change with the adoption of ASC 842. The expected lease term for leases commencing after the adoption of ASC 842 includes noncancelable lease periods and, when applicable, periods covered by an option to extend the lease if the Company is reasonably certain to exercise that option, as well as periods covered by an option to terminate the lease if Beam is reasonably certain not to exercise that option.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5" w:name="page156"/>
    <w:bookmarkEnd w:id="155"/>
    <w:p>
      <w:pPr>
        <w:ind w:left="740" w:right="60" w:hanging="368"/>
        <w:spacing w:after="0" w:line="342" w:lineRule="auto"/>
        <w:tabs>
          <w:tab w:leader="none" w:pos="7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Incremental borrowing rate: As the discount rates in the Company’s lease are not implicit, management estimated the incremental borrowing rate based on the rate of interest the Company would have to pay to borrow a similar amount on a collateralized basis over a similar term.</w:t>
      </w:r>
    </w:p>
    <w:p>
      <w:pPr>
        <w:spacing w:after="0" w:line="123" w:lineRule="exact"/>
        <w:rPr>
          <w:rFonts w:ascii="Arial" w:cs="Arial" w:eastAsia="Arial" w:hAnsi="Arial"/>
          <w:sz w:val="16"/>
          <w:szCs w:val="16"/>
          <w:color w:val="auto"/>
        </w:rPr>
      </w:pPr>
    </w:p>
    <w:p>
      <w:pPr>
        <w:ind w:left="740" w:right="120" w:hanging="368"/>
        <w:spacing w:after="0" w:line="279" w:lineRule="auto"/>
        <w:tabs>
          <w:tab w:leader="none" w:pos="7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Lease and non-lease components: 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operating lease costs included in research and development and general and administrative expense, as well as sublease income for the year ended December 31, 2019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08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29"/>
        </w:trPr>
        <w:tc>
          <w:tcPr>
            <w:tcW w:w="7800" w:type="dxa"/>
            <w:vAlign w:val="bottom"/>
          </w:tcPr>
          <w:p>
            <w:pPr>
              <w:spacing w:after="0"/>
              <w:rPr>
                <w:sz w:val="20"/>
                <w:szCs w:val="20"/>
                <w:color w:val="auto"/>
              </w:rPr>
            </w:pPr>
            <w:r>
              <w:rPr>
                <w:rFonts w:ascii="Arial" w:cs="Arial" w:eastAsia="Arial" w:hAnsi="Arial"/>
                <w:sz w:val="18"/>
                <w:szCs w:val="18"/>
                <w:color w:val="auto"/>
              </w:rPr>
              <w:t>Variable lease costs</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1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income</w:t>
            </w:r>
          </w:p>
        </w:tc>
        <w:tc>
          <w:tcPr>
            <w:tcW w:w="14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lease cost</w:t>
            </w:r>
          </w:p>
        </w:tc>
        <w:tc>
          <w:tcPr>
            <w:tcW w:w="14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The following table summarizes the lease term and discount rate at December 31, 2019:</w:t>
            </w:r>
          </w:p>
        </w:tc>
        <w:tc>
          <w:tcPr>
            <w:tcW w:w="1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7.4 years</w:t>
            </w:r>
          </w:p>
        </w:tc>
        <w:tc>
          <w:tcPr>
            <w:tcW w:w="0" w:type="dxa"/>
            <w:vAlign w:val="bottom"/>
          </w:tcPr>
          <w:p>
            <w:pPr>
              <w:spacing w:after="0"/>
              <w:rPr>
                <w:sz w:val="1"/>
                <w:szCs w:val="1"/>
                <w:color w:val="auto"/>
              </w:rPr>
            </w:pPr>
          </w:p>
        </w:tc>
      </w:tr>
      <w:tr>
        <w:trPr>
          <w:trHeight w:val="22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the cash paid for amounts included in the measurement of lease liabilities for the year ended December 31, 2019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used for operating leases</w:t>
            </w:r>
          </w:p>
        </w:tc>
        <w:tc>
          <w:tcPr>
            <w:tcW w:w="296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4,950</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9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6,221</w:t>
            </w:r>
          </w:p>
        </w:tc>
      </w:tr>
    </w:tbl>
    <w:p>
      <w:pPr>
        <w:spacing w:after="0" w:line="9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At December 31, 2019, the future minimum lease payments for the Company’s facility operating leases for each of the years ending December 31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22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6,528</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5,306</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2023</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3,379</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3,480</w:t>
            </w: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5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13,996</w:t>
            </w: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Undiscounted lease payments</w:t>
            </w: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35,985</w:t>
            </w:r>
          </w:p>
        </w:tc>
      </w:tr>
      <w:tr>
        <w:trPr>
          <w:trHeight w:val="365"/>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352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(10,461)</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5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25,524</w:t>
            </w:r>
          </w:p>
        </w:tc>
      </w:tr>
      <w:tr>
        <w:trPr>
          <w:trHeight w:val="20"/>
        </w:trPr>
        <w:tc>
          <w:tcPr>
            <w:tcW w:w="5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December 31, 2018, prior to the adoption of ASC 842, the future minimum lease payments for Beam’s facility operating leases for each of the years ending December 31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22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3,699</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2020</w:t>
            </w:r>
          </w:p>
        </w:tc>
        <w:tc>
          <w:tcPr>
            <w:tcW w:w="3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3,954</w:t>
            </w: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5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3,413</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2022</w:t>
            </w:r>
          </w:p>
        </w:tc>
        <w:tc>
          <w:tcPr>
            <w:tcW w:w="3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3,281</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3,379</w:t>
            </w: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5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17,476</w:t>
            </w:r>
          </w:p>
        </w:tc>
      </w:tr>
      <w:tr>
        <w:trPr>
          <w:trHeight w:val="223"/>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35,202</w:t>
            </w:r>
          </w:p>
        </w:tc>
      </w:tr>
      <w:tr>
        <w:trPr>
          <w:trHeight w:val="20"/>
        </w:trPr>
        <w:tc>
          <w:tcPr>
            <w:tcW w:w="5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2019 and 2018, was $4.1 million, and $3.1 million, respectively.</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April 2019, the Company entered into a noncancelable lease agreement with Massachusetts Institute of Technology, or MIT, for 123,209 square feet of laboratory and office space to be built in Cambridge, Massachusetts. The leased space will be divided into two phases; phase one consisting of 92,554 square feet, and phase two consisting of 30,655 square feet. Monthly rent of $0.7 million for phase one will commence on the date which the phase one space is delivered to the Company, which is currently estimated to occur at the earliest in late 2021. Monthly rent of $0.3 million for phase two will commence four months after the date which the phase two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6" w:name="page157"/>
    <w:bookmarkEnd w:id="156"/>
    <w:p>
      <w:pPr>
        <w:ind w:right="200"/>
        <w:spacing w:after="0" w:line="293" w:lineRule="auto"/>
        <w:rPr>
          <w:sz w:val="20"/>
          <w:szCs w:val="20"/>
          <w:color w:val="auto"/>
        </w:rPr>
      </w:pPr>
      <w:r>
        <w:rPr>
          <w:rFonts w:ascii="Arial" w:cs="Arial" w:eastAsia="Arial" w:hAnsi="Arial"/>
          <w:sz w:val="16"/>
          <w:szCs w:val="16"/>
          <w:color w:val="auto"/>
        </w:rPr>
        <w:t>space is delivered to the Company, which is currently estimated to occur at the earliest in first half of 2023. The lease is subject to fixed rate escalation increases over the term of the lease. The lease expires 12 years from the phase two commencement date, and the Company has the option to extend the lease for two terms of 5 years each. The landlord has agreed to fund up to $23.4 million of tenant improvements. Upon executing the lease, the Company made a security deposit of $11.8 million in the form of a letter of credit, which is included in restricted cash as of December 31, 2019. As the commencement date of this lease has not occurred as of December 31, 2019, no operating lease ROU asset or lease liability has been recorded in the accompanying consolidated balance sheets. The total amount of anticipated undiscounted lease payments due under the MIT lease is $168.7 million.</w:t>
      </w:r>
    </w:p>
    <w:p>
      <w:pPr>
        <w:spacing w:after="0" w:line="56"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March 2020, the Company entered into an amendment of its October 2018 lease agreement for laboratory space in Cambridge, Massachusetts. The amended lease commenced in March 2020 and will expire on March 31, 2023. The lease provides an option to extend the lease for an additional year through March 31, 2024, which was determined by the Company to be probable of being exercised. As the commencement date of the leases has not occurred at December 31, 2019, no operating lease ROU asset or lease liability has been recorded in the accompanying condensed consolidated balance sheets for this amendment. The incremental increase in total amount of undiscounted lease payments as a result of the amended lease is approximately $4.8 million, which includes lease payments for the additional year under the option provided within the lease.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July 2019, the Company sold certain equipment to a leasing company for a total of $3.8 million. Contemporaneous with the closing of the sale, the Company entered into a lease agreement with the leasing company with a term of four years pursuant to which the Company leased back the equipment for annual rent of $1.0 million.</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October 2019, the Company sold additional equipment to the leasing company for a total of $2.4 million and, concurrently, entered into a lease agreement with the leasing company with a term of four years to lease back the equipment. The annual rent for the additional leased back equipment is $0.7 million.</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equipment leases are being accounted for as financings as the lease terms are for substantially all the remaining economic life of the underlying equipment. Management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a financing liabilities.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future minimum payments related to the equipment financing obligations at December 31, 2019, for each of the years ending December 31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1,742</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1,742</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6,318</w:t>
            </w:r>
          </w:p>
        </w:tc>
      </w:tr>
      <w:tr>
        <w:trPr>
          <w:trHeight w:val="365"/>
        </w:trPr>
        <w:tc>
          <w:tcPr>
            <w:tcW w:w="9260" w:type="dxa"/>
            <w:vAlign w:val="bottom"/>
          </w:tcPr>
          <w:p>
            <w:pPr>
              <w:spacing w:after="0"/>
              <w:rPr>
                <w:sz w:val="20"/>
                <w:szCs w:val="20"/>
                <w:color w:val="auto"/>
              </w:rPr>
            </w:pPr>
            <w:r>
              <w:rPr>
                <w:rFonts w:ascii="Arial" w:cs="Arial" w:eastAsia="Arial" w:hAnsi="Arial"/>
                <w:sz w:val="18"/>
                <w:szCs w:val="18"/>
                <w:color w:val="auto"/>
              </w:rPr>
              <w:t>Less: amounts representing interest at 8.56%</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Financing obligations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5,714</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Total paydown of principal and interest expense related to the equipment financing obligations were $0.5 million and $0.1 million, respectively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license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2017, the Company entered into a license agreement with Harvard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partial consideration for the rights granted under the Harvard License Agreement, the Company issued to Harvard 101,363 shares of the Company’s common stock. Additional consideration under the Harvard License Agreement is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7" w:name="page158"/>
    <w:bookmarkEnd w:id="157"/>
    <w:p>
      <w:pPr>
        <w:ind w:right="280"/>
        <w:spacing w:after="0" w:line="303" w:lineRule="auto"/>
        <w:rPr>
          <w:sz w:val="20"/>
          <w:szCs w:val="20"/>
          <w:color w:val="auto"/>
        </w:rPr>
      </w:pPr>
      <w:r>
        <w:rPr>
          <w:rFonts w:ascii="Arial" w:cs="Arial" w:eastAsia="Arial" w:hAnsi="Arial"/>
          <w:sz w:val="16"/>
          <w:szCs w:val="16"/>
          <w:b w:val="1"/>
          <w:bCs w:val="1"/>
          <w:color w:val="auto"/>
        </w:rPr>
        <w:t xml:space="preserve">Anti-Dilution Issuance Right </w:t>
      </w:r>
      <w:r>
        <w:rPr>
          <w:rFonts w:ascii="Arial" w:cs="Arial" w:eastAsia="Arial" w:hAnsi="Arial"/>
          <w:sz w:val="16"/>
          <w:szCs w:val="16"/>
          <w:color w:val="auto"/>
        </w:rPr>
        <w:t>– The initial consideration for the license included shares of common stock, with a fair value of $50,000, subject to anti-dilution provisions until the achievement by the Company of a specified level of equity financing and recorded the cost in research and development expense. In 2018, the equity financing was achieved, and the Company issued 765,549 shares of common stock to Harvard under the anti-dilution provision with a fair value of $0.5 million and recorded other expense of $0.2 million for the remeasurement of the liability upon issuance of the shares.</w:t>
      </w:r>
    </w:p>
    <w:p>
      <w:pPr>
        <w:spacing w:after="0" w:line="4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color w:val="auto"/>
        </w:rPr>
        <w:t xml:space="preserve">Financing Milestone Payments </w:t>
      </w:r>
      <w:r>
        <w:rPr>
          <w:rFonts w:ascii="Arial" w:cs="Arial" w:eastAsia="Arial" w:hAnsi="Arial"/>
          <w:sz w:val="16"/>
          <w:szCs w:val="16"/>
          <w:color w:val="auto"/>
        </w:rPr>
        <w:t>– Financing milestone payments were due to Harvard based on the size of additional rounds of financing,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sales of Series A and Series B Preferred. To the extent the Company raised a minimum of $5.0 million of Series A Preferred and a maximum of</w:t>
      </w:r>
    </w:p>
    <w:p>
      <w:pPr>
        <w:spacing w:after="0" w:line="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$50.0 million of Series A Preferred, the Company was obligated to pay Harvard between $0.5 million and $3.0 million depending upon the total level of Series A Preferred issued. At inception, the Company recorded $2.4 million of research and development expense related to these payments. In the year ended December 31, 2018, the Company recorded other expense of $0.4 million, for the remeasurement of the liability. At December 31, 2018, all payments related to Series A Preferred financing milestones, which totaled $3.0 million, had been paid to Harvard.</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was also obligated to pay Harvard a milestone payment of up to $6.0 million that was determined based upon a defined formula in the Harvard License Agreement and was dependent upon the issuance price, shares, and proceeds from Series B Preferred raised, among other factors. In 2018, the Company achieved the Series B Preferred financing milestone and recorded the liability at the actual amount due of $6.0 million, which is included in the financing milestone liabilities payable in the consolidated balance sheets at December 31, 2018 and recorded $4.6 million of other expense related to the remeasurement of the liability. During the year ended December 31, 2019, the Company settled the liability in cash.</w:t>
      </w:r>
    </w:p>
    <w:p>
      <w:pPr>
        <w:spacing w:after="0" w:line="6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 xml:space="preserve">Success Payments </w:t>
      </w:r>
      <w:r>
        <w:rPr>
          <w:rFonts w:ascii="Arial" w:cs="Arial" w:eastAsia="Arial" w:hAnsi="Arial"/>
          <w:sz w:val="17"/>
          <w:szCs w:val="17"/>
          <w:color w:val="auto"/>
        </w:rPr>
        <w:t>– Under the Harvard License Agreement, Harvard is entitled to receive success payments, in cash, determined based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achievement of specified multiples of the initial weighted average value of the Company’s Series A Preferred at specified valuation dates. Subsequent to the February 2020 IPO, the amount of success payments will be based on market value of Beam’s common stock. The success payments range from $5.0 million to a maximum of $105.0 million and have valuation multiples that range from 5 times to 40 times the initial weighted average value of the Series A Preferred. The Company shall make success payments to Harvard during a period of time, or the Harvard Success Payment Period, which has been determined to be the later of (1) the ninth anniversary of the Harvard License Agreement or (2) the earlier of (a) the 12th anniversary of the Harvard License Agreement and (b) the third anniversary of the first date on which a licensed product receives regulatory approval in the United States. During the Harvard Success Payment Period, the Company will perform a valuation on specified dates, as defined in the agreement, with the first measurement occurring in February 2021, one year from the Company’s IPO. In years ended December 31, 2019 and 2018, the Company recorded $2.7 million and $0.3 million, respectively, of other expense related to the remeasurement of the liability. As of December 31, 2019 and 2018, the Company has recorded $3.9 million and $1.2 million, respectively, for the estimated fair value of the success fee derivative liability. As of and for the years ended December 31, 2019 and 2018, no success payments were paid or due.</w:t>
      </w:r>
    </w:p>
    <w:p>
      <w:pPr>
        <w:spacing w:after="0" w:line="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Harvard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concluded that the assets acquired from Harvard did not meet the accounting definition of a business as inputs, but no processes or outputs were acquired with the license. As the inputs that were acquired along with the license do not constitute a “business,” the transaction has been accounted for as an asset acquisition. As of the date of the Harvard License Agreement, the assets acquired had no alternative future use and the assets had not reached a stage of technological feasibility. As a result, all share-based and cash payment obligations have been recorded as research and development expense in the consolidated statement of operations and other comprehensive loss.</w:t>
      </w:r>
    </w:p>
    <w:p>
      <w:pPr>
        <w:spacing w:after="0" w:line="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anti-dilution issuance right, financing milestone payments, and success payments are remeasured at fair value each reporting period with subsequent changes recognized in other income (expense). For the years ended December 31, 2019 and 2018, the Company recorded $2.7 million and $5.5 million, respectively, in other expense for changes in the value of the derivative liabilities. The annual maintenance fees will be recorded as an expense on an annual basis based on the stated amount for the applicable year. Annual patent costs will be expensed as incurred. Upon determination that a Harvard Product Milestone is probable to occur, the amount due will be recorded as research and development expense. The Company will monitor the Harvard Product Milestone payments for this arrangement on an ongoing basis. The achievement of these milestone payments was not considered probable as of the acquisition date, and no expense has been recorded for these milestones in years ended December 31, 2019 and 2018. Lastly, to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8" w:name="page159"/>
    <w:bookmarkEnd w:id="158"/>
    <w:p>
      <w:pPr>
        <w:ind w:right="80"/>
        <w:spacing w:after="0" w:line="277" w:lineRule="auto"/>
        <w:rPr>
          <w:sz w:val="20"/>
          <w:szCs w:val="20"/>
          <w:color w:val="auto"/>
        </w:rPr>
      </w:pPr>
      <w:r>
        <w:rPr>
          <w:rFonts w:ascii="Arial" w:cs="Arial" w:eastAsia="Arial" w:hAnsi="Arial"/>
          <w:sz w:val="18"/>
          <w:szCs w:val="18"/>
          <w:color w:val="auto"/>
        </w:rPr>
        <w:t>extent products are commercialized under the Harvard License Agreement, the Company will accrue royalty expense and sublicense nonroyalty payments, as applicable, for the amount it is obligated to pay, with adjustments as sales are made.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license agreement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May 2018, Blink entered into a license agreement with Broad Institute for certain RNA base editing technology including an RNA editor platform. As discussed in Note 10, </w:t>
      </w:r>
      <w:r>
        <w:rPr>
          <w:rFonts w:ascii="Arial" w:cs="Arial" w:eastAsia="Arial" w:hAnsi="Arial"/>
          <w:sz w:val="18"/>
          <w:szCs w:val="18"/>
          <w:i w:val="1"/>
          <w:iCs w:val="1"/>
          <w:color w:val="auto"/>
        </w:rPr>
        <w:t>Blink Therapeutics</w:t>
      </w:r>
      <w:r>
        <w:rPr>
          <w:rFonts w:ascii="Arial" w:cs="Arial" w:eastAsia="Arial" w:hAnsi="Arial"/>
          <w:sz w:val="18"/>
          <w:szCs w:val="18"/>
          <w:color w:val="auto"/>
        </w:rPr>
        <w:t>, on the same date that Blink entered into the Broad License Agreement, the Company entered into an option agreement to merge with Blink. The Company has consolidated the operations of Blink from May 2018 and through the merger of Blink with Beam in September 2018. The initial Broad License Agreement contemplated the eventual merger of Blink with Beam and the terms and conditions of the Broad License Agreement have been retained by Blink.</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the Broad License Agreement, Broad Institute granted Blink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Blink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partial consideration for the rights granted under the Broad License Agreement, Broad Institute received 1,020,000 shares of Blink’s common stock. These shares issued to Broad Institute were exchanged into 454,920 shares of common stock of Beam in connection with the Blink Merger in September 2018, along with additional shares issued to Broad Institute under the anti-dilution issuance right discussed below. Additional consideration under the Broad License Agreement is as follows: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Anti-Dilution Issuance Right </w:t>
      </w:r>
      <w:r>
        <w:rPr>
          <w:rFonts w:ascii="Arial" w:cs="Arial" w:eastAsia="Arial" w:hAnsi="Arial"/>
          <w:sz w:val="18"/>
          <w:szCs w:val="18"/>
          <w:color w:val="auto"/>
        </w:rPr>
        <w:t>– The initial consideration in exchange for the license included 1,020,000 shares of Blink common stock, with a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$0.1 million, subject to anti-dilution provisions until the achievement of a specified level of equity financing in Blink or a merger of Blink with Beam. At inception, the Company recorded $0.1 million of research and development expense related to these anti-dilution rights. In 2018, upon the closing of additional Blink Series A Preferred financing, Blink issued Broad Institute an additional 920,000 shares of Blink common stock having a fair value of $1.2 million and recorded $1.1 million of other expense related to the remeasurement of the liability. Upon the Blink Merger, Beam issued Broad Institute 865,240 shares of common stock in exchange for 1,940,000 shares of Blink common stock and recorded research and development expense of $2.2 million (see Note 10, </w:t>
      </w:r>
      <w:r>
        <w:rPr>
          <w:rFonts w:ascii="Arial" w:cs="Arial" w:eastAsia="Arial" w:hAnsi="Arial"/>
          <w:sz w:val="18"/>
          <w:szCs w:val="18"/>
          <w:i w:val="1"/>
          <w:iCs w:val="1"/>
          <w:color w:val="auto"/>
        </w:rPr>
        <w:t>Blink Therapeutics</w:t>
      </w:r>
      <w:r>
        <w:rPr>
          <w:rFonts w:ascii="Arial" w:cs="Arial" w:eastAsia="Arial" w:hAnsi="Arial"/>
          <w:sz w:val="18"/>
          <w:szCs w:val="18"/>
          <w:color w:val="auto"/>
        </w:rPr>
        <w:t>).</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Financing Milestone Payments </w:t>
      </w:r>
      <w:r>
        <w:rPr>
          <w:rFonts w:ascii="Arial" w:cs="Arial" w:eastAsia="Arial" w:hAnsi="Arial"/>
          <w:sz w:val="16"/>
          <w:szCs w:val="16"/>
          <w:color w:val="auto"/>
        </w:rPr>
        <w:t>– Financing milestone payments are due to Broad Institute based on the size of additional rounds of Blink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and Series B Preferred or upon the merger of Blink with Beam. To the extent Blink raised a minimum of $5.0 million of Series A Preferred and a maximum of $50.0 million of Series A Preferred, the Company was obligated to pay Broad Institute between $0.5 million and $3.0 million depending upon the total level of Series A Preferred issued. Pursuant to the Broad License Agreement, if the Blink Merger occurred prior to the achievement of any Series A Preferred financing milestone events, then all unpaid Series A Preferred financing milestone payments would be due to Broad Institute. At inception, the Company recorded $2.9 million of research and development expense related to these payments. As described in Note 10, </w:t>
      </w:r>
      <w:r>
        <w:rPr>
          <w:rFonts w:ascii="Arial" w:cs="Arial" w:eastAsia="Arial" w:hAnsi="Arial"/>
          <w:sz w:val="16"/>
          <w:szCs w:val="16"/>
          <w:i w:val="1"/>
          <w:iCs w:val="1"/>
          <w:color w:val="auto"/>
        </w:rPr>
        <w:t>Blink Therapeutics</w:t>
      </w:r>
      <w:r>
        <w:rPr>
          <w:rFonts w:ascii="Arial" w:cs="Arial" w:eastAsia="Arial" w:hAnsi="Arial"/>
          <w:sz w:val="16"/>
          <w:szCs w:val="16"/>
          <w:color w:val="auto"/>
        </w:rPr>
        <w:t>, Blink raised $15.0 million of from the issuance of series A Preferred and upon the Blink Merger in September 2018 the full $3.0 million Series A financing milestone was due to Broad Institute. As of December 31, 2018, the Company had recorded $0.1 million of other expense related to the remeasurement of the liability and had accrued $1.8 million for the remaining unpaid financing milestone liability, which was paid during the year ended December 31, 2019.</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Under the Broad License Agreement, Blink was obligated to pay Broad Institute a milestone payment of up to $6.0 million determined based upon a defined formula in the Broad License Agreement and was dependent upon the issuance price, shares, and proceeds from Series B Preferred raised, among other factors. At inception, the Company recorded $1.4 million of research and development expense related to this payment. Additionally, following the Blink Merger, Blink remained responsible for the Series B Preferred milestone payments based on proceeds received from a Beam issuance of Series B Preferred, up until aggregate payments of $6.0 million are made to Broad Institute. In 2018, the Company achieved the Series B Preferred financing milestones and recorded the liability at the actual amount due of $6.0 million, which is included in the financing milestones liability payable in the consolidated balance sheets at December 31, 2018. In 2018, the Company recorded $4.6 million of other expense related to the remeasurement of the liability. During the year ended December 31, 2019, the Company settled the liability in cash.</w:t>
      </w:r>
    </w:p>
    <w:p>
      <w:pPr>
        <w:spacing w:after="0" w:line="6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Success Payments </w:t>
      </w:r>
      <w:r>
        <w:rPr>
          <w:rFonts w:ascii="Arial" w:cs="Arial" w:eastAsia="Arial" w:hAnsi="Arial"/>
          <w:sz w:val="16"/>
          <w:szCs w:val="16"/>
          <w:color w:val="auto"/>
        </w:rPr>
        <w:t>– Under the Broad License Agreement, Broad Institute is entitled to receive success payments, in cash, determined based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of specified multiples of the initial weighted average value of the Blink Series A Preferred at specified valuation dates. As contemplated in the original Broad License Agreement, the success payment obligation is retained by Beam upon completion of the Blink Merger. Subsequent to the February 2020 IPO, the amount of success payments will be based on market value of Beam’s common stock. The success payments range from $5.0 million to a maximum of $105.0 million and have valuation multiples that range from 5 times to 40 times the initial weighted average value of the Blink Series A Preferred. The Company is required to make success payments to Broad Institute during a period of time, or the Broad Success Payment Period, which has been determined to be the earliest of (1) the twelfth anniversary of the Broad License Agreement or (2) the third anniversary of the first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9" w:name="page160"/>
    <w:bookmarkEnd w:id="159"/>
    <w:p>
      <w:pPr>
        <w:ind w:right="80"/>
        <w:spacing w:after="0" w:line="273" w:lineRule="auto"/>
        <w:rPr>
          <w:sz w:val="20"/>
          <w:szCs w:val="20"/>
          <w:color w:val="auto"/>
        </w:rPr>
      </w:pPr>
      <w:r>
        <w:rPr>
          <w:rFonts w:ascii="Arial" w:cs="Arial" w:eastAsia="Arial" w:hAnsi="Arial"/>
          <w:sz w:val="17"/>
          <w:szCs w:val="17"/>
          <w:color w:val="auto"/>
        </w:rPr>
        <w:t>on which a licensed product receives regulatory approval in the United States. During the Broad Success Payment Period, the Company will perform a valuation on specified dates, as defined in the agreement, with the first measurement occurring in February 2021, one year from the Company’s IPO. At inception, the Company recorded $0.8 million of research and development expense related to these payments. During the years ended December 31, 2019 and 2018, the Company recorded $2.7 million and $0.4 million of other expense related to the remeasurement of this liability. As of December 31, 2019 and 2018, the Company has recorded $3.9 million and $1.2 million, respectively, for the estimated fair value of a success fee derivative liability. As of and for the period ended December 31, 2019 and 2018, no success payments were paid or payable to Broad Institute.</w:t>
      </w: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Broad Institute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(“Broad Product Milestones”). Excluding the Blink merger,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concluded that the assets acquired from Broad Institute did not meet the accounting definition of a business as inputs, but no processes or outputs were acquired with the license. As the inputs that were acquired along with the license do not constitute a “business,” the transaction has been accounted for as an asset acquisition. As of the date of the Broad License Agreement, the assets acquired had no alternative future use and the assets had not reached a stage of technological feasibility. As a result, all share-based and cash payment obligations have been recorded as research and development expense in the consolidated statement of operations and other comprehensive loss.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inception of the agreement, the Company recognized approximately $5.3 million as research and development expense which includes the fair value of Blink common stock issued to Broad Institute, along with the initial fair values of the anti-dilution issuance right, financing milestone payments (including the achievement of the first Series A financing milestone payment), and success payments. The anti-dilution issuance right, financing milestone payments, and success payments are remeasured at fair value at each reporting period with subsequent changes recognized in other income (expense). For the years ended December 31, 2019 and 2018, the Company recorded $2.7 million and $6.2 million, respectively, in other expense for changes in the value of the derivative liabilities. The annual maintenance fees will be recorded as an expense on an annual basis based on the stated amount for the applicable year. Annual patent costs will be expensed as incurred. Upon determination that a Product Milestone is probable to occur, the amount due will be recorded as research and development expense. The Company will monitor the Product Milestone payments for this arrangement on an ongoing basis. The triggering of these milestone payments was not considered probable as of the acquisition date, and no expense has been recorded for these milestones during the years ended December 31, 2019 and 2018. Lastly, to the extent products are commercialized under the Broad License Agreement, the Company will accrue royalty expense and sublicense nonroyalty payments, as applicable, for the amount it is obligated to pay, with adjustments as sales are made.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Editas license agreement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6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consideration for the license and option rights granted by Editas, the Company paid a nominal one-time, nonrefundable, non-creditable upfront cash payment of $180,000. The Company also issued non-cash consideration, consisting of 1,833,333 shares of the Company’s Series A-1 Preferred and 1,222,222 shares of the Company’s A-2 Preferred, having an aggregate fair value of approximately $3.7 million. Both the one-time cash payment and the fair value of the preferred stock issued to Editas were recorded as research and development expense in the consolidated statements of operations. Additional consideration will be due to Editas if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0" w:name="page161"/>
    <w:bookmarkEnd w:id="160"/>
    <w:p>
      <w:pPr>
        <w:ind w:right="60"/>
        <w:spacing w:after="0" w:line="289" w:lineRule="auto"/>
        <w:rPr>
          <w:sz w:val="20"/>
          <w:szCs w:val="20"/>
          <w:color w:val="auto"/>
        </w:rPr>
      </w:pPr>
      <w:r>
        <w:rPr>
          <w:rFonts w:ascii="Arial" w:cs="Arial" w:eastAsia="Arial" w:hAnsi="Arial"/>
          <w:sz w:val="16"/>
          <w:szCs w:val="16"/>
          <w:color w:val="auto"/>
        </w:rPr>
        <w:t>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Editas License Agreement in its entirety or on a group-by-group of intellectual property basis, upon ninety days written notice to Editas. Upon termination of the Editas License Agreement, all rights and licenses granted by the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6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Company concluded that the assets acquired from Editas did not meet the accounting definition of a business as inputs, but no processes or outputs were acquired with the license, and the licensed technology had not achieved technological feasibility. As the inputs that were acquired along with the license do not constitute a “business,” the transaction has been accounted for as an asset acquisition. As of the date of the Editas License Agreement, the assets acquired had no alternative future use and the assets had not reached a stage of technological feasibility. As a result, all share-based and cash payment obligations have been recorded as research and development expense in the consolidated statements of operations.</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option exercise fees under the agreement will be recorded as research and development expense, if and when the Company exercises such options. To date, no options have been exercised. The annual maintenance fees will be recorded as an expense on an annual basis based on the stated amount for the applicable year. Annual patent costs will be expensed as incurred. In addition, the Company is required to make certain development, regulatory and commercial milestone payments to Editas upon the achievement of specified milestone. The triggering of these milestone payments was not considered probable as of the acquisition date, and no expense has been recorded for these milestones during the years ended December 31, 2019 and 2018. To the extent applicable, sublicense income payments will be accrued for the amount the Company is obligated to pay under each applicable in-license as amounts are due Editas. Lastly, to the extent products are commercialized under the Editas License agreement, the Company will accrue royalty expense for the amount it is obligated to pay, with adjustments as sales are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 Palette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2019, the Company entered into a license agreement with Bio Palette Co., Ltd., or Bio Palette, pursuant to which Beam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(the “Bio Palette License Agreement”). In addition, the Company granted Bio Palette an exclusive (even as to Beam)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the execution of the Bio Palette License Agreement, the Company paid Bio Palette an upfront fee of $0.5 million and issued to Bio Palette 16,725 shares of its common stock valued at $0.1 million. If a certain Bio Palette patent is issued in the United States, the Company will pay an additional amount in the low seven figures and will issue to Bio Palette an additional number of shares of its common stock in the five figures. The Company has recorded the $0.6 million of initial consideration within research and development expense. The Company also agreed to pay a royalty at a fraction of a percent on net sales of products that are covered by the patents licensed by Bio Palette to Beam, and Bio Palette agreed to pay a royalty at a fraction of a percent on net sales of products that are covered by the patents licensed by Beam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1" w:name="page162"/>
    <w:bookmarkEnd w:id="161"/>
    <w:p>
      <w:pPr>
        <w:spacing w:after="0" w:line="255" w:lineRule="auto"/>
        <w:rPr>
          <w:sz w:val="20"/>
          <w:szCs w:val="20"/>
          <w:color w:val="auto"/>
        </w:rPr>
      </w:pPr>
      <w:r>
        <w:rPr>
          <w:rFonts w:ascii="Arial" w:cs="Arial" w:eastAsia="Arial" w:hAnsi="Arial"/>
          <w:sz w:val="18"/>
          <w:szCs w:val="18"/>
          <w:color w:val="auto"/>
        </w:rPr>
        <w:t>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Management concluded that the licenses acquired from Bio Palette did not meet the accounting definition of a business as inputs, but no processes or outputs were acquired with the licenses, and the licensed technology had not achieved technological feasibility. As the inputs that were acquired along with the license do not constitute a “business,” the transaction has been accounted as an asset acquisition. As of the date of the Bio Palette License Agreement, the assets acquired had no alternative future use and the assets had not reached a stage of technological feasibility. As a result, all share-based and cash payment obligations have been recorded as research and development expense in the consolidated financial statements.</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extent achieved, the Company is required to make a certain milestone payment to Bio Palette. The triggering of this milestone was not considered probable at the inception of the Bio Palette License Agreement, and no expense has been recorded as of December 31, 2019. To the extent products are commercialized under the Bio Palette License Agreement, the Company will accrue royalty expense for the amount it is obligated to pay, with adjustments as sales are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2019, the Company entered into a Collaboration and License Agreement with Prime Medicine, Inc., or Prime Medicine, to research and develop a novel gene editing technology developed by one of Beam’s founders. Under the terms of the agreement, the Company granted Prime Medicine a non-exclusive license to certain of its CRISPR technology (including Cas12b), delivery technology and certain other technology controlled by Beam to develop and commercialize gene editing products for the treatment of human diseases. Prime Medicine granted the Company an exclusive license to certain gene editing technology controlled by Prime Medicine in certain fields and for certain applications like those the Company was already pursuing with base editing (specifically, the creation and correction of single-base transition mutations as well as the treatment of sickle cell disease). The Company is not currently using the intellectual property licensed from Prime Medicine in any of its current programs, but it is required to use commercially reasonable effort to develop new product candidates using the intellectual property licensed from Prime Medicine. The Company intends to evaluate this gene editing technology in accordance with the agreement and may use this technology in future product candidates.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products that use technology licensed from Prime Medicine, the Company is required to make milestone payments to Prime Medicine upon the achievement of certain clinical, regulatory and commercial events. It is also required to use commercially reasonable efforts to develop and seek regulatory approval for two products that use licensed technology from Prime Medicine in certain specified countries and to commercialize any such product(s) for which approval has been obtained in certain specified countries. Prime Medicine and Beam are each required to use commercially reasonable efforts to conduct the activities for which they are responsible under any development plan(s) under the agreement. Prime Medicine has an option to jointly develop and commercialize, and share expenses and revenue for, certain products that use technology licensed from Prime Medicine in the United States. Royalty payments may become due by either party to the other based on the net sales of commercialized products under the agreement. In addition, certain of the rights licensed under the agreement are sublicensed from third parties, and Beam or Prime Medicine may be required to make certain payments to such third parties to the extent the Beam or Prime Medicine develop and commercialize products under such rights.</w:t>
      </w:r>
    </w:p>
    <w:p>
      <w:pPr>
        <w:spacing w:after="0" w:line="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may terminate the Prime Medicine agreement upon notice to Prime Medicine at any time prior to the one-year anniversary of the agreement and under certain other circumstances. Beam has an obligation to issue $5.0 million in shares of its common stock to Prime Medicine, and Prime Medicine has an obligation to issue 5.0 million shares of its common stock to Beam, should the collaboration extend beyond one year. The Company will record the expense and associated obligation for its share issuance when it determines that the share issuance is probable. Beam will record the financial statement impact of the Prime Medicine shares upon the receipt of the shares from Prime Medicine. The Company is also obligated to provide certain management services, which are expected to be immaterial, to Prime Medicine for up to one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April 2019, Beam entered into a Collaboration and License Agreement with Verve, or the Verve License Agreement, to investigate gene editing strategies to modify genes associated with an increased risk of coronary diseases. Under the terms of the agreement, the Company granted Verve an exclusive license to certain base editor technology and certain delivery technology, and improvements and Verve granted Beam a non-exclusive license under certain know-how and patents controlled by Verve, an interest in joint collaboration technology and an exclusive license (except as to Verve) under certain delivery technology. Verve is responsible for 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2" w:name="page163"/>
    <w:bookmarkEnd w:id="162"/>
    <w:p>
      <w:pPr>
        <w:ind w:right="80"/>
        <w:spacing w:after="0" w:line="263" w:lineRule="auto"/>
        <w:rPr>
          <w:sz w:val="20"/>
          <w:szCs w:val="20"/>
          <w:color w:val="auto"/>
        </w:rPr>
      </w:pPr>
      <w:r>
        <w:rPr>
          <w:rFonts w:ascii="Arial" w:cs="Arial" w:eastAsia="Arial" w:hAnsi="Arial"/>
          <w:sz w:val="18"/>
          <w:szCs w:val="18"/>
          <w:color w:val="auto"/>
        </w:rPr>
        <w:t>costs associated with the research and development activities under the Verve License agreement. The Company has the option to share in the future development of certain products, with no associated fee at the time the right is exercised. Upon exercise of the Company’s option, the profits and expenses of such product will be shared, as defined in the agreement. To date, Beam has not exercised its option.</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Verve License Agreement, Verve issued Beam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are met with respect to licensed products, Verve will be required to pay to Beam certain amounts, as defined in the agreement. Either party may owe the other party other milestone payments for certain clinical and regulatory events related to the delivery technology products. Royalty payments may become due by either party to the other based on the net sales of any delivery technology products under the agreement. Lastly, to the extent there are sales of a licensed product, Verve is obligated to pay Beam royalties, as defined in the agreement. The term of the agreement commenced in April 2019 and, unless earlier terminated in accordance with the terms of the agreement, will continue until the last to expire royalty term for any licensed product.</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determined that the performance obligations associated with the Verve License Agreement are the combined licenses and improvements related to the licensed technology. All other items promised to Verve are immaterial in the context of the agreement. The fair value of the shares issued by Verve to Beam were considered a fixed upfront payment of $0.5 million in the form of noncash consideration. The Company determined that its performance obligations associated with the Verve License Agreement at contract inception were not distinct and represented a single performance obligation, and that the obligations would be completed over the performance period of the agreement. Accordingly, the upfront payment will be recognized as revenue using a time-based proportional performance model over the contract term (April 2019 through 2038) of the collaboration, as license revenue. For the year ended December 31, 2019, the Company recognized $18 thousand of license revenue and has recorded $0.4 million of deferred revenue. To date, no commercial milestone payments or royalties are due. The remaining fees that may be paid under the agreement are considered variable consideration and will be constrained until it is probable that a significant revenue reversal would not occur. To date, the Company has not exercised its option to opt-in to a licensed product and no milestones or royalties have been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Blink Therapeutics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March 22, 2018, certain of Beam’s investors, or the Primary Investors, formed Blink to hold certain intellectual property related to RNA base editing.</w:t>
      </w:r>
    </w:p>
    <w:p>
      <w:pPr>
        <w:spacing w:after="0" w:line="140" w:lineRule="exact"/>
        <w:rPr>
          <w:sz w:val="20"/>
          <w:szCs w:val="20"/>
          <w:color w:val="auto"/>
        </w:rPr>
      </w:pPr>
    </w:p>
    <w:p>
      <w:pPr>
        <w:ind w:firstLine="4"/>
        <w:spacing w:after="0" w:line="301" w:lineRule="auto"/>
        <w:rPr>
          <w:sz w:val="20"/>
          <w:szCs w:val="20"/>
          <w:color w:val="auto"/>
        </w:rPr>
      </w:pPr>
      <w:r>
        <w:rPr>
          <w:rFonts w:ascii="Arial" w:cs="Arial" w:eastAsia="Arial" w:hAnsi="Arial"/>
          <w:sz w:val="16"/>
          <w:szCs w:val="16"/>
          <w:color w:val="auto"/>
        </w:rPr>
        <w:t xml:space="preserve">On May 9, 2018, the Company entered into a merger option agreement (“Option Agreement”) with Blink. On the same date, Blink entered into the Broad License Agreement (see Note 8, </w:t>
      </w:r>
      <w:r>
        <w:rPr>
          <w:rFonts w:ascii="Arial" w:cs="Arial" w:eastAsia="Arial" w:hAnsi="Arial"/>
          <w:sz w:val="16"/>
          <w:szCs w:val="16"/>
          <w:i w:val="1"/>
          <w:iCs w:val="1"/>
          <w:color w:val="auto"/>
        </w:rPr>
        <w:t>License agreements</w:t>
      </w:r>
      <w:r>
        <w:rPr>
          <w:rFonts w:ascii="Arial" w:cs="Arial" w:eastAsia="Arial" w:hAnsi="Arial"/>
          <w:sz w:val="16"/>
          <w:szCs w:val="16"/>
          <w:color w:val="auto"/>
        </w:rPr>
        <w:t>), issued 5,000,000 shares of Blink Series A Preferred to its investors (“Initial Closing”) at $1.00 per share, and issued restricted common stock to certain scientific founders. Also, on the same date, Beam and Blink were both owned by members of the same group of Primary Investors, having over 75% ownership in each entity, which consisted primarily of the Beam’s initial investors and scientific founders.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Option Agreement, Blink granted Beam an option, exercisable on the date that Blink issued an aggregate of 10,000,000 additional shares of Blink Series A Preferred and ending on the second anniversary of such date to enter into the Blink Merger, in exchange for a $121,000 option premium. In connection with the Blink Merger, Beam would issue two shares of Beam Series A-2 Preferred for each share of Blink Series A Preferred and issue 0.446 shares of Beam common stock for each share of Blink common stock.</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August 2018, Blink issued 10,000,000 shares of Blink Series A Preferred at $1.00 per share to the Primary Investors and Beam paid the $121,000 option premium to exercise its option to merge with Blink. On September 25, 2018 (the “Merger Date”), the merger was consummated, and Blink became a wholly owned subsidiary of Beam.</w:t>
      </w:r>
    </w:p>
    <w:p>
      <w:pPr>
        <w:spacing w:after="0" w:line="7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May 9, 2018, as a result of the design and purpose of Blink and the Option Agreement, the Company determined that Blink was a VIE and that the Company was the primary beneficiary, because Beam had both (1) the power to direct the activities of Blink that most significantly impacted Blink’s economic performance and (2) the right to receive benefits from Blink that could be significant to Blink. As a result, the Company began consolidating Blink on May 9, 2018. The operating activity of Blink from its formation on March 22, 2018 to May 9, 2018 was immaterial.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On the Merger Date, Beam exercised its option to acquire the Blink common and preferred shares in exchange for equity shares in Beam as follows:</w:t>
      </w:r>
    </w:p>
    <w:p>
      <w:pPr>
        <w:spacing w:after="0" w:line="237" w:lineRule="exact"/>
        <w:rPr>
          <w:sz w:val="20"/>
          <w:szCs w:val="20"/>
          <w:color w:val="auto"/>
        </w:rPr>
      </w:pPr>
    </w:p>
    <w:p>
      <w:pPr>
        <w:ind w:left="740" w:hanging="368"/>
        <w:spacing w:after="0"/>
        <w:tabs>
          <w:tab w:leader="none" w:pos="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each share of Blink Series A Preferred held, Blink shareholders received two shares of Beam Series A-2 Preferred or 30,000,000 shares;</w:t>
      </w:r>
    </w:p>
    <w:p>
      <w:pPr>
        <w:spacing w:after="0" w:line="248" w:lineRule="exact"/>
        <w:rPr>
          <w:rFonts w:ascii="Arial" w:cs="Arial" w:eastAsia="Arial" w:hAnsi="Arial"/>
          <w:sz w:val="16"/>
          <w:szCs w:val="16"/>
          <w:color w:val="auto"/>
        </w:rPr>
      </w:pPr>
    </w:p>
    <w:p>
      <w:pPr>
        <w:ind w:left="740" w:right="140" w:hanging="368"/>
        <w:spacing w:after="0" w:line="277" w:lineRule="auto"/>
        <w:tabs>
          <w:tab w:leader="none" w:pos="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each share of Blink common stock held by Broad Institute, Broad Institute received 0.446 shares of Beam common stock or 865,240 shares;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3" w:name="page164"/>
    <w:bookmarkEnd w:id="163"/>
    <w:p>
      <w:pPr>
        <w:ind w:left="740" w:right="220" w:hanging="368"/>
        <w:spacing w:after="0" w:line="308" w:lineRule="auto"/>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each vested and unvested share of Blink common stock issued to certain scientific founders of Blink, each founder received 0.446 shares of Beam common stock or 2,717,478 shares (of which 934,132 shares were vested and 1,783,346 will vest over time).</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recognized expense for the excess in value of the Beam Series A-2 Preferred and common stock exchanged for the Blink Series A Preferred and common stock, respectively, because the excess value was only transferred to certain investors of Beam and there were no other rights or privileges identified that require separate accounting as an asset. Accordingly, the Company recorded a $49.5 million loss in other expense representing the difference in value of the 30,000,000 shares of Series A-2 Preferred issued to Blink shareholders ($64.5 million) and the value of the Blink Series A Preferred ($15.0 million) exchanged by the Blink shareholders.</w:t>
      </w:r>
    </w:p>
    <w:p>
      <w:pPr>
        <w:spacing w:after="0" w:line="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recorded additional research and development expense of $2.2 million, which represented the difference in value of the 865,240 shares of Beam common stock issued to Broad Institute ($3.5 million) and the value of the Blink common stock exchanged by Broad Institute ($1.3 million).</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additional stock-based compensation of $3.6 million, which represented the difference in value of the fully vested 934,132 shares issued to the scientific founders ($3.8 million) and the value of the Blink common stock exchanged ($0.2 million) by the Blink shareholders. Compensation expense of $7.2 million relating to the 1,783,346 unvested Blink common shares will be recorded over the remaining weighted average vesting period of 3.5 years from the date of the Blink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June 2017, the Company authorized the sale and issuance of up to 37,500,000 shares of Series A Preferred. The Series A Preferred financing was structured to close in three tranches: 5,000,000 shares of Series A-1 Preferred in the first tranche closing at $1.00 per share, up to 20,000,000 shares of Series A-1 Preferred at $1.00 per share in the second tranche closing, and up to 12,500,000 shares of Series A-2 Preferred at $2.00 per share in the third tranche closing. The Company determined that the right of certain committed investors to purchase 18,000,000 shares of Series A-1 Preferred in the second tranche closing and 5,000,000 shares of Series A-2 Preferred in the third tranche closing met the definition of a freestanding financial instrument and should be recognized a liability on the consolidated balance sheet at fair value at inception and remeasured at each reporting period until settlement.</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period from January 25, 2017 (Inception) to December 31, 2017, the Company issued 5,050,000 shares of Series A-1 Preferred at $1.00 per share for gross cash proceeds of $5.1 million, and incurred issuance costs of $0.1 million.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and May 2018, in an effort to raise additional funding, the Company amended the terms of the Series A-1 Preferred second tranche closing and the Series A-2 Preferred third tranche closing. The Company increased the shares to be issued to committed investors in Series A-1 Preferred second tranche closing from 18,000,000 shares to 19,111,111 shares. The Company also authorized 888,880 shares of Series A-1 Preferred as available to be issued to additional investors. The issuance price for the Series A-1 Preferred remained at $1.00 per share. The Company increased the shares to be issued to committed investors in the Series A-2 Preferred second tranche closing from 5,000,000 shares to 22,515,071 shares, of which 15,488,824 were designated for a Series A-2 third tranche closing and 7,026,247 designated for a Series A-2 fourth tranche closing. The Company also authorized 8,951,577 shares of Series A-2 Preferred as available to be issued to additional investors, of which 1,177,836 were designated as available for a Series A-2 Preferred third tranche closing and 7,773,741 designated as available for a Series A-2 Preferred fourth tranche closing. The Series A-2 Preferred issuance price was reduced from $2.00 to $1.50, per share. As a result of the amendments to the tranche rights to the committed investors, the Company remeasured the tranche liabilities at fair value and recognized the excess fair value upon modification of $0.1 million as other income (expense) in consolidated statements of operations.</w:t>
      </w:r>
    </w:p>
    <w:p>
      <w:pPr>
        <w:spacing w:after="0" w:line="7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Company adjusted the carrying value of the tranche liabilities to their estimated fair value at each reporting date and upon issuance of the Series A-1 Preferred and Series A-2 Preferred tranche closings in 2018 and 2017, recognizing the changes in fair value in other income (expense) in the consolidated statement of operations and other comprehensive loss. During year ended December 31, 2018, the Company recognized total other expense of $4.3 million related to changes in the fair value of the tranche liabilities, which were satisfied during the year ended December 31, 2018.</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February and May 2018, the Company closed on the second tranche of the Series A-1 Preferred and issued 19,999,991 shares of Series A-1 Preferred at $1.00 per share for gross cash proceeds of $20.0 million, and incurred issuance costs of $0.1 million. The tranche liability associated with the committed financing was re-measured at fair value of $0.8 million at closing with the fair value of the liability reclassified to the carrying value of the Series A-1 Preferred.</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In May 2018, the Company entered into a license agreement with Editas (see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 and issued 1,833,333 shares of Series A-1 Preferred and 1,222,222 shares of Series A-2 Preferred having an aggregate fair value of $2.0 million and $1.7 million, respectively, as partial consideration for the license.</w:t>
      </w:r>
    </w:p>
    <w:p>
      <w:pPr>
        <w:spacing w:after="0" w:line="7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 xml:space="preserve">In September 2018, upon the closing of the merger with Blink (see Note 10, </w:t>
      </w:r>
      <w:r>
        <w:rPr>
          <w:rFonts w:ascii="Arial" w:cs="Arial" w:eastAsia="Arial" w:hAnsi="Arial"/>
          <w:sz w:val="16"/>
          <w:szCs w:val="16"/>
          <w:i w:val="1"/>
          <w:iCs w:val="1"/>
          <w:color w:val="auto"/>
        </w:rPr>
        <w:t>Blink Therapeutics</w:t>
      </w:r>
      <w:r>
        <w:rPr>
          <w:rFonts w:ascii="Arial" w:cs="Arial" w:eastAsia="Arial" w:hAnsi="Arial"/>
          <w:sz w:val="16"/>
          <w:szCs w:val="16"/>
          <w:color w:val="auto"/>
        </w:rPr>
        <w:t>), the Company exchanged two shares of Beam Series A-2 Preferred for one share of Blink Series A Preferred. The exchange resulted in the issuance of 30,000,000 shares of Beam Series A-2 Preferred to the Blink preferred shareholders, having a fair value of $64.5 million. The Company recorded a loss of $49.5 million for the excess of the fair value of Beam shares exchanged for the Blink shares as other expense in the consolidated statements of operations and other comprehensive loss.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4" w:name="page165"/>
    <w:bookmarkEnd w:id="164"/>
    <w:p>
      <w:pPr>
        <w:ind w:right="160"/>
        <w:spacing w:after="0" w:line="287" w:lineRule="auto"/>
        <w:rPr>
          <w:sz w:val="20"/>
          <w:szCs w:val="20"/>
          <w:color w:val="auto"/>
        </w:rPr>
      </w:pPr>
      <w:r>
        <w:rPr>
          <w:rFonts w:ascii="Arial" w:cs="Arial" w:eastAsia="Arial" w:hAnsi="Arial"/>
          <w:sz w:val="16"/>
          <w:szCs w:val="16"/>
          <w:color w:val="auto"/>
        </w:rPr>
        <w:t>In June and October 2018, the Company closed on the Series A-2 third and fourth tranches and issued 22,515,087 shares of Series A-2 Preferred to committed investors and 9,867,577 to additional investors at $1.50 per share for gross cash proceeds of $33.8 million and $14.8 million, respectively. The Company incurred issuance costs of $0.1 million. The tranche liability associated with the committed financing was re-measured at fair value of</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$4.6 million at closing with the fair value of the liability reclassified to the carrying value of the Series A-2 Preferred. The fair value of Series A-2 Preferred issued to the additional investors was $18.7 million, resulting in the recognition of other expense of $5.7 million in the consolidated statements of operations and other comprehensive loss for the excess of the fair value of the shares issued over the cash proceeds received.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all tranche rights have been satisfied.</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November 2018, the Company authorized the sale of up to 37,250,000 shares of Series B Preferred. In November and December 2018, the Company issued 28,870,177 shares of Series B Preferred at $3.36 per share for gross cash proceeds of approximately $97.0 million, and incurred issuance costs of $0.5 million.</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February 2019, the Company authorized the sale of an additional 2,980,000 shares of Series B Preferred. In January and February 2019, the Company issued an additional 11,308,397 shares of Series B Preferred stock at a price of $3.36 per share, resulting in gross cash proceeds of $38.0 million, and incurred issuance costs of $0.1 million.</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February 2020, upon the closing of the Company’s IPO, all outstanding shares of Preferred Stock converted into 29,127,523 shares of the Company’s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the Series A Preferred and Series B Preferred (“Preferred Stock”) consisted of the following (in thousands, except for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Liquidation</w:t>
            </w: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stock</w:t>
            </w: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issued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authorized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preference</w:t>
            </w: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A-1 Preferred</w:t>
            </w:r>
          </w:p>
        </w:tc>
        <w:tc>
          <w:tcPr>
            <w:tcW w:w="11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30,877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30,877</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5,983,826</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Series A-2 Preferred</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125,647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105,620</w:t>
            </w:r>
          </w:p>
        </w:tc>
        <w:tc>
          <w:tcPr>
            <w:tcW w:w="1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14,183,880</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w:t>
            </w:r>
          </w:p>
        </w:tc>
        <w:tc>
          <w:tcPr>
            <w:tcW w:w="11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40,230,000</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40,178,574</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145,525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145,525</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8,959,817</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130,668,210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130,616,784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302,049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282,022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29,127,523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560" w:type="dxa"/>
            <w:vAlign w:val="bottom"/>
            <w:gridSpan w:val="4"/>
          </w:tcPr>
          <w:p>
            <w:pPr>
              <w:spacing w:after="0"/>
              <w:rPr>
                <w:sz w:val="20"/>
                <w:szCs w:val="20"/>
                <w:color w:val="auto"/>
              </w:rPr>
            </w:pPr>
            <w:r>
              <w:rPr>
                <w:rFonts w:ascii="Arial" w:cs="Arial" w:eastAsia="Arial" w:hAnsi="Arial"/>
                <w:sz w:val="18"/>
                <w:szCs w:val="18"/>
                <w:color w:val="auto"/>
                <w:w w:val="91"/>
              </w:rPr>
              <w:t>At December 31, 2018, Preferred Stock consisted of the following (in thousands, except for share data):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1"/>
                <w:szCs w:val="2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Liquidation</w:t>
            </w: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stock</w:t>
            </w: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issued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authorized</w:t>
            </w: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preference</w:t>
            </w: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A-1 Preferred</w:t>
            </w:r>
          </w:p>
        </w:tc>
        <w:tc>
          <w:tcPr>
            <w:tcW w:w="11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28,734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28,734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5,983,826</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Series A-2 Preferred</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125,647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97,986</w:t>
            </w:r>
          </w:p>
        </w:tc>
        <w:tc>
          <w:tcPr>
            <w:tcW w:w="1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14,183,880</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w:t>
            </w:r>
          </w:p>
        </w:tc>
        <w:tc>
          <w:tcPr>
            <w:tcW w:w="11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37,250,000</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28,870,177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97,053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97,053</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6,438,047</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127,688,210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119,308,387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251,434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223,773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26,605,753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preferences of the Preferred Stock as of December 31, 2019:</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—Each share of Preferred Stock may be converted at any time, at the option of the holder, into shares of common stock,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conversion rate as determined by dividing the original issue price by the conversion price. The initial conversion price for each of the Series A-1 Preferred, Series A-2 Preferred and Series B Preferred (each as may be adjusted for certain dilutive events) is $1.00, $1.50 and $3.36 per share, respectively. Upon the Company’s IPO in February 2020, each series of Preferred Stock automatically converted into shares of common stock on a 1:1 conversion ratio.</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—Holders are entitled to dividends of $0.08 per share with respect to Series A-1 Preferred, $0.12 per share with respect to Series A-2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$0.27 per share with respect to the Series B Preferred, when, as, and if declared by the board of directors. No dividends have been declared through December 31, 2019 and the closing of the Company’s IPO in February 2020.</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—Preferred Stock and common stock generally vote together as one class on an as-converted basis; however, common stock voting rights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matters are subject to the powers, preferences, and rights of the Preferred Stock. The holders of Series B Preferred, voting together as a single class, are entitled to elect one director to the Company’s board of directors, the holders of Series A Preferred, voting together as a single class, are entitled to elect four directors to the Company’s board of directors, and the holders of common stock, voting together as a single class, are entitled to elect the one director to the Company’s board of directors. Certain actions, such as mergers, acquisition, liquidation, dissolution, wind up of business, and deemed liquidation events, must be approved by the holders of at least 60% of the then-outstanding shares of Preferred Stock and at least one of the four largest holders of Series B Preferred, unless such dissolution, wind up or liquidation would result in the pricing or payment of less than $2.52 per share of Series B Preferred to the Series B Preferred holders, in which case a certain Series B investor would need to approve.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5" w:name="page166"/>
    <w:bookmarkEnd w:id="165"/>
    <w:p>
      <w:pPr>
        <w:ind w:right="20"/>
        <w:spacing w:after="0" w:line="291" w:lineRule="auto"/>
        <w:rPr>
          <w:sz w:val="20"/>
          <w:szCs w:val="20"/>
          <w:color w:val="auto"/>
        </w:rPr>
      </w:pPr>
      <w:r>
        <w:rPr>
          <w:rFonts w:ascii="Arial" w:cs="Arial" w:eastAsia="Arial" w:hAnsi="Arial"/>
          <w:sz w:val="16"/>
          <w:szCs w:val="16"/>
          <w:b w:val="1"/>
          <w:bCs w:val="1"/>
          <w:i w:val="1"/>
          <w:iCs w:val="1"/>
          <w:color w:val="auto"/>
        </w:rPr>
        <w:t>Liquidation Preference</w:t>
      </w:r>
      <w:r>
        <w:rPr>
          <w:rFonts w:ascii="Arial" w:cs="Arial" w:eastAsia="Arial" w:hAnsi="Arial"/>
          <w:sz w:val="16"/>
          <w:szCs w:val="16"/>
          <w:color w:val="auto"/>
        </w:rPr>
        <w:t>—Upon liquidation, dissolution, or winding up of business, the holders of the Preferred Stock are entitled to receive a liquidation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preference in priority over the holders of common stock, at an amount per share equal to the greater of i) the original Series A Preferred and Series B Preferred issue price plus any declared but unpaid dividends, or ii) the amount per share payable had all shares of Series A Preferred and Series B Preferred been converted to common stock immediately prior to such liquidation. If assets available for distribution are insufficient to satisfy the liquidation payment to holders in full, assets available for distribution will be allocated among holders based on their pro rata shareholdings. When holders are satisfied in full, any excess assets available for distribution will be allocated ratably among common stockholders based on their pro rata shareholdings. Upon a deemed liquidation event, as defined, holders have the option to redeem their shareholding at the liquidation payment amounts summarized above.</w:t>
      </w:r>
    </w:p>
    <w:p>
      <w:pPr>
        <w:spacing w:after="0" w:line="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Preferred Stock is redeemable any time on or after the fifth anniversary of the initial closing of the Series B Preferred, and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of the holders of at least 60% of the then-outstanding shares of Series B Preferred. After the redemption of all shares of Series B Preferred, the Series A Preferred shall be redeemed. The redemption price of the Preferred Stock is equal to their respective original issue price per share plus any declared but unpaid dividends.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was authorized to issue up to 190,000,000 shares of common stock with a $0.01 par value per share as of December 31, 2018. In February 2019, the Company increased the authorized common stock shares issuable to 205,000,000.</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holders of common stock are entitled to one vote for each share of common stock. Subject to the payment in full of all preferential dividends to which the holders of the Preferred Stock are entitled, the holders of common stock shall be entitled to receive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Preferred Stock are entitled with respect to the distribution of assets in liquidation, the holders of common stock shall be entitled to share ratably in the remaining assets of the Company available for distribution.</w:t>
      </w:r>
    </w:p>
    <w:p>
      <w:pPr>
        <w:spacing w:after="0" w:line="6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2018, the Company issued 765,549 shares of common stock to Harvard pursuant to anti-dilution rights under the Harvard License Agreement. In the period from January 25, 2017 (Inception) to December 31, 2017, the Company issued to Harvard 101,363 shares of common stock upon signing the Harvard License Agreement.</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2018, the Company issued Broad Institute 865,240 shares of common stock in connection with the Blink Merger. Additionally, in connection with the Blink Merger, the Company issued certain scientific founders of Blink 934,132 shares of Beam common stock for their Blink vested restricted common stock.</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December 31, 2019, the Company has reserved 29,127,523 shares of common stock for the potential conversion of Preferred Stock and 4,791,047 shares of common stock for the potential exercise of outstanding stock options under the 2017 Stock Option and Grant Plan, or the 2017 Plan.</w:t>
      </w:r>
    </w:p>
    <w:p>
      <w:pPr>
        <w:spacing w:after="0" w:line="1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this financing, all outstanding shares of Preferred Stock converted into 29,127,523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grant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2017, the board of directors adopted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 In May 2019, the 2017 Plan was amended to provide up to 8,078,681 shares of common stock for the issuance of stock options and restricted stock. At December 31, 2019 there were 1,573,109 shares available for future grant under the 2017 Plan. During the year ended December 31, 2018 1,783,346 shares were issued to scientific founders outside of the 2017 Plan. The Company did not have any issuances outside of the 2017 Plan during the year ended December 31, 2019.</w:t>
      </w:r>
    </w:p>
    <w:p>
      <w:pPr>
        <w:spacing w:after="0" w:line="8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2017 Plan is administered by the board of directors. The exercise prices, vesting and other restrictions are determined at the discretion of the board of directors, except that the exercise price per share of stock options may not be less than 100% of the fair market value of the common stock on the date of grant. Stock options awarded under the 2017 Plan expire 10 years after the grant date, unless the board of directors sets a shorter term. Vesting periods for awards under the 2017 Plan are determined at the discretion of the board of directors. Incentive stock options granted to employees and shares of restricted stock granted to officers, founders and consultants of the Company typically vest over four years. Certain options provide for accelerated vesting if there is a change in control, as defined in the 2017 Plan. Non-statutory options granted to employees, officers, members of the board of directors and consultants of the Company typically vest over four years.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For the years ended December 31, 2019 and 2018, the Company recorded stock-based compensation expense of $7.0 million and $7.0 million, respectively.</w:t>
      </w:r>
    </w:p>
    <w:p>
      <w:pPr>
        <w:spacing w:after="0" w:line="14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Stock-based compensation expense recorded as research and development and general and administrative expenses in the consolidated statements of operations and other comprehensive loss for each of the years ended December 31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4,236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5,893</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2,792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1,109</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7,028</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7,002</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option-pricing model for stock options granted for each of the years ended December 31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CFF0FC"/>
            </w:tcBorders>
          </w:tcPr>
          <w:p>
            <w:pPr>
              <w:spacing w:after="0"/>
              <w:rPr>
                <w:sz w:val="14"/>
                <w:szCs w:val="14"/>
                <w:color w:val="auto"/>
              </w:rPr>
            </w:pPr>
          </w:p>
        </w:tc>
        <w:tc>
          <w:tcPr>
            <w:tcW w:w="434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18"/>
              <w:spacing w:after="0"/>
              <w:rPr>
                <w:sz w:val="20"/>
                <w:szCs w:val="20"/>
                <w:color w:val="auto"/>
              </w:rPr>
            </w:pPr>
            <w:r>
              <w:rPr>
                <w:rFonts w:ascii="Arial" w:cs="Arial" w:eastAsia="Arial" w:hAnsi="Arial"/>
                <w:sz w:val="18"/>
                <w:szCs w:val="18"/>
                <w:color w:val="auto"/>
              </w:rPr>
              <w:t>86.4-87.6%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79.4-83.1%</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risk-free interest rate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w w:val="93"/>
              </w:rPr>
              <w:t>2.17%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2.83%</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0.00%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323"/>
        </w:trPr>
        <w:tc>
          <w:tcPr>
            <w:tcW w:w="8020" w:type="dxa"/>
            <w:vAlign w:val="bottom"/>
            <w:gridSpan w:val="6"/>
          </w:tcPr>
          <w:p>
            <w:pPr>
              <w:spacing w:after="0"/>
              <w:rPr>
                <w:sz w:val="20"/>
                <w:szCs w:val="20"/>
                <w:color w:val="auto"/>
              </w:rPr>
            </w:pPr>
            <w:r>
              <w:rPr>
                <w:rFonts w:ascii="Arial" w:cs="Arial" w:eastAsia="Arial" w:hAnsi="Arial"/>
                <w:sz w:val="18"/>
                <w:szCs w:val="18"/>
                <w:color w:val="auto"/>
                <w:w w:val="92"/>
              </w:rPr>
              <w:t>A summary of option activity under the 2017 Plan during the year ended December 31, 2019 was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80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85"/>
              </w:rPr>
              <w:t>exercise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CFF0FC"/>
            </w:tcBorders>
          </w:tcPr>
          <w:p>
            <w:pPr>
              <w:spacing w:after="0"/>
              <w:rPr>
                <w:sz w:val="14"/>
                <w:szCs w:val="14"/>
                <w:color w:val="auto"/>
              </w:rPr>
            </w:pPr>
          </w:p>
        </w:tc>
        <w:tc>
          <w:tcPr>
            <w:tcW w:w="43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of options</w:t>
            </w:r>
          </w:p>
        </w:tc>
        <w:tc>
          <w:tcPr>
            <w:tcW w:w="1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life (years)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2,485,327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5"/>
              </w:rPr>
              <w:t>0.85</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2,671,871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7.66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(184,966)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5"/>
              </w:rPr>
              <w:t>1.00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Forfeitures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(181,185)</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w w:val="85"/>
              </w:rPr>
              <w:t>1.87</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4,791,047</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w w:val="85"/>
              </w:rPr>
              <w:t>4.72</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as of December 31, 2018</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color w:val="auto"/>
                <w:w w:val="85"/>
              </w:rPr>
              <w:t>4.72</w:t>
            </w:r>
          </w:p>
        </w:tc>
        <w:tc>
          <w:tcPr>
            <w:tcW w:w="140" w:type="dxa"/>
            <w:vAlign w:val="bottom"/>
          </w:tcPr>
          <w:p>
            <w:pPr>
              <w:spacing w:after="0" w:line="20" w:lineRule="exact"/>
              <w:rPr>
                <w:sz w:val="1"/>
                <w:szCs w:val="1"/>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gridSpan w:val="2"/>
            <w:vMerge w:val="continue"/>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4,791,047</w:t>
            </w:r>
          </w:p>
        </w:tc>
        <w:tc>
          <w:tcPr>
            <w:tcW w:w="14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gridSpan w:val="3"/>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Exercisable as of December 31, 2019</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919,758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w w:val="85"/>
              </w:rPr>
              <w:t>1.48</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160" w:hanging="492"/>
        <w:spacing w:after="0" w:line="277"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as of December 31, 2019 and 2018.</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years ended December 31, 2019 and 2018, the Company granted 133,886 and 253,307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achievement of the performance milestones was not considered probable, nor met, and therefore no expense has been recognized related to these awards for the year-ended December 31, 2019.</w:t>
      </w:r>
    </w:p>
    <w:p>
      <w:pPr>
        <w:spacing w:after="0" w:line="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weighted-average grant date fair value per share of stock options granted during the years ended December 31, 2019 and 2018, was $6.64 and $1.12, respectively. The aggregate intrinsic value of stock options exercised during the years ended December 31, 2019 and 2018 was $1.6 million and $0.1 million.</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aggregate grant date fair value of stock options vested during the years ended December 31, 2019 and 2018 were $1.5 million and $0.1 million, respectively.</w:t>
      </w:r>
    </w:p>
    <w:p>
      <w:pPr>
        <w:spacing w:after="0" w:line="6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December 31, 2019, there was $16.1 million of unrecognized compensation cost related to unvested stock options, which is expected to be recognized over a weighted-average period of approximately 2.71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2018, the Company issued 1,783,346 shares of restricted common stock to certain scientific founders of Blink upon the Blink Merger (see Note 10, </w:t>
      </w:r>
      <w:r>
        <w:rPr>
          <w:rFonts w:ascii="Arial" w:cs="Arial" w:eastAsia="Arial" w:hAnsi="Arial"/>
          <w:sz w:val="18"/>
          <w:szCs w:val="18"/>
          <w:i w:val="1"/>
          <w:iCs w:val="1"/>
          <w:color w:val="auto"/>
        </w:rPr>
        <w:t>Blink</w:t>
      </w:r>
      <w:r>
        <w:rPr>
          <w:rFonts w:ascii="Arial" w:cs="Arial" w:eastAsia="Arial" w:hAnsi="Arial"/>
          <w:sz w:val="18"/>
          <w:szCs w:val="18"/>
          <w:color w:val="auto"/>
        </w:rPr>
        <w:t xml:space="preserve"> </w:t>
      </w:r>
      <w:r>
        <w:rPr>
          <w:rFonts w:ascii="Arial" w:cs="Arial" w:eastAsia="Arial" w:hAnsi="Arial"/>
          <w:sz w:val="18"/>
          <w:szCs w:val="18"/>
          <w:i w:val="1"/>
          <w:iCs w:val="1"/>
          <w:color w:val="auto"/>
        </w:rPr>
        <w:t>Therapeutics</w:t>
      </w:r>
      <w:r>
        <w:rPr>
          <w:rFonts w:ascii="Arial" w:cs="Arial" w:eastAsia="Arial" w:hAnsi="Arial"/>
          <w:sz w:val="18"/>
          <w:szCs w:val="18"/>
          <w:color w:val="auto"/>
        </w:rPr>
        <w:t>), having a fair value of $7.2 million, and subject to vesting over a period of 3.5 years. In 2018, the Company granted 422,345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common stock to certain of the Company’s scientific founders, having a grant date fair value of $0.4 million. A portion of these shares are subject to vesting over a period of four years, with the commencement of vesting of the remaining shares upon the achievement of certain financing milestones, and in certain instances continued service after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7" w:name="page168"/>
    <w:bookmarkEnd w:id="167"/>
    <w:p>
      <w:pPr>
        <w:ind w:right="200"/>
        <w:spacing w:after="0" w:line="277" w:lineRule="auto"/>
        <w:rPr>
          <w:sz w:val="20"/>
          <w:szCs w:val="20"/>
          <w:color w:val="auto"/>
        </w:rPr>
      </w:pPr>
      <w:r>
        <w:rPr>
          <w:rFonts w:ascii="Arial" w:cs="Arial" w:eastAsia="Arial" w:hAnsi="Arial"/>
          <w:sz w:val="18"/>
          <w:szCs w:val="18"/>
          <w:color w:val="auto"/>
        </w:rPr>
        <w:t>the milestones are achieved. In 2018, the Company issued 850,889 shares of restricted common stock to an employee, having a fair value of $3.4 million, that vest over a period of four years.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holders of restricted common stock cease to have a business relationship with the Company, the Company may reacquire any unvested shares of common stock held by these individuals for the original purchase price, and in certain instances for no consideration. The amounts received to date for the purchase price of restricted stock are immaterial. The unvested shares of restricted common stock are not considered outstanding shares for accounting purposes until the shares vest.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 in unvested restricted stock at December 31, 2019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2018</w:t>
            </w:r>
          </w:p>
        </w:tc>
        <w:tc>
          <w:tcPr>
            <w:tcW w:w="16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4,214,932</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(1,559,126)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as of December 31, 2019</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2,655,806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aggregate fair value of restricted shares that vested during the years ended December 31, 2019 and 2018, was $3.6 million, and $4.6 million, respectively.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December 31, 2019, there was approximately $7.3 million of unrecognized stock-based compensation expense related to restricted stock that is expected to vest. These costs are expected to be recognized over a weighted-average remaining vesting period of 1.8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plan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2020, the Company’s board of directors adopted the Beam Therapeutics Inc. 2019 Equity Incentive Plan, or the 2019 Plan, and, subsequent to the IPO, all equity-based awards will be granted under the 2019 Plan. The 2019 Plan provides for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maximum number of shares of the Company’s common stock that may be issued under the 2019 Plan is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our common stock outstanding as of the close of business on the immediately preceding December 31st and (ii) the number of shares determined by our board of directors on or prior to such date for such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each of the years ended December 31 because including them would have had an anti-dilutive effect: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29,127,523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26,605,753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2,655,806</w:t>
            </w:r>
          </w:p>
        </w:tc>
        <w:tc>
          <w:tcPr>
            <w:tcW w:w="160" w:type="dxa"/>
            <w:vAlign w:val="bottom"/>
          </w:tcPr>
          <w:p>
            <w:pPr>
              <w:spacing w:after="0"/>
              <w:rPr>
                <w:sz w:val="19"/>
                <w:szCs w:val="19"/>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4,214,932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4,791,047</w:t>
            </w: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2,485,327</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36,574,376</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33,306,012</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for each of the years ended December 31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(91,040)</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number of common shares, basic and diluted</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6,479,591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2,893,978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460"/>
              <w:spacing w:after="0"/>
              <w:rPr>
                <w:sz w:val="20"/>
                <w:szCs w:val="20"/>
                <w:color w:val="auto"/>
              </w:rPr>
            </w:pPr>
            <w:r>
              <w:rPr>
                <w:rFonts w:ascii="Arial" w:cs="Arial" w:eastAsia="Arial" w:hAnsi="Arial"/>
                <w:sz w:val="18"/>
                <w:szCs w:val="18"/>
                <w:color w:val="auto"/>
              </w:rPr>
              <w:t>F-30</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reconciliation of the income tax expense computed using the federal statutory income tax rate to the Company’s effective income tax rate for each of the years ended December 31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State income taxes, net of federal benefit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Nondeductible/ nontaxable permanent items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p>
        </w:tc>
        <w:tc>
          <w:tcPr>
            <w:tcW w:w="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w w:val="98"/>
              </w:rPr>
              <w:t>The components of the Company’s deferred taxes at December 31 are as follows (in thousands):</w:t>
            </w: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gridSpan w:val="2"/>
          </w:tcPr>
          <w:p>
            <w:pPr>
              <w:jc w:val="right"/>
              <w:ind w:right="78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26,767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Research and development tax credits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41,987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15,119</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ROU asset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(36,435)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had no income tax expense due to the operating loss incurred for the years ended December 31, 2019 and 2018. Management has evaluated the positive and negative evidence bearing upon the realizability of the Company’s net deferred tax assets and has determined that it is more likely than not that the Company will not recognize the benefits of the net deferred tax assets. As a result, the Company has recorded a full valuation allowance at December 31, 2019 and 2018. The valuation allowance increased by $21.4 million in 2019, due to the increase in deferred tax assets, primarily due to net operating loss carryforwards, and research and development tax credits, and deductible accrued expenses. The valuation allowance increased by $12.7 million in 2018.</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Realization of the future tax benefits is dependent on many factors, including the Company’s ability to generate taxable income within the net operating loss carryforward period. Under the provisions of the Internal Revenue Code, certain substantial changes in the Company’s ownership, including a sale of the Company or significant changes in ownership due to sales of equity, may have limited, or may limit in the future, the amount of net operating loss carryforwards, which could be used annually to offset future taxable income. The Company has not completed a study to assess whether a change of control has occurred or whether there have been multiple changes of control since the Company’s formation due to the significant complexity and cost associated with such study and because there could be additional changes in control in the future. As a result, the Company is not able to estimate the effect of the change in control, if any, on the effect of the change in control, if any, on the Company’s ability to utilize net operating loss and research and development credit carryforwards in the future.</w:t>
      </w:r>
    </w:p>
    <w:p>
      <w:pPr>
        <w:spacing w:after="0" w:line="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of December 31, 2019, the Company had $98.7 million of federal and $95.7 million of state net operating loss carryforwards. If not utilized, both the federal and state net operating loss carryforwards expire starting in 2037. Included in the $98.7 million federal net operating loss carryforwards is $95.3 million of net operating loss generated in 2018 and 2019 that will not expire. Additionally, as of December 31, 2019, the Company had $3.1 million of federal and $2.2 million of Massachusetts tax credits that expire starting in 2038 and 2033, respectively.</w:t>
      </w:r>
    </w:p>
    <w:p>
      <w:pPr>
        <w:spacing w:after="0" w:line="6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December 31, 2019 and 2018,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7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filed income tax returns in the United States and the Commonwealth of Massachusetts in all tax years since inception. The tax years 2018 and 2017 remain open to examination by these jurisdictions, as carryforward attributes generated in past years may be adjusted in a future period. The Company is not currently under examination by the Internal Revenue Service or any other jurisdiction for these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For the years ended December 31, 2019 and 2018, the Company made payments of $0.5 million and $0.7 million, respectively, and, during the year ended December 31, 2018, issued restricted shares with a grant date fair value of $0.4 million to its three founder shareholders for scientific consulting and other expenses.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Collaboration and license agreements</w:t>
      </w:r>
      <w:r>
        <w:rPr>
          <w:rFonts w:ascii="Arial" w:cs="Arial" w:eastAsia="Arial" w:hAnsi="Arial"/>
          <w:sz w:val="18"/>
          <w:szCs w:val="18"/>
          <w:color w:val="auto"/>
        </w:rPr>
        <w:t>, for a description of the Company’s collaboration and license agreements with Prime Medicine and Verve. The Company and Prime Medicine have a common founder and several common board members. The Company and Verve have a common board member. During the years ended December 31, 2019 and 2018, the Company purchased shares of Verve Therapeutics, Inc. (“Verve”) series A preferred stock valued at $0.4 million and $0.3 million, respectively.</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March 2018, certain of Beam’s investors formed Blink to hold certain intellectual property related to base editing. In September 2018, the Company exercised its option to acquire Blink, which is now a wholly-owned subsidiary of Beam.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benefits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The Company is not required to make and has not made any matching contributions to the 401(k) Plan for the year ended December 31,</w:t>
      </w:r>
    </w:p>
    <w:p>
      <w:pPr>
        <w:spacing w:after="0" w:line="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2019. However, beginning January 1, 2020, the Company will make matching contributions equal to 50% of the employee’s contributions, subject to a maximum of 6% of eligible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evaluated all subsequent events through March 30, 2020, the date that these consolidated financial statements were issued to determine if such events should be reflected in these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The Company’s board of directors approved a one-for-4.4843 reverse stock split of its issued and outstanding common stock and stock options and a proportional adjustment to the existing conversion ratios for the Company’s redeemable convertible preferred stock effective as of January 24, 2020. Accordingly, all common stock shares, per share amounts, and additional paid in capital amounts for all periods presented in the accompanying consolidated financial statements and notes thereto have been retroactively adjusted, where applicable, to reflect the reverse stock split.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this financing, all outstanding shares of Preferred Stock converted into 29,127,523 shares of the Company’s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Company entered into an amendment of its October 2018 lease agreement for laboratory space in Cambridge, Massachusetts. The amended lease commenced in March 2020 and will expire on March 31, 2023. The lease provides an option to extend the lease for an additional year through March 31, 2024, which was determined by the Company to be probable of being exercised. As the commencement date of the leases has not occurred at December 31, 2019, no operating lease ROU asset or lease liability has been recorded in the accompanying condensed consolidated balance sheets for this amendment. The incremental increase in total amount of undiscounted lease payments as a result of the amended lease is approximately $4.8 million, which includes lease payments for the additional year under the option provided within the lease.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In December 2019, coronavirus disease of 2019, or COVID-19, was first reported in Wuhan, China. In March 2020, the World Health Organization declared COVID-19 a pandemic and certain governments, including the Commonwealth of Massachusetts where the Company’s primary offices and laboratory spaces are located, enacted shelter in place orders, and sweeping restrictions to travel were initiated by corporations and governments.</w:t>
      </w:r>
    </w:p>
    <w:p>
      <w:pPr>
        <w:spacing w:after="0" w:line="4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protect the health of its employees, and their families and communities, the Company has restricted access to its offices to personnel who must perform critical activities that must be completed on-site, limited the number of such personnel that can be present at our facilities at any one time, and requested that most of our employees work remotely. The extent of COVID-19’s effect on the Company’s operational and financial performance will depend on future developments, including the duration, spread and intensity of the pandemic, and additional protective measures implemented by the governmental authorities or the Company to protect its employees, all of which are uncertain and difficult to predict considering the rapidly evolving landscape. As a result, it is not currently possible to ascertain the overall impact of COVID-19 on the Company’s business. However, if the pandemic continues to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0" w:name="page171"/>
    <w:bookmarkEnd w:id="170"/>
    <w:p>
      <w:pPr>
        <w:spacing w:after="0" w:line="277" w:lineRule="auto"/>
        <w:rPr>
          <w:sz w:val="20"/>
          <w:szCs w:val="20"/>
          <w:color w:val="auto"/>
        </w:rPr>
      </w:pPr>
      <w:r>
        <w:rPr>
          <w:rFonts w:ascii="Arial" w:cs="Arial" w:eastAsia="Arial" w:hAnsi="Arial"/>
          <w:sz w:val="18"/>
          <w:szCs w:val="18"/>
          <w:color w:val="auto"/>
        </w:rPr>
        <w:t>evolve into a severe worldwide health crisis, the disease could have a material adverse effect on the Company’s business, results of operations, financial condition and cash flows.</w:t>
      </w:r>
    </w:p>
    <w:p>
      <w:pPr>
        <w:spacing w:after="0" w:line="200" w:lineRule="exact"/>
        <w:rPr>
          <w:sz w:val="20"/>
          <w:szCs w:val="20"/>
          <w:color w:val="auto"/>
        </w:rPr>
      </w:pP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960"/>
          </w:cols>
          <w:pgMar w:left="320" w:top="449" w:right="6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summary describes all material provisions of the common stock, par value $0.01 per share, of Beam Therapeutics Inc. The description of our common stock is qualified by reference to our certificate of incorporation, bylaws, and investor rights agreement, which are included as exhibits to the Annual Report on Form 10-K of which this Exhibit 4.3 is a part.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275,000,000 shares, all with a par value of $0.01 per share, of which:</w:t>
      </w:r>
    </w:p>
    <w:p>
      <w:pPr>
        <w:spacing w:after="0" w:line="225" w:lineRule="exact"/>
        <w:rPr>
          <w:sz w:val="20"/>
          <w:szCs w:val="20"/>
          <w:color w:val="auto"/>
        </w:rPr>
      </w:pPr>
    </w:p>
    <w:p>
      <w:pPr>
        <w:ind w:left="520" w:hanging="440"/>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250,000,000 shares are designated as common stock; and</w:t>
      </w:r>
    </w:p>
    <w:p>
      <w:pPr>
        <w:spacing w:after="0" w:line="225" w:lineRule="exact"/>
        <w:rPr>
          <w:rFonts w:ascii="Arial" w:cs="Arial" w:eastAsia="Arial" w:hAnsi="Arial"/>
          <w:sz w:val="18"/>
          <w:szCs w:val="18"/>
          <w:color w:val="auto"/>
        </w:rPr>
      </w:pPr>
    </w:p>
    <w:p>
      <w:pPr>
        <w:ind w:left="520" w:hanging="440"/>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25,000,000 shares are designated as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6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certificate of incorporation and by-laws contains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certificate of incorporation provides that our board of directors will be divided into three classes of directors, with the classes as</w:t>
      </w:r>
      <w:r>
        <w:rPr>
          <w:rFonts w:ascii="Arial" w:cs="Arial" w:eastAsia="Arial" w:hAnsi="Arial"/>
          <w:sz w:val="18"/>
          <w:szCs w:val="18"/>
          <w:i w:val="1"/>
          <w:iCs w:val="1"/>
          <w:color w:val="auto"/>
        </w:rPr>
        <w:t xml:space="preserve"> </w:t>
      </w:r>
      <w:r>
        <w:rPr>
          <w:rFonts w:ascii="Arial" w:cs="Arial" w:eastAsia="Arial" w:hAnsi="Arial"/>
          <w:sz w:val="18"/>
          <w:szCs w:val="18"/>
          <w:color w:val="auto"/>
        </w:rPr>
        <w:t>nearly equal in number as possible. As a result, approximately one-third of our board of directors are elected each year. The classification of directors will have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of directors.</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Action by written consent; special meetings of stockholders. </w:t>
      </w:r>
      <w:r>
        <w:rPr>
          <w:rFonts w:ascii="Arial" w:cs="Arial" w:eastAsia="Arial" w:hAnsi="Arial"/>
          <w:sz w:val="18"/>
          <w:szCs w:val="18"/>
          <w:color w:val="auto"/>
        </w:rPr>
        <w:t>Our certificate of incorporation provides that stockholder action can be taken only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or special meeting of stockholders and cannot be taken by written consent in lieu of a meeting. Our certificate of incorporation and the by-laws also provides that, except as otherwise required by law, special meetings of the stockholders can only be called pursuant to a resolution adopted by a majority of our board of directors. Except as described above, stockholders are not permitted to call a special meeting or to require our board of directors to call a special meeting.</w:t>
      </w:r>
    </w:p>
    <w:p>
      <w:pPr>
        <w:spacing w:after="0" w:line="8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certificate of incorporation provides that our directors may be removed only for cause by the affirmative vote of at least 75% of</w:t>
      </w:r>
      <w:r>
        <w:rPr>
          <w:rFonts w:ascii="Arial" w:cs="Arial" w:eastAsia="Arial" w:hAnsi="Arial"/>
          <w:sz w:val="18"/>
          <w:szCs w:val="18"/>
          <w:i w:val="1"/>
          <w:iCs w:val="1"/>
          <w:color w:val="auto"/>
        </w:rPr>
        <w:t xml:space="preserve"> </w:t>
      </w:r>
      <w:r>
        <w:rPr>
          <w:rFonts w:ascii="Arial" w:cs="Arial" w:eastAsia="Arial" w:hAnsi="Arial"/>
          <w:sz w:val="18"/>
          <w:szCs w:val="18"/>
          <w:color w:val="auto"/>
        </w:rPr>
        <w:t>the voting power of our outstanding shares of capital stock, voting together as a single class. This requirement of a supermajority vote to remove directors could enable a minority of our stockholders to prevent a change in the composition of our board.</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Advance notice procedures. </w:t>
      </w:r>
      <w:r>
        <w:rPr>
          <w:rFonts w:ascii="Arial" w:cs="Arial" w:eastAsia="Arial" w:hAnsi="Arial"/>
          <w:sz w:val="18"/>
          <w:szCs w:val="18"/>
          <w:color w:val="auto"/>
        </w:rPr>
        <w:t>Our by-laws establish an advance notice procedure for stockholder proposals to be brought before an annual meeting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including proposed nominations of persons for election to the board of directors. Stockholders at an annual meeting are only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8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Supermajority approval requirements. </w:t>
      </w:r>
      <w:r>
        <w:rPr>
          <w:rFonts w:ascii="Arial" w:cs="Arial" w:eastAsia="Arial" w:hAnsi="Arial"/>
          <w:sz w:val="16"/>
          <w:szCs w:val="16"/>
          <w:color w:val="auto"/>
        </w:rPr>
        <w:t>The DGCL generally provides that the affirmative vote of a majority of the shares entitled to vote on any matter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amend a corporation’s certificate of incorporation or by-laws, unless either a corporation’s certificate of incorporation or by-laws requires a greater percentage. Our certificate of incorporation and by-laws provide that the affirmative vote of holders of at least 75% of the total votes eligible to be cast in the election of directors is required to amend, alter, change or repeal specified provisions. This requirement of a supermajority vote to approve amendments to our certificate of incorporation and by-laws could enable a minority of our stockholders to exercise veto power over any such amendments.</w:t>
      </w:r>
    </w:p>
    <w:p>
      <w:pPr>
        <w:spacing w:after="0" w:line="5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are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Our certificate of incorporation requires, to the fullest extent permitted by law, that derivative actions brought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actions against directors, officers and employees for breach of a fiduciary duty and other similar actions may be brought only in specified courts in the State of Delaware. Under our certificate of incorporation,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and explicitly does not apply to actions arising under federal securities laws, including suits brought to enforce any liability or duty created by the Securities Act, Exchange Act, or the rules and regulations thereunder. Furthermore, our amended and restated by-laws also provide that unless we consent in writing to the selection of an alternative forum, the federal district courts of the United States shall be the exclusive forum for the resolution of any compliant asserting a cause of action arising under the Securities Act. Although we believe these provisions benefit us by providing increased consistency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3" w:name="page174"/>
    <w:bookmarkEnd w:id="173"/>
    <w:p>
      <w:pPr>
        <w:ind w:right="60"/>
        <w:spacing w:after="0" w:line="301" w:lineRule="auto"/>
        <w:rPr>
          <w:sz w:val="20"/>
          <w:szCs w:val="20"/>
          <w:color w:val="auto"/>
        </w:rPr>
      </w:pPr>
      <w:r>
        <w:rPr>
          <w:rFonts w:ascii="Arial" w:cs="Arial" w:eastAsia="Arial" w:hAnsi="Arial"/>
          <w:sz w:val="16"/>
          <w:szCs w:val="16"/>
          <w:color w:val="auto"/>
        </w:rPr>
        <w:t>application of Delaware law in the types of lawsuits to which it applies, these provisions may have the effect of discouraging lawsuits against our directors and officers. See “Risk factors—Our amended and restated certificate of incorporation and amended and restated by-laws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5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Stock Market under the symbol BEAM.</w:t>
      </w:r>
    </w:p>
    <w:p>
      <w:pPr>
        <w:sectPr>
          <w:pgSz w:w="11900" w:h="16838" w:orient="portrait"/>
          <w:cols w:equalWidth="0" w:num="1">
            <w:col w:w="11200"/>
          </w:cols>
          <w:pgMar w:left="320" w:top="463" w:right="37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Subsidiaries of Beam Therapeutics, Inc.</w:t>
            </w:r>
          </w:p>
        </w:tc>
      </w:tr>
      <w:tr>
        <w:trPr>
          <w:trHeight w:val="257"/>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w:t>
            </w:r>
          </w:p>
        </w:tc>
        <w:tc>
          <w:tcPr>
            <w:tcW w:w="17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Blink Therapeutics, Inc.</w:t>
            </w: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Beam Therapeutics Securities Corporation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consent to the incorporation by reference in Registration Statement No. 333-236582 on Form S-8 of our report dated March 30, 2020, relating to the financial statements of Beam Therapeutics Inc. and subsidiaries appearing in this Annual Report on Form 10-K for the year ended December 31, 2019.</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Evans, certify that:</w:t>
      </w:r>
    </w:p>
    <w:p>
      <w:pPr>
        <w:spacing w:after="0" w:line="117"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520" w:val="left"/>
          <w:tab w:leader="none" w:pos="600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Terry-Ann Burrell, certify that:</w:t>
      </w:r>
    </w:p>
    <w:p>
      <w:pPr>
        <w:spacing w:after="0" w:line="117"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7"/>
          <w:szCs w:val="17"/>
          <w:color w:val="auto"/>
        </w:rPr>
        <w:t>By:  /s/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lowerRoman"/>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lowerRoman"/>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lowerRoman"/>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decimal"/>
      <w:start w:val="2"/>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6"/>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9"/>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2"/>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182" Type="http://schemas.openxmlformats.org/officeDocument/2006/relationships/hyperlink" Target="http://www.sec.gov/Archives/edgar/data/0001745999/000119312520019902/d221975dex32.htm" TargetMode="External"/><Relationship Id="rId183" Type="http://schemas.openxmlformats.org/officeDocument/2006/relationships/hyperlink" Target="http://www.sec.gov/Archives/edgar/data/1745999/000119312519257401/d734398dex33.htm" TargetMode="External"/><Relationship Id="rId184" Type="http://schemas.openxmlformats.org/officeDocument/2006/relationships/hyperlink" Target="http://www.sec.gov/Archives/edgar/data/1745999/000119312519257401/d734398dex41.htm" TargetMode="External"/><Relationship Id="rId185" Type="http://schemas.openxmlformats.org/officeDocument/2006/relationships/hyperlink" Target="http://www.sec.gov/Archives/edgar/data/1745999/000119312519257401/d734398dex42.htm" TargetMode="External"/><Relationship Id="rId186" Type="http://schemas.openxmlformats.org/officeDocument/2006/relationships/hyperlink" Target="http://www.sec.gov/Archives/edgar/data/1745999/000119312519257401/d734398dex101.htm" TargetMode="External"/><Relationship Id="rId187" Type="http://schemas.openxmlformats.org/officeDocument/2006/relationships/hyperlink" Target="http://www.sec.gov/Archives/edgar/data/1745999/000119312519257401/d734398dex102.htm" TargetMode="External"/><Relationship Id="rId188" Type="http://schemas.openxmlformats.org/officeDocument/2006/relationships/hyperlink" Target="http://www.sec.gov/Archives/edgar/data/1745999/000119312519257401/d734398dex103.htm" TargetMode="External"/><Relationship Id="rId189" Type="http://schemas.openxmlformats.org/officeDocument/2006/relationships/hyperlink" Target="http://www.sec.gov/Archives/edgar/data/1745999/000119312519257401/d734398dex104.htm" TargetMode="External"/><Relationship Id="rId190" Type="http://schemas.openxmlformats.org/officeDocument/2006/relationships/hyperlink" Target="http://www.sec.gov/Archives/edgar/data/1745999/000119312519257401/d734398dex105.htm" TargetMode="External"/><Relationship Id="rId191" Type="http://schemas.openxmlformats.org/officeDocument/2006/relationships/hyperlink" Target="http://www.sec.gov/Archives/edgar/data/1745999/000119312519257401/d734398dex106.htm" TargetMode="External"/><Relationship Id="rId192" Type="http://schemas.openxmlformats.org/officeDocument/2006/relationships/hyperlink" Target="http://www.sec.gov/Archives/edgar/data/1745999/000119312519257401/d734398dex107.htm" TargetMode="External"/><Relationship Id="rId193" Type="http://schemas.openxmlformats.org/officeDocument/2006/relationships/hyperlink" Target="http://www.sec.gov/Archives/edgar/data/1745999/000119312520014727/d221975dex108.htm" TargetMode="External"/><Relationship Id="rId194" Type="http://schemas.openxmlformats.org/officeDocument/2006/relationships/hyperlink" Target="http://www.sec.gov/Archives/edgar/data/1745999/000119312519257401/d734398dex109.htm" TargetMode="External"/><Relationship Id="rId195" Type="http://schemas.openxmlformats.org/officeDocument/2006/relationships/hyperlink" Target="http://www.sec.gov/Archives/edgar/data/1745999/000119312519257401/d734398dex1010.htm" TargetMode="External"/><Relationship Id="rId196" Type="http://schemas.openxmlformats.org/officeDocument/2006/relationships/hyperlink" Target="http://www.sec.gov/Archives/edgar/data/1745999/000119312519257401/d734398dex1011.htm" TargetMode="External"/><Relationship Id="rId197" Type="http://schemas.openxmlformats.org/officeDocument/2006/relationships/hyperlink" Target="http://www.sec.gov/Archives/edgar/data/1745999/000119312519257401/d734398dex1012.htm" TargetMode="External"/><Relationship Id="rId200" Type="http://schemas.openxmlformats.org/officeDocument/2006/relationships/hyperlink" Target="http://www.sec.gov/Archives/edgar/data/1745999/000119312520014727/d221975dex1013.htm" TargetMode="External"/><Relationship Id="rId201" Type="http://schemas.openxmlformats.org/officeDocument/2006/relationships/hyperlink" Target="http://www.sec.gov/Archives/edgar/data/1745999/000119312520014727/d221975dex1014.htm" TargetMode="External"/><Relationship Id="rId202" Type="http://schemas.openxmlformats.org/officeDocument/2006/relationships/hyperlink" Target="http://www.sec.gov/Archives/edgar/data/1745999/000119312520014727/d221975dex1015.htm" TargetMode="External"/><Relationship Id="rId203" Type="http://schemas.openxmlformats.org/officeDocument/2006/relationships/hyperlink" Target="http://www.sec.gov/Archives/edgar/data/1745999/000119312520014727/d221975dex1016.htm" TargetMode="External"/><Relationship Id="rId204" Type="http://schemas.openxmlformats.org/officeDocument/2006/relationships/hyperlink" Target="http://www.sec.gov/Archives/edgar/data/1745999/000119312520014727/d221975dex1017.htm" TargetMode="External"/><Relationship Id="rId205" Type="http://schemas.openxmlformats.org/officeDocument/2006/relationships/hyperlink" Target="http://www.sec.gov/Archives/edgar/data/1745999/000119312520014727/d221975dex1018.htm" TargetMode="External"/><Relationship Id="rId206" Type="http://schemas.openxmlformats.org/officeDocument/2006/relationships/hyperlink" Target="http://www.sec.gov/Archives/edgar/data/1745999/000119312520014727/d221975dex1019.htm" TargetMode="External"/><Relationship Id="rId207" Type="http://schemas.openxmlformats.org/officeDocument/2006/relationships/hyperlink" Target="http://www.sec.gov/Archives/edgar/data/1745999/000119312520014727/d221975dex1020.htm" TargetMode="External"/><Relationship Id="rId208" Type="http://schemas.openxmlformats.org/officeDocument/2006/relationships/hyperlink" Target="http://www.sec.gov/Archives/edgar/data/1745999/000119312520014727/d221975dex1021.htm" TargetMode="External"/><Relationship Id="rId209" Type="http://schemas.openxmlformats.org/officeDocument/2006/relationships/hyperlink" Target="http://www.sec.gov/Archives/edgar/data/1745999/000119312520014727/d221975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2020-03-30T16:56:12Z</dcterms:created>
  <dcterms:modified xsi:type="dcterms:W3CDTF">2020-03-30T16:56:12Z</dcterms:modified>
</cp:coreProperties>
</file>