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Walsh Kathleen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BEAM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238 MAIN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Beam Therapeutics Inc.</w:t>
              </w:r>
            </w:hyperlink>
            <w:r>
              <w:rPr/>
              <w:t xml:space="preserve"> [ </w:t>
            </w:r>
            <w:r>
              <w:rPr>
                <w:rFonts w:ascii="Times;serif" w:hAnsi="Times;serif"/>
                <w:color w:val="0000FF"/>
                <w:sz w:val="24"/>
                <w:shd w:fill="FFFFFF" w:val="clear"/>
              </w:rPr>
              <w:t>BEAM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17.15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33,662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in full on the earlier of the first anniversary of the date of grant and immediately prior to the date of the next year's annual meeting of stockholders, subject to the reporting person's continued service to the board of directors of Beam Therapeutics Inc.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Christine Bellon,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7866" TargetMode="External"/><Relationship Id="rId5" Type="http://schemas.openxmlformats.org/officeDocument/2006/relationships/hyperlink" Target="http://www.sec.gov/cgi-bin/browse-edgar?action=getcompany&amp;CIK=00017459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3353</Characters>
  <CharactersWithSpaces>3912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