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01" w:lineRule="auto"/>
        <w:tabs>
          <w:tab w:leader="none" w:pos="480" w:val="left"/>
        </w:tabs>
        <w:numPr>
          <w:ilvl w:val="0"/>
          <w:numId w:val="2"/>
        </w:numPr>
        <w:rPr>
          <w:rFonts w:ascii="MS PGothic" w:cs="MS PGothic" w:eastAsia="MS PGothic" w:hAnsi="MS PGothic"/>
          <w:sz w:val="6"/>
          <w:szCs w:val="6"/>
          <w:color w:val="auto"/>
        </w:rPr>
      </w:pPr>
      <w:r>
        <w:rPr>
          <w:rFonts w:ascii="Times New Roman" w:cs="Times New Roman" w:eastAsia="Times New Roman" w:hAnsi="Times New Roman"/>
          <w:sz w:val="6"/>
          <w:szCs w:val="6"/>
          <w:b w:val="1"/>
          <w:bCs w:val="1"/>
          <w:color w:val="auto"/>
        </w:rPr>
        <w:t>TRANSITION REPORT PURSUANT TO SECTION 13 OR 15(d) OF THE SECURITIES EXCHANGE ACT OF 1934 FOR THE</w:t>
      </w:r>
    </w:p>
    <w:p>
      <w:pPr>
        <w:spacing w:after="0" w:line="199" w:lineRule="exact"/>
        <w:rPr>
          <w:sz w:val="24"/>
          <w:szCs w:val="24"/>
          <w:color w:val="auto"/>
        </w:rPr>
      </w:pPr>
    </w:p>
    <w:p>
      <w:pPr>
        <w:ind w:left="4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001-39208</w:t>
      </w:r>
    </w:p>
    <w:p>
      <w:pPr>
        <w:spacing w:after="0" w:line="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-297815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920" w:type="dxa"/>
            <w:vAlign w:val="bottom"/>
            <w:gridSpan w:val="5"/>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480" w:type="dxa"/>
            <w:vAlign w:val="bottom"/>
            <w:vMerge w:val="restart"/>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vMerge w:val="restart"/>
          </w:tcPr>
          <w:p>
            <w:pPr>
              <w:jc w:val="right"/>
              <w:ind w:right="1485"/>
              <w:spacing w:after="0"/>
              <w:rPr>
                <w:sz w:val="20"/>
                <w:szCs w:val="20"/>
                <w:color w:val="auto"/>
              </w:rPr>
            </w:pPr>
            <w:r>
              <w:rPr>
                <w:rFonts w:ascii="Times New Roman" w:cs="Times New Roman" w:eastAsia="Times New Roman" w:hAnsi="Times New Roman"/>
                <w:sz w:val="16"/>
                <w:szCs w:val="16"/>
                <w:b w:val="1"/>
                <w:bCs w:val="1"/>
                <w:color w:val="auto"/>
              </w:rPr>
              <w:t>81-5238376</w:t>
            </w:r>
          </w:p>
        </w:tc>
        <w:tc>
          <w:tcPr>
            <w:tcW w:w="0" w:type="dxa"/>
            <w:vAlign w:val="bottom"/>
          </w:tcPr>
          <w:p>
            <w:pPr>
              <w:spacing w:after="0"/>
              <w:rPr>
                <w:sz w:val="1"/>
                <w:szCs w:val="1"/>
                <w:color w:val="auto"/>
              </w:rPr>
            </w:pPr>
          </w:p>
        </w:tc>
      </w:tr>
      <w:tr>
        <w:trPr>
          <w:trHeight w:val="244"/>
        </w:trPr>
        <w:tc>
          <w:tcPr>
            <w:tcW w:w="34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860" w:type="dxa"/>
            <w:vAlign w:val="bottom"/>
            <w:gridSpan w:val="4"/>
          </w:tcPr>
          <w:p>
            <w:pPr>
              <w:jc w:val="center"/>
              <w:ind w:right="1220"/>
              <w:spacing w:after="0" w:line="15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State or other jurisdiction of</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tcPr>
          <w:p>
            <w:pPr>
              <w:jc w:val="center"/>
              <w:ind w:right="825"/>
              <w:spacing w:after="0" w:line="15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68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05"/>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238 Main Street</w:t>
            </w: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0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Pr>
          <w:p>
            <w:pPr>
              <w:jc w:val="right"/>
              <w:ind w:right="166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98"/>
        </w:trPr>
        <w:tc>
          <w:tcPr>
            <w:tcW w:w="686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Zip Code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90"/>
        </w:trPr>
        <w:tc>
          <w:tcPr>
            <w:tcW w:w="3480" w:type="dxa"/>
            <w:vAlign w:val="bottom"/>
          </w:tcPr>
          <w:p>
            <w:pPr>
              <w:spacing w:after="0"/>
              <w:rPr>
                <w:sz w:val="24"/>
                <w:szCs w:val="24"/>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857-327-8775</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392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48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Pr>
          <w:p>
            <w:pPr>
              <w:spacing w:after="0"/>
              <w:rPr>
                <w:sz w:val="21"/>
                <w:szCs w:val="21"/>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4"/>
        </w:trPr>
        <w:tc>
          <w:tcPr>
            <w:tcW w:w="34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2"/>
        </w:trPr>
        <w:tc>
          <w:tcPr>
            <w:tcW w:w="3480" w:type="dxa"/>
            <w:vAlign w:val="bottom"/>
          </w:tcPr>
          <w:p>
            <w:pPr>
              <w:jc w:val="center"/>
              <w:ind w:left="224"/>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BEAM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Nasdaq Global Select Market</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50"/>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98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82"/>
              </w:rPr>
              <w:t>Yes</w:t>
            </w:r>
          </w:p>
        </w:tc>
        <w:tc>
          <w:tcPr>
            <w:tcW w:w="24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9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0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7" w:lineRule="exact"/>
        <w:rPr>
          <w:sz w:val="24"/>
          <w:szCs w:val="24"/>
          <w:color w:val="auto"/>
        </w:rPr>
      </w:pPr>
    </w:p>
    <w:p>
      <w:pPr>
        <w:ind w:right="520"/>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120"/>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$2.46 billion, based on the closing price of the registrant’s common stock on Nasdaq on June 30, 2022, the last business day of the registrant’s most recently completed second quarter.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22, 2023 was 72,397,631.</w:t>
      </w:r>
    </w:p>
    <w:p>
      <w:pPr>
        <w:spacing w:after="0" w:line="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180"/>
        <w:spacing w:after="0" w:line="243" w:lineRule="auto"/>
        <w:rPr>
          <w:sz w:val="20"/>
          <w:szCs w:val="20"/>
          <w:color w:val="auto"/>
        </w:rPr>
      </w:pPr>
      <w:r>
        <w:rPr>
          <w:rFonts w:ascii="Times New Roman" w:cs="Times New Roman" w:eastAsia="Times New Roman" w:hAnsi="Times New Roman"/>
          <w:sz w:val="14"/>
          <w:szCs w:val="14"/>
          <w:color w:val="auto"/>
        </w:rPr>
        <w:t>Registrant incorporates by reference into Part III (Items 10, 11, 12, 13 and 14) of this Annual Report on Form 10-K portions of the Registrant’s definitive Proxy Statement for the 2023 Annual Meeting of Stockholders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2"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736600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80"/>
        </w:trPr>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140" w:type="dxa"/>
            <w:vAlign w:val="bottom"/>
          </w:tcPr>
          <w:p>
            <w:pPr>
              <w:spacing w:after="0"/>
              <w:rPr>
                <w:sz w:val="16"/>
                <w:szCs w:val="16"/>
                <w:color w:val="auto"/>
              </w:rPr>
            </w:pPr>
          </w:p>
        </w:tc>
        <w:tc>
          <w:tcPr>
            <w:tcW w:w="102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140" w:type="dxa"/>
            <w:vAlign w:val="bottom"/>
          </w:tcPr>
          <w:p>
            <w:pPr>
              <w:spacing w:after="0"/>
              <w:rPr>
                <w:sz w:val="19"/>
                <w:szCs w:val="19"/>
                <w:color w:val="auto"/>
              </w:rPr>
            </w:pPr>
          </w:p>
        </w:tc>
        <w:tc>
          <w:tcPr>
            <w:tcW w:w="1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TRADEMARKS</w:t>
            </w:r>
          </w:p>
        </w:tc>
        <w:tc>
          <w:tcPr>
            <w:tcW w:w="4540" w:type="dxa"/>
            <w:vAlign w:val="bottom"/>
            <w:tcBorders>
              <w:top w:val="single" w:sz="8" w:color="0000FF"/>
            </w:tcBorders>
            <w:gridSpan w:val="17"/>
          </w:tcPr>
          <w:p>
            <w:pPr>
              <w:spacing w:after="0"/>
              <w:rPr>
                <w:sz w:val="19"/>
                <w:szCs w:val="19"/>
                <w:color w:val="auto"/>
              </w:rPr>
            </w:pPr>
          </w:p>
        </w:tc>
        <w:tc>
          <w:tcPr>
            <w:tcW w:w="4420" w:type="dxa"/>
            <w:vAlign w:val="bottom"/>
            <w:gridSpan w:val="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40" w:type="dxa"/>
            <w:vAlign w:val="bottom"/>
          </w:tcPr>
          <w:p>
            <w:pPr>
              <w:spacing w:after="0"/>
              <w:rPr>
                <w:sz w:val="19"/>
                <w:szCs w:val="19"/>
                <w:color w:val="auto"/>
              </w:rPr>
            </w:pPr>
          </w:p>
        </w:tc>
        <w:tc>
          <w:tcPr>
            <w:tcW w:w="10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AND INDUSTRY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40" w:type="dxa"/>
            <w:vAlign w:val="bottom"/>
          </w:tcPr>
          <w:p>
            <w:pPr>
              <w:spacing w:after="0"/>
              <w:rPr>
                <w:sz w:val="19"/>
                <w:szCs w:val="19"/>
                <w:color w:val="auto"/>
              </w:rPr>
            </w:pPr>
          </w:p>
        </w:tc>
        <w:tc>
          <w:tcPr>
            <w:tcW w:w="26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RISK FACTORS SUMMARY</w:t>
            </w:r>
          </w:p>
        </w:tc>
        <w:tc>
          <w:tcPr>
            <w:tcW w:w="7560" w:type="dxa"/>
            <w:vAlign w:val="bottom"/>
            <w:gridSpan w:val="1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07"/>
        </w:trPr>
        <w:tc>
          <w:tcPr>
            <w:tcW w:w="140" w:type="dxa"/>
            <w:vAlign w:val="bottom"/>
          </w:tcPr>
          <w:p>
            <w:pPr>
              <w:spacing w:after="0"/>
              <w:rPr>
                <w:sz w:val="24"/>
                <w:szCs w:val="24"/>
                <w:color w:val="auto"/>
              </w:rPr>
            </w:pPr>
          </w:p>
        </w:tc>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PART 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507"/>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507"/>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507"/>
        </w:trPr>
        <w:tc>
          <w:tcPr>
            <w:tcW w:w="1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2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1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6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14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8"/>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716"/>
        </w:trPr>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important risks, uncertainties and assumptions, including those described in “Risk Factors Summary” and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expectations and anticipated results of operations;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clinical trials, including our Phase 1/2 clinical trial designed to assess the safety and efficacy of BEAM-101 for the treatment of sickle cell disease, which we refer to as our BEACON trial, and our anticipated Phase 1/2 clinical trial designed to assess the safety and efficacy of BEAM-201 for the treatment of relapsed, refractory T-cell acute lymphoblastic leukemia/T cell lymphoblastic lymphoma;</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research and development programs and preclinical studies, including our expectations that we will submit regulatory applications for BEAM-301 by late 2023 or in early 2024, and for BEAM-302 in early 2024;</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a sustainable portfolio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life-long, curative, precision genetic medicines for patients through base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hub for partnering with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preclinical studies for product candidates in our pipeline;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successfully complete any clinical trials or preclinical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 broad suite of clinically validated delivery modalities;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31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base editing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delivery modalities and obtain and maintain approval for our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maintain a commercial-scale current Good Manufacturing Practice, or cGMP, manufacturing facility and our expectations that we will initiate cGMP compliant operations in late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strategic and other potential benefits of our acquisition of Guide;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over which we believe that our existing cash, cash equivalents and marketable securities, will be sufficient to fund our operating expenses and capital expenditure requirements;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 such as the COVID-19 pandemic.</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use BEAM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Annual Report on Form 10-K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Summary” and “Risk Factors” in Part I, Item 1A of this report. These and other factors could cause our future performance to differ materially from our assumptions and estimates.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risks. You should consider carefully the following risks, which are discussed more fully in “Item 1.A. Risk Factors”, and all of the other information contained in this Annual Report on Form 10-K before investing in our common stock. These risks include, but are not limited to,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Many of our product candidates are still in preclinical development or earlier stages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epidemics or outbreaks, including COVID-19, could have a material adverse effect on our business, financial condition, results of operations and growth prospects.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many of our proposed delivery modalities and product candidates in clinical trials and any favorable preclinical results are not predictive of results that may be observed in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genetic medicines, and gene editing and base editing in particular, may negatively impact regulatory approval of, and/or demand for, our potential products.</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genetic medicines, and in particular any novel genetic medicines we may develop, have changed frequently and may continue to change in the future.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materials for our research programs, preclinical studies and clinical trial and expect to continue to do so for at least a portion of the manufacturing process for our research programs, preclinical studies,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product candidates in the field of genetics medicines, a field that includes gene therapy and gene editing, in which there is little clinical experience, there is increased risk that the U.S. Food and Drug Administration, the European Medicines Agency or other regulatory authorities may not consider the endpoints of our clinical trials to provide clinically meaningful results and that these results may be difficult to analyze.</w:t>
      </w:r>
    </w:p>
    <w:p>
      <w:pPr>
        <w:spacing w:after="0" w:line="71"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75"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technology and product candidates are subject, in part, to the terms and conditions of licenses granted to us by others.</w:t>
      </w:r>
    </w:p>
    <w:p>
      <w:pPr>
        <w:spacing w:after="0" w:line="53"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asserted and may in the future assert that we, our employees, consultants, or advisors have wrongfully used or disclosed confidential information or misappropriated trade secrets.</w:t>
      </w:r>
    </w:p>
    <w:p>
      <w:pPr>
        <w:spacing w:after="0" w:line="53" w:lineRule="exact"/>
        <w:rPr>
          <w:rFonts w:ascii="Times New Roman" w:cs="Times New Roman" w:eastAsia="Times New Roman" w:hAnsi="Times New Roman"/>
          <w:sz w:val="18"/>
          <w:szCs w:val="18"/>
          <w:color w:val="auto"/>
        </w:rPr>
      </w:pPr>
    </w:p>
    <w:p>
      <w:pPr>
        <w:ind w:left="503" w:right="6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1"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rely on information technology in our own systems and those of our business partners. These systems are subject to a wide and growing variety of cybersecurity risks that may adversely impact our business activities or our ability to engage in various transactions to support our business activities.</w:t>
      </w:r>
    </w:p>
    <w:p>
      <w:pPr>
        <w:spacing w:after="0" w:line="67"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activities depend on the use and disclosure of personal data related to individuals participating in our clinical trials. The rules addressing this data are changing across the world, and these rules may adversely impact our ability to identify individuals for clinical trials or conduct our trials.</w:t>
      </w:r>
    </w:p>
    <w:p>
      <w:pPr>
        <w:spacing w:after="0" w:line="67" w:lineRule="exact"/>
        <w:rPr>
          <w:rFonts w:ascii="Times New Roman" w:cs="Times New Roman" w:eastAsia="Times New Roman" w:hAnsi="Times New Roman"/>
          <w:sz w:val="18"/>
          <w:szCs w:val="18"/>
          <w:color w:val="auto"/>
        </w:rPr>
      </w:pPr>
    </w:p>
    <w:p>
      <w:pPr>
        <w:ind w:left="503" w:right="10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2"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establishing internal manufacturing capabilities.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80"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that can result in unwanted DNA modifications. We believe that the precision of our editors will dramatically increase the impact of gene editing for a broad range of therapeutic applications.</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advancing our base editing technology across three disease-area portfolios: hematology, immunology/oncology and genetic diseases. We are also pursuing a broad suite of both clinically validated and novel delivery modalities, depending on tissue type, including both ex vivo approaches in our hematology and immunology-oncology portfolios as well as in vivo approaches across our programs.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elegance of the base editing approach combined with a tissue specific delivery modality provides the basis for a targeted, efficient, precise, and highly versatile gene editing system, capable of gene correction, gene modification, gene silencing or gene activation, and/or multiplex editing of several genes simultaneously. We are currently advancing a broad, diversified portfolio of base editing programs against distinct editing targets, utilizing the full range of our development capabilities. Furthermore, in addition to our portfolio, we are also pursuing an innovative, platform-based business model with the goal of further expanding our access to new technologies in genetic medicine and increasing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continue to make meaningful advancements across our programs. We are advancing two clinical stage programs, BEAM-101 and BEAM-201, and we are moving two additional development candidates, BEAM-301 and BEAM-302, toward clinical development:</w:t>
      </w:r>
    </w:p>
    <w:p>
      <w:pPr>
        <w:spacing w:after="0" w:line="54" w:lineRule="exact"/>
        <w:rPr>
          <w:sz w:val="20"/>
          <w:szCs w:val="20"/>
          <w:color w:val="auto"/>
        </w:rPr>
      </w:pPr>
    </w:p>
    <w:p>
      <w:pPr>
        <w:ind w:left="1020" w:right="10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BEAM-101 is a patient-specific, autologous hematopoietic stem cell, or HSC, investigational therapy designed to offer a potentially best-in-class profile, incorporating base edits that are intended to mimic single nucleotide polymorphisms seen in individuals with hereditary persistence of fetal hemoglobin, or HPFH. BEAM-101 aims to alleviate the effects of sickle cell disease or beta-thalassemia by increasing fetal hemoglobin, which is expected to increase functional hemoglobin production and, in the case of sickle cell disease, inhibit hemoglobin S polymerization. In November 2022, we announced that we enrolled the first patient in our Phase 1/2 clinical trial designed to assess the safety and efficacy of BEAM-101 for the treatment of sickle cell disease, which we refer to as our BEACON trial. The BEACON trial is expected to include an initial “sentinel” cohort of three patients, treated one at a time to confirm successful engraftment, followed by dosing in up to a total of 45 patients. The clinical trial is designed to initially include patients ages 18 to 35 with severe sickle cell disease who have received prior treatment with at least one disease-modifying agent with inadequate response or intolerance. Following mobilization, conditioning and treatment with BEAM-101, patients will be assessed for safety and tolerability, with safety endpoints including neutrophil and platelet engraftment. Patients will also be assessed for efficacy, with efficacy endpoints including the change from baseline in severe vaso-occlusive events, transfusion requirements, hemoglobin F levels, and quality of life assessments. We expect to complete enrollment in the sentinel cohort and initiate enrollment in the expansion cohort of the BEACON trial in 2023, and plan to report data from multiple patients from one or both cohorts in 2024.</w:t>
      </w:r>
    </w:p>
    <w:p>
      <w:pPr>
        <w:spacing w:after="0" w:line="8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BEAM-201 is a development candidate comprised of T cells derived from healthy donors that are simultaneously edited at TRAC, CD7, CD52 and PDCD1 and then transduced with a lentivirus encoding for an anti-CD7 chimeric antigen receptor, or CAR, that is designed to create allogeneic CD7 targeting CAR-T cells, resistant to both fratricide and immunosuppression. At the end of June 2022, we submitted an IND to the U.S. Food and Drug Administration, or FDA, for BEAM-201 for the treatment of relapsed, refractory T-cell acute lymphoblastic leukemia/T cell lymphoblastic lymphoma, or T-ALL/T-LL, a severe disease affecting children and adults, and potentially other CD7+ malignancies. In December 2022, we received clearance from the FDA for our IND for BEAM-201. We have initiated a first-in-human Phase 1/2 clinical trial designed to evaluate the safety and efficacy of BEAM-201 in patients with relapsed/refractory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ind w:left="1020" w:right="100"/>
        <w:spacing w:after="0" w:line="258" w:lineRule="auto"/>
        <w:rPr>
          <w:sz w:val="20"/>
          <w:szCs w:val="20"/>
          <w:color w:val="auto"/>
        </w:rPr>
      </w:pPr>
      <w:r>
        <w:rPr>
          <w:rFonts w:ascii="Times New Roman" w:cs="Times New Roman" w:eastAsia="Times New Roman" w:hAnsi="Times New Roman"/>
          <w:sz w:val="18"/>
          <w:szCs w:val="18"/>
          <w:color w:val="auto"/>
        </w:rPr>
        <w:t>T-ALL/T-LL and we expect to dose the first patient in the trial by mid-2023. The Phase 1 portion of the trial is expected to include up to 48 patients between the ages of 18 and 50, followed by a Phase 2 portion with approximately 48 patients. Key safety endpoints for the trial include treatment-emergent and treatment-related adverse events, and key efficacy endpoints include proportion of patients with complete or partial responses, proportion eligible for HSC transplant and proportion achieving minimal residual disease negative status. We believe that BEAM-201 is the first quadruple-edited, allogeneic CAR-T cell investigational therapy in clinical-stage development.</w:t>
      </w:r>
    </w:p>
    <w:p>
      <w:pPr>
        <w:spacing w:after="0" w:line="75" w:lineRule="exact"/>
        <w:rPr>
          <w:sz w:val="20"/>
          <w:szCs w:val="20"/>
          <w:color w:val="auto"/>
        </w:rPr>
      </w:pPr>
    </w:p>
    <w:p>
      <w:pPr>
        <w:ind w:left="10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1a, or GSDIa. GSDIa is an autosomal recessive disorder caused by mutations in the G6PC gene that disrupt a key enzyme, glucose-6-phosphatase, or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 In November 2022, we announced that we had initiated IND-enabling studies for BEAM-301. By late 2023 or in early 2024, we plan to submit a regulatory application for BEAM-301 for authorization to initiate clinical trials for the program.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genetically correct the E342K point mutation (PiZZ genotype), which is most commonly responsible for severe alpha-1 antitrypsin deficiency, or AATD. AATD is an inherited genetic disorder that can cause early onset emphysema and liver disease. In November 2022, we announced BEAM-302 as a development candidate, and in early 2024, we plan to submit a regulatory application for BEAM-302 for authorization to initiate clinical trials for the program.</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also continue to advance numerous other programs in a range of therapeutic areas. We are leveraging our base editing capabilities to develop a potentially non-genotoxic approach to HSC transplantation, or HSCT, that combines antibody-based conditioning with multiplex gene edited HSCs called ESCAPE, or Engineered Stem Cell Antibody Paired Evasion. We have also achieved editing levels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in preclinical models, for the correction of the Q347X mutation, which is the second most prevalent mutation causing GSDIa, that could be clinically relevant if reproduced in humans. In addition, we are advancing approaches to treating Hepatitis B Virus, or HBV, infection using multiplex base editors to address viral rebound of HBV.</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modularity of our platform means that establishing preclinical proof-of-concept of base editing using a particular delivery modality will potentially reduce risk and accelerate the timeline for the development of additional product candidates targeting the same tissue. In some cases, a new product candidate may only require changing the guide RNA. Subsequent programs using the same delivery modality can also take advantage of shared capabilities and resources of earlier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current methods in genetic medicines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human genome has four types of bases found in DNA: adenine (A), cytosine (C), guanine (G), and thymine (T). Adenine pairs with thymine, and cytosine pairs with guanine. The genome is comprised of over three billion of these base pairs in two intertwining strands of DNA; the sequence of these bases encodes genes. In a living cell, these DNA sequences are continuously copied into short ribonucleic acid transcripts, called messenger RNA, or mRNA, which are then translated into proteins that perform the functions of life. By precisely modulating the DNA sequence, it is possible to develop different therapeutic approaches. One of these approaches involves correcting misspellings in genes, known as mutations, which can yield proteins that are dysfunctional or missing altogether, causing disease. An additional example involves modulating genes in immune cells that can improve the ability of these cells to kill certain cancers as, for example, in the case of CAR-T cells.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we are well-positioned to accelerate progression of our base editing programs to clinical trials and through potential approval by leveraging the clinical, regulatory, and manufacturing advancements made to date in the field of genetic medicine as well as the significant internal development capabilities we have established. In addition, we believe the combination of our base editing technology and our proprietary delivery technologies has the potential to provide life-long cures after a single treatment by overcoming challenges associated with current methods in gene editing.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Current challenges in gene editing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 editing works by disrupting, inserting, or modifying genes in the natural context of the genome. Most established gene editing methods rely on a class of enzymes, called nucleases, to make a double-stranded break in the DNA at a targeted location. These enzymes include CRISPR, Zinc Fingers, Arcuses, and TAL Nucleases, and, while these approaches have distinct technical features relative to each other, they each make the same type of edit and, therefore, share several similar limitations.</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First, there is a lack of predictability in genetic outcomes when altering gene sequences with nucleases. The dominant, naturally-occurring DNA repair system that corrects double-stranded breaks within cells is called Non-Homologous End Joining, or NHEJ. This system can patch the broken ends of the chromosomes back together but will simultaneously insert or delete sequences at random near the location where the break occurs. While this NHEJ approach can be effective if the desired outcome is to knock out or switch off the whole gene, it does not allow for precise control of the specific genetic outcome at the target site and its effects may vary from individual to individual.</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Second, there are potential toxicities associated with double-stranded breaks, such as activating the cell death response and/or genomic instability. In addition, if the double-stranded break occurs in the wrong place, the break can also lead to unwanted gene disruptions. Multiple edits using NHEJ, and thus multiple double-stranded breaks, can compound this issue and lead to large-scale genomic translocations and rearrangements, potentially limiting the applicability of nuclease-based approaches in multiplex editing.</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while gene disruption with nucleases is efficient, making specific sequence changes to correct or modify genes remains largely inefficient. To change a gene sequence, gene editing using nucleases relies on a DNA repair pathway called Homology Directed Repair, or HDR. HDR is a low-efficiency DNA repair pathway, typically yielding single digit percentage editing. This pathway also requires the simultaneous delivery of an additional DNA template containing the desired, corrected gene sequence, which needs to be positioned at the precise location where the double-stranded break has occurred. The requirement of an additional DNA template significantly increases the complexity of delivery. More recently, approaches have been developed to insert sequences into certain highly expressed genes, such as the albumin locus in liver cells. These editing approaches currently can only be used to address diseases that are associated with circulating proteins, and the efficiency of these approaches remains low.</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Finally, gene editing through HDR does not allow for the correction of genes in non-dividing cells, since this DNA repair machinery is only expressed in dividing cells, further limiting their applications, given that the majority of cells in the adult body are non-dividing.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editors: A potential differentiated class of medicines that perform precision chemistry on genes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Errors of a single base, known as point mutations, are the most common class of genetic mutations, representing approximately 58% of all the known genetic errors associated with disease. Other natural genetic variations of a single base among human populations, revealed by population-level genomic studies, are known to protect against certain diseases. Established gene editing technologies, including CRISPR, Zinc Fingers, Arcuses and TAL Nucleases, typically do not edit at the single base level, due to the low efficiency of HDR. Instead, these technologies operate by creating a targeted double-stranded break in the DNA, and then rely on cellular mechanisms to complete the editing process. Such approaches can be effective in the disruption of gene expression; however, they have limited control of the editing outcome and low efficiency of precise gene correction, and can result in unwanted DNA modifications.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base editing technology is a differentiated therapeutic approach, potentially capable of altering the human genome at the foundational level of genetic information – a single base – without making a double-stranded break in the DNA. Base editing involves the enzymatic modification of a single type of base, at a targeted location directly on the gene, specifically C-to-T or A-to-G. The elegance and simplicity of this approach can be thought of as a “pencil,” where the error is erased and the correct letter is written. This approach is designed to create precise, predictable and efficient genetic outcomes at a targeted sequence, which can be used in a variety of editing strategies, including the correction of single mutations or the engineering of advanced cell therapies, aimed at providing a compelling therapeutic benefit. We believe, therefore, that base editors may have broad therapeutic applicability and transformational potential for the field of precision genetic medicines.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base editing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base editing platform offers meaningful advantages over established approaches in gene editing,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precise and predictable gene editing, designed to make only one type of base edit at the desired target 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efficient and therapeutically relevant levels of gene correction, which are generally unachievable by nuclease-based editing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applicability in a wide range of cell types, including both dividing and non-dividing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chemical modification of DNA with no requirement for delivery of the corrected DNA sequence;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 w:name="page11"/>
    <w:bookmarkEnd w:id="10"/>
    <w:p>
      <w:pPr>
        <w:ind w:left="1020" w:right="8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unwanted DNA modifications associated with double-stranded breaks, including gene disruptions and chromosomal rearrangements, such as translocations or deletions;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natural regulation and a normal number of copies of the gene in the cell by modification of genes in their native genomic setting;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versatile and modular product engine that can target a different gene sequence with the same base editor and a different guide RNA.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platform</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proprietary DNA base editors have two principal components that may be fused together or incorporated into one another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 This proprietary combination enables the precise and targeted editing of a single base pair of DNA, which has not been previously possible with established gene editing technologies.</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CRISPR proteins enable precise targeting of genomic DNA sequences. These proteins have been adapted and engineered over the years to target specific genomic locations with high specificity in human cells. CRISPR proteins incorporate a programmable component called a guide RNA. The guide RNA includes a region of approximately 20 bases, which allows the CRISPR protein to recognize any DNA sequence that is complementary to the guide RNA. This complementary sequence on DNA, also approximately 20 bases, is known as a protospacer. The short sequence of about three bases immediately following the protospacer on the genomic DNA is referred to as the protospacer adjacent motif, or PAM. The presence of the PAM is necessary for RNA-DNA pairing to occur when a matching protospacer sequence is present.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base editors, the first component is the CRISPR protein. We currently use a CRISPR associated protein 9, or Cas9, protein for our DNA base editors. We also have ongoing efforts to create base editors with other CRISPR associated, or Cas, proteins, including Cas protein 12b, or Cas12b, a nuclease that is proprietary to Beam. The targeting ability of the CRISPR protein has been preserved, but the cutting ability has been modified such that the CRISPR protein does not make a double-stranded break in the DNA. Our base editors benefit from an additional feature of the CRISPR protein, which, upon binding to its double-stranded DNA target, opens a four to five base single-stranded segment, known as the editing window.</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second component of our base editors is a deaminase, a class of naturally occurring enzymes. For our Cytosine Base Editors, or CBEs, we use a deaminase that is designed to act only on single-stranded DNA. This helps to minimize edits in other parts of the genome, where DNA is predominantly double-stranded. Similarly, for our Adenine Base Editors, or ABEs, we use a different, engineered deaminase that is also designed to act only on single-stranded DNA.</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deaminase makes a predictable chemical modification, called deamination, of the amine group on either adenine or cytosine. The deaminase in a CBE will convert an amine group of C, resulting in the formation of uracil, which is read by the DNA polymerase as a T. Once this strand has been edited, the intermediate DNA consists of an edited strand, containing a U at the target locus, and an unedited strand with a G. The U:G is a mismatch, which the cell will normally attempt to repair in a process that can potentially lose the edit. In order to preserve the editing, we modify the CRISPR in our base editors to cleave the unedited single strand of the DNA, referred to as nicking, rather than creating double-stranded breaks. Nicking is intended to increase the efficiency of editing by inducing the cell to use the newly edited strand, and not the unedited strand, as the template for repair, resulting in a U:A pair with minimal translocations. Upon DNA repair or replication, the U is read as a T, resulting in a T:A pair, thereby completing the permanent conversion of a C:G base pair to a T:A base pair.</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Analogously, when an ABE is used instead of a CBE, the conversion of an amine group of A results in the formation of inosine, which is read by the DNA polymerase as a G, which subsequently leads to an A-to-G change. As a result, an A:T pair is converted to a G:C pair. Because the DNA is double-stranded, by targeting the non-coding strand, we can also convert a T:A pair to a C:G and a G:C pair to a A:T pair in the coding strand. For example, using ABE to install an A-to-G edit on the non-coding strand of the DNA will cause a T-to-C change in the coding sequence of the gene once the base pair has been fully modified. We have also developed base editors capable of dual editing, installing both a C-to-T edit as well as an A-to-G edit with a single base editor capable of both cytosine and adenine deamination.</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modular and individual components of our base editors have the potential to be rapidly customized for specific diseases, potentially allowing us to create new programs with significant efficiencies in development. By changing the guide RNA portions of the CRISPR protein, we believe we can quickly and precisely retarget base editors to different genomic locations based on their gene sequences. By changing the deaminase, for example, we can quickly and precisely retarget which base is edited (e.g., C or A). As a result, we believe our base editing platform is highly versatile, efficient, and scalable for the discovery of drug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Diverse therapeutic applications of base editing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the unique advantages of our base editing platform – single base editing precision, predictable editing outcome, high editing efficiency, and the avoidance of double-stranded breaks – make base editing a compelling approach for a wide range of therapeutic applications. This includes gene correction, gene modification, gene silencing and gene activation, as well as multiplex editing of several genes simultaneously.</w:t>
      </w:r>
    </w:p>
    <w:p>
      <w:pPr>
        <w:spacing w:after="0" w:line="64" w:lineRule="exact"/>
        <w:rPr>
          <w:sz w:val="20"/>
          <w:szCs w:val="20"/>
          <w:color w:val="auto"/>
        </w:rPr>
      </w:pPr>
    </w:p>
    <w:p>
      <w:pPr>
        <w:ind w:left="1020" w:right="8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 Correction </w:t>
      </w:r>
      <w:r>
        <w:rPr>
          <w:rFonts w:ascii="Times New Roman" w:cs="Times New Roman" w:eastAsia="Times New Roman" w:hAnsi="Times New Roman"/>
          <w:sz w:val="18"/>
          <w:szCs w:val="18"/>
          <w:color w:val="auto"/>
        </w:rPr>
        <w:t>- Errors of a single base, known as point mutations, are the most common form of genetic mutations, representing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58% of all the known genetic errors associated with disease. For example, sickle cell disease is caused by a single point mutation at position 6 in the adult hemoglobin gene, while alpha-1 antitrypsin deficiency is caused by a single point mutation at position 342 in the SERPINA1 gene. We believe base editors may be an ideal tool for repairing point mutations.</w:t>
      </w:r>
    </w:p>
    <w:p>
      <w:pPr>
        <w:spacing w:after="0" w:line="68" w:lineRule="exact"/>
        <w:rPr>
          <w:rFonts w:ascii="Times New Roman" w:cs="Times New Roman" w:eastAsia="Times New Roman" w:hAnsi="Times New Roman"/>
          <w:sz w:val="18"/>
          <w:szCs w:val="18"/>
          <w:color w:val="auto"/>
        </w:rPr>
      </w:pPr>
    </w:p>
    <w:p>
      <w:pPr>
        <w:ind w:left="1020" w:right="6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 Modification </w:t>
      </w:r>
      <w:r>
        <w:rPr>
          <w:rFonts w:ascii="Times New Roman" w:cs="Times New Roman" w:eastAsia="Times New Roman" w:hAnsi="Times New Roman"/>
          <w:sz w:val="18"/>
          <w:szCs w:val="18"/>
          <w:color w:val="auto"/>
        </w:rPr>
        <w:t>- In addition to repairing point mutations, base editors are also capable of making other kinds of precise modifications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genes that could be used to treat disease. Natural genetic variations of a single base among human populations, revealed by population-level genomic studies, are now known to protect against or modify risk for many diseases, including Alzheimer’s disease, cardiovascular disease and liver disease. We believe base editors could potentially prevent or modify risk of disease by making these kinds of precise single-base modifications to genes, informed by human clinical genetics.</w:t>
      </w:r>
    </w:p>
    <w:p>
      <w:pPr>
        <w:spacing w:after="0" w:line="71" w:lineRule="exact"/>
        <w:rPr>
          <w:rFonts w:ascii="Times New Roman" w:cs="Times New Roman" w:eastAsia="Times New Roman" w:hAnsi="Times New Roman"/>
          <w:sz w:val="18"/>
          <w:szCs w:val="18"/>
          <w:color w:val="auto"/>
        </w:rPr>
      </w:pPr>
    </w:p>
    <w:p>
      <w:pPr>
        <w:ind w:left="1020" w:right="20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 Silencing or Activation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Upregulation or downregulation, including silencing and activation, of gene expression is a desirable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approach to cure many diseases. The high level of precision of base editors is ideally suited to alter regulatory regions of genes, ensuring that only a few bases at precise locations are altered to achieve the desired effect without causing broader disruptions to adjacent regions that may still have important regulatory functions. For example, we have demonstrated in preclinical studies re-activation of expression of fetal hemoglobin by precisely changing the regulatory region of the relevant genes, thus preventing one or more repressor proteins, including B-cell lymphoma/leukemia 11A, from binding. Both our CBEs and ABEs can also be used to silence the expression of genes, with editing rates that are highly comparable to those achieved with nuclease-based editors but without requiring a double-stranded break. Gene silencing, such as targeting surface proteins in a CAR-T cell, can be achieved either by the conversion of certain short gene sequences, called codons, into STOP codons or by the disruption of splice donor-acceptor sites, in each case with a single base conversion.</w:t>
      </w:r>
    </w:p>
    <w:p>
      <w:pPr>
        <w:spacing w:after="0" w:line="80"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Multiplex base editing </w:t>
      </w:r>
      <w:r>
        <w:rPr>
          <w:rFonts w:ascii="Times New Roman" w:cs="Times New Roman" w:eastAsia="Times New Roman" w:hAnsi="Times New Roman"/>
          <w:sz w:val="18"/>
          <w:szCs w:val="18"/>
          <w:color w:val="auto"/>
        </w:rPr>
        <w:t>- By avoiding the creation of double-stranded breaks, base editors are particularly advantageous in situations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sequences in the genome must be simultaneously edited. This could include targeting duplicated or repetitive sequences in the genome, as is the case with the identical regulatory regions of the two neighboring genes for fetal hemoglobin, or targeting several genes at once, such as in the creation of advanced cell therapies like CAR-T cells with a combination of features that could dramatically enhance their therapeutic potential. Base editors are designed to not create double-stranded breaks, and we have demonstrated in preclinical cell line studies that they can edit multiple locations simultaneously without causing any detectable chromosomal rearrangements. Additionally, there are manufacturing benefits as cells that have three or more nuclease edits appear to have a significant growth deficit compared to cells that have been edited the same number of times with a base editor. We believe that our base editors can provide a significant and meaningful advancement in therapies where more complex gene editing is required, such as targeting multiple sequences across the genome or creating highly engineered cellular therapies.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genetic medicines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To complement our next-generation gene editing technologies, we are also making significant investments in a broad suite of delivery technologies designed to deliver gene editing or other nucleic acid payloads to the right cells and enable potentially curative therapy. These delivery technologies include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modalities, such as electroporation, as well as</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modalities such as LNPs and viral vectors. In our pipeline, we have initially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applications of these technologies where their delivery capabilities have already been clinically-validated by third parties, such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of blood stem cells and LNP delivery to the liver. Longer term, we are also investing in more innovative delivery options, such as LNPs that could target other organs beyond the liver, or novel viral vectors. We have also developed critical enabling capabilities such as mRNA manufacturing and cell processing for autologous and allogeneic cell therapy.</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this approach, our acquisition of Guide Therapeutics, Inc., or Guide, provided us with a broad library of lipids and lipid formulations, as well as proprietary DNA barcode screening to enable high throughput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LNP screening. We have also expanded on the platform with RNA barcode screening. Using these technologies, we have generated additional novel LNPs that we believe can accelerate novel nonviral delivery of gene editing or other nucleic acid payloads to tissues beyond the liver. We also recently entered into a license and collaboration agreement with Orbital Therapeutics, Inc., or Orbital, that provides us with access to Orbital’s non-viral delivery technology. Orbital’s non-viral delivery platform is designed extend the durability and half-life of RNA therapeutics, while also expanding their delivery to a larger number of cell types and tissues.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Manufacturing of genetic medicines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realize the full potential of base editors as a differentiated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are establishing our own manufacturing facility, which will provide us the flexibility to manufacture a variety of different product modalities. We believe this investment will maximize the value of our portfolio and capabilities, the probability of technical success of our programs, and the speed at which we can provide potentially life-long cures to patients.</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We have a 100,000 square foot manufacturing facility in Research Triangle Park, North Carolina intended to support a broad range of clinical programs. The facility became operational in the first quarter of 2023, and we expect it to initiate cGMP operations in late 2023. The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oncology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diseases, with the capability to scale-up to support potential commercial supply. For our initial waves of clinical trials, we expect to use CMOs with relevant manufacturing experience in genetic medicines alongside our internal manufacturing capabilities.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summary, we believe that building an integrated platform combining our gene editing capabilities with advanced delivery and manufacturing capabilities will give us the flexibility to develop a sustainable portfolio, featuring rapid development of new programs and lifecycle improvements in our core programs. For example, for the treatment of sickle cell disease, we are pursuing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autologous transplant-based approach with BEAM-101, and also are investing in a potential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LNP-based treatment to reach even more patients – all because we have consolidated both cell-based and novel HSC-targeting LNP technologies internally.</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internal pipeline, the breadth and depth of our integrated technology platform gives us the opportunity to create a hub for partnering with other companies, which is an important part of our business model. We believe this model will help us to unlock the full potential of precision genetic medicine across a wider array of possible applications.</w:t>
      </w:r>
    </w:p>
    <w:p>
      <w:pPr>
        <w:spacing w:after="0" w:line="6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some cases, we have established collaborations that advance new programs in “whitespace” areas by giving a collaborator broad access to our various editing and delivery technologies, such as in our Verve collaboration in cardiovascular disease, our Apellis collaboration in complement-mediated disorders, and our Pfizer collaboration in rare diseases of the liver, muscle and central nervous system. In other cases, we have leveraged our team, capabilities and technologies to access other emerging technologies or capabilities, such as in our relationship with Prime Medicine and Orbital. Our overall goal with these platform activities is to continue expanding our access to the technologies and teams in genetic medicine that will maximize our long-term value creation and impact on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62230</wp:posOffset>
            </wp:positionV>
            <wp:extent cx="5991860" cy="3308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186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base editing portfolio</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building a diversified portfolio leveraging the full breadth of our editing and delivery technologies in parallel will maximize our ability to provide life-long curative therapies to patients over the broadest possible range of diseases. We plan to advance multiple programs through clinical development in parallel, with each one potentially capable of delivering proof-of-concept in Phase 1 clinical trials in genetically defined patient populations and potentially reaching approval on an accelerated pathway. Our portfolio is purposefully built around a mix of strategic and technical profiles, creating significant optionality and risk diversification. We prioritize and advance programs based on a number of criteria, including significant unmet medical need, editing feasibility, clinically validated delivery modalities, favorable clinical and regulatory development pathways, and evidence that base editing offers potentially compelling advantages for patients over available standards-of-care and novel therapeutic modalities in development.</w:t>
      </w:r>
    </w:p>
    <w:p>
      <w:pPr>
        <w:spacing w:after="0" w:line="7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Our programs are organized by disease focus: hematology programs delivered by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HSCs, immunology/oncology programs delivered by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 cells and genetic disease programs, delivered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using both LNP and novel viral technologies. The following table summarizes the status of certain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54610</wp:posOffset>
            </wp:positionV>
            <wp:extent cx="6172200" cy="302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Hematology: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HSCs</w:t>
      </w:r>
    </w:p>
    <w:p>
      <w:pPr>
        <w:spacing w:after="0" w:line="12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We are advancing hematology base editing programs in which HSCs are collected from a patient, edited using electroporation, a clinically validated technology for the delivery of therapeutic constructs into harvested cells, and then infused back into the patient following a myeloablative conditioning regimen, such as treatment with busulfan, the standard of care in HSC transplantation today. Once reinfused, the HSCs begin repopulating a portion of the bone marrow in a process known as engraftment. The engrafted, edited HSCs give rise to progenitor cell types with the corrected gene sequences. We plan to deploy this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approach in our BEAM-101 (sickle cell disease and beta thalassemia) and ESCAPE (improved conditioning) base editing programs.</w:t>
      </w:r>
    </w:p>
    <w:p>
      <w:pPr>
        <w:spacing w:after="0" w:line="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HSCT; however, this procedure holds a high level of risk, particularly Graft-versus-Host Disease resulting in a low number of patients opting for this treatment.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4" w:name="page15"/>
    <w:bookmarkEnd w:id="14"/>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that consists of advancing our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program, BEAM-101, in Wave 1, improving patient conditioning regimens in Wave 2, and enabling</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base editing with delivery directly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HSCs of patients via LNPs in Wave 3. We believe this suite of technologies – base editing, improved conditioning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editing HSCs – can maximize the potential applicability of our sickle cell disease programs to patients as well as create a platform for the treatment of many other severe genetic blood disorders.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Wave 1: </w:t>
      </w:r>
      <w:r>
        <w:rPr>
          <w:rFonts w:ascii="Times New Roman" w:cs="Times New Roman" w:eastAsia="Times New Roman" w:hAnsi="Times New Roman"/>
          <w:sz w:val="18"/>
          <w:szCs w:val="18"/>
          <w:b w:val="1"/>
          <w:bCs w:val="1"/>
          <w:color w:val="auto"/>
        </w:rPr>
        <w:t>Ex Vivo</w:t>
      </w:r>
      <w:r>
        <w:rPr>
          <w:rFonts w:ascii="Times New Roman" w:cs="Times New Roman" w:eastAsia="Times New Roman" w:hAnsi="Times New Roman"/>
          <w:sz w:val="18"/>
          <w:szCs w:val="18"/>
          <w:b w:val="1"/>
          <w:bCs w:val="1"/>
          <w:i w:val="1"/>
          <w:iCs w:val="1"/>
          <w:color w:val="auto"/>
        </w:rPr>
        <w:t xml:space="preserve"> Base Editing via Autologous Transplant with BEAM-101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using base editing to pursue the development of BEAM-101 for the treatment of sickle cell disease and beta-thalassemia.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BEAM-101: Recreating naturally-occurring protective mutations to activate fetal hemoglobin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BEAM-101 is a patient-specific, autologous HSC investigational therapy designed to offer a potentially best-in-class profile, incorporating base edits that are intended to mimic single nucleotide polymorphisms seen in individuals with HPFH. BEAM-101 aims to alleviate the effects of sickle cell disease or beta-thalassemia by increasing fetal hemoglobin, which is expected to increase functional hemoglobin production and, in the case of sickle cell disease, inhibit hemoglobin S polymerization. In November 2022, we announced that we enrolled the first patient in our Phase 1/2 clinical trial designed to assess the safety and efficacy of BEAM-101 for the treatment of sickle cell disease, which we refer to as our BEACON trial. The BEACON trial is expected to include an initial “sentinel” cohort of three patients, treated one at a time to confirm successful engraftment, followed by dosing in up to a total of 45 patients. The clinical trial is designed to initially include patients ages 18 to 35 with severe sickle cell disease who have received prior treatment with at least one disease-modifying agent with inadequate response or intolerance. Following mobilization, conditioning and treatment with BEAM-101, patients will be assessed for safety and tolerability, with safety endpoints including neutrophil and platelet engraftment. Patients will also be assessed for efficacy, with efficacy endpoints including the change from baseline in severe vaso-occlusive events, transfusion requirements, hemoglobin F levels, and quality of life assessments. We expect to complete enrollment in the sentinel cohort and initiate enrollment in the expansion cohort of the BEACON trial in 2023, and plan to report data from multiple patients from one or both cohorts in 2024.</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Using base editing, we are attempting to reproduce these specific, naturally occurring base changes in the regulatory elements of the gamma globin genes, preventing binding of repressor proteins and leading to re-activation of gamma globin expression, and thus the increase in gamma globin levels. Our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characterization of BEAM-101 using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delivery achieved precise and efficient editing of human CD34+ HSPCs, resulting in long-term engraftment and therapeutically-relevant increases in target gene expression in mice. Additionally, there have been no observed guide-dependent or guide-independent off-target events for this program.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characterization of BEAM-101:</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demonstrated greater than 90% editing in healthy donor CD34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020" w:right="40" w:hanging="503"/>
        <w:spacing w:after="0" w:line="23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demonstrated gamma globin upregulation following erythroid differentiation is highly correlated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=0.993) with editing rates, where, at greater than 90% editing, we achieved a greater than 60% increase in gamma globin in healthy donor CD34+ cells.</w:t>
      </w:r>
    </w:p>
    <w:p>
      <w:pPr>
        <w:spacing w:after="0" w:line="9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observed successful editing of CD34+ cells from a homozygous sickle cell disease patient, demonstrating a greater than 60% increase in gamma globin levels with a concomitant decrease to less than 40% sickle beta globin levels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after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differentiation.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performance of BEAM-101:</w:t>
      </w:r>
    </w:p>
    <w:p>
      <w:pPr>
        <w:spacing w:after="0" w:line="119" w:lineRule="exact"/>
        <w:rPr>
          <w:sz w:val="20"/>
          <w:szCs w:val="20"/>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demonstrated that edited CD34+ cells from a healthy human donor engraft with high chimerism and maintain greater than 90% editing after 16 weeks in immunocompromised mice.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demonstrated after 16-week engraftment that base edited cells lead to successful multilineage reconstitution with greater than 90% base editing achieved in sorted human HSPCs, myeloid, lymphoid and erythroid cells.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replicated these findings with cells from a second donor at 18 weeks post-engraftment.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BEAM-102: Direct correction of the sickle cell mutation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second base editing approach for sickle cell disease, BEAM-102, is designed to directly correct the causative sickle mutation at position 6 of the beta globin gene. By making a single A-to-G edit, we have demonstrated in primary human CD34+ cells isolated from sickle cell disease patients the ability to create the naturally occurring HbG or “Makassar” variant of hemoglobin. This variant, which was identified in humans and first published in 1970, has the same function as the wild-type variant and does not cause sickle cell disease. Distinct from other approaches, cells that are successfully edited in this way are fully corrected, no longer containing the sickle protein.</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2020, we published preclinical data on BEAM-102 demonstrating that our ABEs can efficiently convert the causative Hemoglobin S, or HbS, point mutation, to HbG-Makassar, with high efficiency (more than 80%). In this preclinical study, the Makassar variant did not cause hemoglobin to polymerize and red blood cells to sickle and, therefore, edited cells were cured through elimination of the disease-causing protein. In December 2021, we presented data from preclinical studies further characterizing the Makassar hemoglobin created by BEAM-102 and demonstrating biophysical and biochemical properties consistent with normal hemoglobin.</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November 2022, we announced that we have decided to optimize our direct correction, “Makassar” approach, alongside our HPFH approach, for Wave 2 and Wave 3 of our sickle cell disease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Wave 2: Improved Conditioning</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parallel with Wave 1 development, we also aim to improve the transplant conditioning regimen for sickle cell disease patients undergoing HSCT, reducing toxicity challenges associated with HSCT standard of care. Conditioning is a critical component necessary to prepare a patient’s body to receive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edited cells that must engraft in the patient’s bone marrow in order to be effective. However, today’s conditioning regimens rely on nonspecific chemotherapy or radiation, which are associated with significant toxicities. As a potential alternative to genotoxic conditioning regimens in HSCT, we are advancing our ESCAPE program. ESCAPE conditioning regimens could potentially be paired with BEAM-101 and BEAM-102, as well as other base editing programs in hematology.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ESCAPE: Improved Conditioning for HSCT in sickle cell disease</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ESCAPE aims to avoid toxicity challenges associated with currently available conditioning regimens for patients with sickle cell disease and beta-thalassemia ahead of autologous HSCT. ESCAPE may also have applications in other diseases of the blood and immune system where HSCT could deliver potential benefits but has been limited by toxicities associated with current standard of care conditioning regimens. In December 2022, we presented preclinical data at the 2022 American Society of Hematology Annual Meeting and Exposition, or ASH, on our ESCAPE-1 and ESCAPE-2 programs. ESCAPE-1 consists of multiplex base edited HSCs that include a therapeutic edit for sickle cell disease at the HGB1/2 gene and an additional edit at CD117. Findings presented at ASH included the first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for the ESCAPE-1 program, which build upon data shared earlier in 2022 demonstrating that ESCAPE-1 antibodies bound to wild-type CD117 and blocked binding of its ligand in mice. In addition, we observed depletion of unedited cells and enrichment of edited cells in mice dosed with ESCAPE-1 antibodies.</w:t>
      </w:r>
    </w:p>
    <w:p>
      <w:pPr>
        <w:spacing w:after="0" w:line="84" w:lineRule="exact"/>
        <w:rPr>
          <w:sz w:val="20"/>
          <w:szCs w:val="20"/>
          <w:color w:val="auto"/>
        </w:rPr>
      </w:pPr>
    </w:p>
    <w:p>
      <w:pPr>
        <w:ind w:right="40" w:firstLine="45"/>
        <w:spacing w:after="0" w:line="258" w:lineRule="auto"/>
        <w:rPr>
          <w:sz w:val="20"/>
          <w:szCs w:val="20"/>
          <w:color w:val="auto"/>
        </w:rPr>
      </w:pPr>
      <w:r>
        <w:rPr>
          <w:rFonts w:ascii="Times New Roman" w:cs="Times New Roman" w:eastAsia="Times New Roman" w:hAnsi="Times New Roman"/>
          <w:sz w:val="18"/>
          <w:szCs w:val="18"/>
          <w:color w:val="auto"/>
        </w:rPr>
        <w:t xml:space="preserve">ESCAPE-2 consists of multiplex base-edited HSCs that include a therapeutic HbG-Makassar edit and an edit in CD117, which is compatible with the conditioning mAb used in ESCAPE-1. In preclinical studies, our ESCAPE-2 strategy demonstrated highly efficient base editing of CD117 of HSCs and favorable mAb properties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Further, preclinical findings showed that primary human HSCs harboring the engineered epitope could effectively evade depletion by blocking of the CD117 ligand binding by a highly specific and potent mAb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Early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biological assessment of receptor function suggested that the engineered CD117 epitope is compatible with normal function.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significant investments in our ESCAPE platform and we plan to continue its advancement in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Wave 3: </w:t>
      </w:r>
      <w:r>
        <w:rPr>
          <w:rFonts w:ascii="Times New Roman" w:cs="Times New Roman" w:eastAsia="Times New Roman" w:hAnsi="Times New Roman"/>
          <w:sz w:val="18"/>
          <w:szCs w:val="18"/>
          <w:b w:val="1"/>
          <w:bCs w:val="1"/>
          <w:color w:val="auto"/>
        </w:rPr>
        <w:t>In Vivo</w:t>
      </w:r>
      <w:r>
        <w:rPr>
          <w:rFonts w:ascii="Times New Roman" w:cs="Times New Roman" w:eastAsia="Times New Roman" w:hAnsi="Times New Roman"/>
          <w:sz w:val="18"/>
          <w:szCs w:val="18"/>
          <w:b w:val="1"/>
          <w:bCs w:val="1"/>
          <w:i w:val="1"/>
          <w:iCs w:val="1"/>
          <w:color w:val="auto"/>
        </w:rPr>
        <w:t xml:space="preserve"> Base Editing via HSC-targeted LNPs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are also exploring the potential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treatment is challenging. Building on our acquisition of Guide, we are using our proprietary DNA- and RNA-barcoded LNP screening technology to enable high-throughput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identification of LNPs with novel biodistribution and selectivity for target organs beyond the liver. In December 2021, we announced we had screened more than 1,000 LNPs using this technology for potential to deliver to HSCs and had identified LNP-HSC1 as the most potent, with efficient transfection in both mice and NHPs. In preclinical studies, we demonstrated that:</w:t>
      </w:r>
    </w:p>
    <w:p>
      <w:pPr>
        <w:spacing w:after="0" w:line="74" w:lineRule="exact"/>
        <w:rPr>
          <w:sz w:val="20"/>
          <w:szCs w:val="20"/>
          <w:color w:val="auto"/>
        </w:rPr>
      </w:pPr>
    </w:p>
    <w:p>
      <w:pPr>
        <w:ind w:left="1020" w:right="460" w:hanging="503"/>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LNP-HSC1 was validated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leading to durable, dose-dependent mRNA transfection in HSCs and resulting in fluorescent reporter expression in more than 40% of cells, maintained out to 16 weeks post-delivery;</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LNP-HSC1 efficiently transfected human CD34+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LNP-HSC1 efficiently transfected nearly 20% of CD34+ HSCs in humanized mice and NHPs at a dose of 1.0 mg/kg.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Understanding of the Natural History of Sickle Trait (AUNT) Study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we announced the initiation of a sickle cell trait, or SCT, focused natural history study. Carriers of sickle cell disease, or those with SCT, have only one copy of the hemoglobin gene, have HbS levels between 25-45%, and are thought to have a benign condition. However, despite SCT impacting approximately 300 million people around the world, the key hematologic and clinical phenotypic characteristics and functional impacts from having SCT have been understudied in a prospective manner. As part of a long-term lifecycle strategy for our sickle cell disease programs, we, in collaboration with the National Alliance of Sickle Cell Centers, the University of Alabama, and Johns Hopkins Medical Center, have initiated the AUNT (Achieving Understanding of the Natural History of Sickle Trait) Study.</w:t>
      </w:r>
    </w:p>
    <w:p>
      <w:pPr>
        <w:spacing w:after="0" w:line="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AUNT Study is designed to establish an understanding of the hematologic and clinical phenotype of people with SCT, including blood rheology, potential complications and genetic modifiers, in an effort to better understand the hematologic phenotype that is associated with good health and lack of organ dysfunction. The study is designed to enroll approximately 1,000 participants with SCT in the United States who have been identified as family members of participants in the Global Research Network for Data and Discovery, a multi-institutional prospective registry comprising clinical and background data from more than 1,200 adult and pediatric individuals with sickle cell disease from 1999-2021.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Immunology/Oncology: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T cell therapies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starting material for our multiplex-edited allogeneic CAR-T cell products is white blood cells from a healthy donor, which are collected using a standard blood bank procedure known as leukapheresis. Using a single electroporation, we introduce the base editor as mRNA, and the guides encoding the target sequences. The edited cells are subsequently transduced with a lentivirus expressing the CAR. Once the T cells have been engineered, they are expanded and frozen. After the patient is lymphodepleted, the multiplex-edited, allogeneic cell product is infused.</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base editing is a powerful tool to simultaneously multiplex edit many genes without the unintended on-target effects that can result from simultaneous editing with nucleases through the creation of double-stranded breaks. The ability to create a large number of multiplex edits in T cells could endow CAR-T cells and other cell therapies with combinations of features that have the potential to dramatically enhance their therapeutic potential in treating hematological or solid tumors.</w:t>
      </w:r>
    </w:p>
    <w:p>
      <w:pPr>
        <w:spacing w:after="0" w:line="7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initial indications that we plan to target with these product candidates are relapsed, refractory T-ALL/T-LL, and Acute Myeloid Leukemia, or AML. We believe that our approach has the potential to produce higher response rates and deeper remissions than existing approaches. Our proof-of-concept preclinical studies have demonstrated the ability of base editors to efficiently modify up to eight genomic loci simultaneously in primary human T cells with efficiencies ranging from 85-95% as measured by flow cytometry of target protein knockdown. Importantly, these results were achieved without the generation of observed chromosomal rearrangements, as evaluated by sensitive methods such as UDiTaS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or G-banded Karyotyping and with no observed loss of cell viability from editing. The proof-of-concept preclinical studies have also demonstrated robust T cell killing of target tumor cells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BEAM-201: Universal CD7-targeting CAR-T cells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BEAM-201 is a development candidate comprised of T cells derived from healthy donors that are simultaneously edited at TRAC, CD7, CD52 and PDCD1 and then transduced with a lentivirus encoding for an anti-CD7 CAR that is designed to create allogeneic CD7 targeting CAR-T cells, resistant to both fratricide and immunosuppression. At the end of June 2022, we submitted an IND to the FDA for BEAM-201 for the treatment of relapsed, refractory T-ALL/T-LL, a severe disease affecting children and adults, and potentially other CD7+ malignancies. In December 2022, we received clearance from the FDA for our IND for BEAM-201. We have initiated a first-in-human Phase 1/2 clinical trial designed to evaluate the safety and efficacy of BEAM-201 in patients with relapsed/refractory T-ALL/T-LL and we expect to dose the first patient in the trial by mid-2023. The Phase 1 portion of the trial is expected to include up to 48 patients between the ages of 18 and 50, followed by a Phase 2 portion with approximately 48 patients. Key safety endpoints for the trial include treatment-emergent and treatment-related adverse events, and key efficacy endpoints include proportion of patients with complete or partial responses, proportion eligible for HSC transplant and proportion achieving minimal residual disease negative status. We believe that BEAM-201 is the first quadruple-edited, allogeneic CAR-T cell investigational therapy in clinical-stage development.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In our BEAM-201 program, we edit cells using our CBEs with the aim of conferring the following benefits:</w:t>
      </w:r>
    </w:p>
    <w:p>
      <w:pPr>
        <w:spacing w:after="0" w:line="115" w:lineRule="exact"/>
        <w:rPr>
          <w:sz w:val="20"/>
          <w:szCs w:val="20"/>
          <w:color w:val="auto"/>
        </w:rPr>
      </w:pPr>
    </w:p>
    <w:p>
      <w:pPr>
        <w:ind w:left="1020" w:right="18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TRAC</w:t>
      </w:r>
      <w:r>
        <w:rPr>
          <w:rFonts w:ascii="Times New Roman" w:cs="Times New Roman" w:eastAsia="Times New Roman" w:hAnsi="Times New Roman"/>
          <w:sz w:val="18"/>
          <w:szCs w:val="18"/>
          <w:color w:val="auto"/>
        </w:rPr>
        <w:t>: Prevent graft-vs-host disease via the elimination of the existing TCR to ensure that the CAR-T cell only attacks the CAR antigen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tumor and not the patient’s healthy cells.</w:t>
      </w:r>
    </w:p>
    <w:p>
      <w:pPr>
        <w:spacing w:after="0" w:line="50"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CD52</w:t>
      </w:r>
      <w:r>
        <w:rPr>
          <w:rFonts w:ascii="Times New Roman" w:cs="Times New Roman" w:eastAsia="Times New Roman" w:hAnsi="Times New Roman"/>
          <w:sz w:val="18"/>
          <w:szCs w:val="18"/>
          <w:color w:val="auto"/>
        </w:rPr>
        <w:t>: Enable an allogeneic cell source by masking BEAM-201 cells to anti-CD52 lymphodepleting agents to reduce host rejection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BEAM-201 cells.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PDCD1</w:t>
      </w:r>
      <w:r>
        <w:rPr>
          <w:rFonts w:ascii="Times New Roman" w:cs="Times New Roman" w:eastAsia="Times New Roman" w:hAnsi="Times New Roman"/>
          <w:sz w:val="18"/>
          <w:szCs w:val="18"/>
          <w:color w:val="auto"/>
        </w:rPr>
        <w:t>: Minimize immunosuppression of BEAM-201 cells by the tumor microenvironment and prolong efficacy for attacking the tumor.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CD7</w:t>
      </w:r>
      <w:r>
        <w:rPr>
          <w:rFonts w:ascii="Times New Roman" w:cs="Times New Roman" w:eastAsia="Times New Roman" w:hAnsi="Times New Roman"/>
          <w:sz w:val="18"/>
          <w:szCs w:val="18"/>
          <w:color w:val="auto"/>
        </w:rPr>
        <w:t>: Prevent fratricide by eliminating antigens that are shared between malignant cells and CAR-T cells.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Preclinical </w:t>
      </w:r>
      <w:r>
        <w:rPr>
          <w:rFonts w:ascii="Times New Roman" w:cs="Times New Roman" w:eastAsia="Times New Roman" w:hAnsi="Times New Roman"/>
          <w:sz w:val="18"/>
          <w:szCs w:val="18"/>
          <w:color w:val="auto"/>
        </w:rPr>
        <w:t>in vitro</w:t>
      </w:r>
      <w:r>
        <w:rPr>
          <w:rFonts w:ascii="Times New Roman" w:cs="Times New Roman" w:eastAsia="Times New Roman" w:hAnsi="Times New Roman"/>
          <w:sz w:val="18"/>
          <w:szCs w:val="18"/>
          <w:i w:val="1"/>
          <w:iCs w:val="1"/>
          <w:color w:val="auto"/>
        </w:rPr>
        <w:t xml:space="preserve"> characterization of BEAM-201 and comparison to nuclease editing:</w:t>
      </w:r>
    </w:p>
    <w:p>
      <w:pPr>
        <w:spacing w:after="0" w:line="119" w:lineRule="exact"/>
        <w:rPr>
          <w:sz w:val="20"/>
          <w:szCs w:val="20"/>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base editing at four target loci in primary human T cells using a clinical-scale process demonstrated 96-99% on-target editing of each of the four genes as measured by next-generation sequencing.</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quad base editing of T cells resulted in no detected genomic rearrangements; Cas9 nuclease editing with the same four guide RNAs produced chromosomal aberrations in 22 of 100 cells evaluated in G-banded karyotyping.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Multiplex base editing did not demonstrate negative effects on cell expansion during manufacturing, while nuclease editing was observed to induce significant loss of cell expansion.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CBE-edited cells demonstrated decreased expression of the four target genes with minimal effect on other genes, including key members of the p53 pathway that are upregulated in response to DNA double-stranded breaks produced by multiplex editing with nucleases.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Further preclinical characterization of BEAM-201 </w:t>
      </w:r>
      <w:r>
        <w:rPr>
          <w:rFonts w:ascii="Times New Roman" w:cs="Times New Roman" w:eastAsia="Times New Roman" w:hAnsi="Times New Roman"/>
          <w:sz w:val="18"/>
          <w:szCs w:val="18"/>
          <w:color w:val="auto"/>
        </w:rPr>
        <w:t>in vitro</w:t>
      </w:r>
      <w:r>
        <w:rPr>
          <w:rFonts w:ascii="Times New Roman" w:cs="Times New Roman" w:eastAsia="Times New Roman" w:hAnsi="Times New Roman"/>
          <w:sz w:val="18"/>
          <w:szCs w:val="18"/>
          <w:i w:val="1"/>
          <w:iCs w:val="1"/>
          <w:color w:val="auto"/>
        </w:rPr>
        <w:t xml:space="preserve"> and in a tumor mouse model:</w:t>
      </w:r>
    </w:p>
    <w:p>
      <w:pPr>
        <w:spacing w:after="0" w:line="119" w:lineRule="exact"/>
        <w:rPr>
          <w:sz w:val="20"/>
          <w:szCs w:val="20"/>
          <w:color w:val="auto"/>
        </w:rPr>
      </w:pPr>
    </w:p>
    <w:p>
      <w:pPr>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GMP-compliant, clinical-scale process resulted in final BEAM-201 CAR-T cell populations with on-target editing efficiencies between 96-99.9% at each of the four target loci, and 85% CAR-expressing cells. As a result, we estimate that 91% of cells are bi-allelically quad base edited and 77% of cells have all five genetic modifications. We believe this is the highest level and uniformity of CAR expression and simultaneous editing across four target sites reported at clinical scale to date.</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BEAM-201 cells demonstrated robust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CD7-dependent cytokine production, and rapid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w:t>
      </w:r>
    </w:p>
    <w:p>
      <w:pPr>
        <w:spacing w:after="0" w:line="119"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BEAM-201 cells also demonstrated dose-dependent clearance or control, across a 25-fold dose range, of an aggressive disseminated CCRF-CEM T-ALL tumor mouse model.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Genetic Diseases: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LNPs and novel viral delivery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Multiple third-party clinical trials have demonstrated the effective delivery of silencing RNA to the liver using LNPs. Because only one dose of a base editing therapy may be needed in a course of treatment, LNPs are a suitable delivery modality that we believe is unlikely to face the complications seen with chronic use of LNPs, such as those observed when delivering oligonucleotides or mRNA for gene therapy. All of the components of the LNP, as well as the mRNA encoding the base editor, are well-defined and can be manufactured synthetically, providing the opportunity for scalable manufacturing.</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Using both wholly-owned and in-licensed lipids, we have developed several proprietary LNP formulations. In May 2021, we announced initial data from our evaluation of various LNP formulations and mRNA production processes using an mRNA-encoding ABE and guide RNA to target the ALAS1 gene, a surrogate payload for genetic liver diseases. These data showed improved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in the livers of NHPs from less than 10% initially to 52% at a total RNA dose of 1.5 mg/kg. Continued optimization of our LNP formulations has demonstrated further increases in liver editing potency in NHPs. In September 2021, we presented data demonstrating up to 60% editing in NHPs at a total RNA dose of 1.0 mg/kg. Data from our preclinical studies demonstrated that these formulations were well tolerated by NHPs treated with doses up to 1.5 mg/kg. Minimal to mild and transient liver enzyme elevations were observed and resolved by day 15 post-treatment. Additionally, the formulations showed promising interim stability, maintaining potency after three months at -20</w:t>
      </w:r>
      <w:r>
        <w:rPr>
          <w:rFonts w:ascii="Arial" w:cs="Arial" w:eastAsia="Arial" w:hAnsi="Arial"/>
          <w:sz w:val="18"/>
          <w:szCs w:val="18"/>
          <w:color w:val="auto"/>
        </w:rPr>
        <w:t>⁰</w:t>
      </w:r>
      <w:r>
        <w:rPr>
          <w:rFonts w:ascii="Times New Roman" w:cs="Times New Roman" w:eastAsia="Times New Roman" w:hAnsi="Times New Roman"/>
          <w:sz w:val="18"/>
          <w:szCs w:val="18"/>
          <w:color w:val="auto"/>
        </w:rPr>
        <w:t>C and -80</w:t>
      </w:r>
      <w:r>
        <w:rPr>
          <w:rFonts w:ascii="Arial" w:cs="Arial" w:eastAsia="Arial" w:hAnsi="Arial"/>
          <w:sz w:val="18"/>
          <w:szCs w:val="18"/>
          <w:color w:val="auto"/>
        </w:rPr>
        <w:t>⁰</w:t>
      </w:r>
      <w:r>
        <w:rPr>
          <w:rFonts w:ascii="Times New Roman" w:cs="Times New Roman" w:eastAsia="Times New Roman" w:hAnsi="Times New Roman"/>
          <w:sz w:val="18"/>
          <w:szCs w:val="18"/>
          <w:color w:val="auto"/>
        </w:rPr>
        <w:t>C.</w:t>
      </w:r>
    </w:p>
    <w:p>
      <w:pPr>
        <w:spacing w:after="0" w:line="5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currently planning to use LNPs to advance our programs for genetic liver diseases, including GSDIa, AATD and HBV infection. We are also planning to advance multiple additional in vivo liver editing programs through lead optimization in 2023.</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Viral delivery systems, such as AAV viral vectors, use a non-pathogenic virus that is repurposed to carry a therapeutic payload. Several clinical trials have been conducted or are in progress with different AAV variants for multiple diseases, including diseases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ind w:right="20"/>
        <w:spacing w:after="0" w:line="266" w:lineRule="auto"/>
        <w:rPr>
          <w:sz w:val="20"/>
          <w:szCs w:val="20"/>
          <w:color w:val="auto"/>
        </w:rPr>
      </w:pPr>
      <w:r>
        <w:rPr>
          <w:rFonts w:ascii="Times New Roman" w:cs="Times New Roman" w:eastAsia="Times New Roman" w:hAnsi="Times New Roman"/>
          <w:sz w:val="18"/>
          <w:szCs w:val="18"/>
          <w:color w:val="auto"/>
        </w:rPr>
        <w:t>the eye, liver, muscle, lung and central nervous system, however, our DNA base editors are larger than packaging limit of AAV vectors, requiring dual infection where each virus contains approximately one half of the editor. To address these and other limitations of AAV technology, we are advancing other novel viral delivery technologies that we believe will be better suited to delivery of gene editing therapies.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BEAM-301: </w:t>
      </w:r>
      <w:r>
        <w:rPr>
          <w:rFonts w:ascii="Times New Roman" w:cs="Times New Roman" w:eastAsia="Times New Roman" w:hAnsi="Times New Roman"/>
          <w:sz w:val="18"/>
          <w:szCs w:val="18"/>
          <w:b w:val="1"/>
          <w:bCs w:val="1"/>
          <w:color w:val="auto"/>
        </w:rPr>
        <w:t>In Vivo</w:t>
      </w:r>
      <w:r>
        <w:rPr>
          <w:rFonts w:ascii="Times New Roman" w:cs="Times New Roman" w:eastAsia="Times New Roman" w:hAnsi="Times New Roman"/>
          <w:sz w:val="18"/>
          <w:szCs w:val="18"/>
          <w:b w:val="1"/>
          <w:bCs w:val="1"/>
          <w:i w:val="1"/>
          <w:iCs w:val="1"/>
          <w:color w:val="auto"/>
        </w:rPr>
        <w:t xml:space="preserve"> LNP liver-targeting for GSDIa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GSDIa. GSDIa is an autosomal recessive disorder caused by mutations in the G6PC gene that disrupt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approach to treating patients with GSDIa is to apply base editing via LNP delivery to repair the two most prevalent mutations that cause the disease, R83C and Q347X. It is estimated that these two point mutations account for 900 and 500 patients, respectively, in the United States, representing approximately 59% of all GSDIa patients in the United States. Third party animal studies have shown that as little as 11% of normal G6Pase activity in liver cells is sufficient to restore fasting glucose; however, this level must be maintained in order to preserve glucose control and alleviate other serious, and potentially fatal, GSDIa sequelae.</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2021, we reported data from preclinical studies that support the potential of base editing to durably correct disease-causing mutations of GSDIa. We created a novel, humanized R83C knockout mouse model (huR83C), mimicking the abnormal metabolic phenotype of human GSDIa, and collaborated with the National Institutes of Health, or NIH, to characterize the phenotype of these animals. The results demonstrated that newborn huR83C mice treated with our LNP-delivered ABE exhibited normal growth to the end of the study at three weeks of age without any hypoglycemia-induced seizures. In contrast, homozygous animals were unable to survive soon after birth in the absence of glucose supplementation. In addition, we observed editing efficiencies up to approximately 60% by next-generation sequencing of DNA isolated from the whole liver. Of note, we believe even narrow gains in base editing efficiency have the potential to provide significant restoration of G6Pase activity and normal metabolic function.</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2022, an abstract announcing new preclinical data presented at the American Society of Gene and Cell Therapy (ASGCT) Annual Meeting was published. The data, which build on previously released preclinical results, demonstrated that in a GSDIa mouse model, treated mice, which otherwise have poor survival outcomes if left untreated, grew normally to at least 35 weeks following administration of BEAM-301, with survival ongoing in the study. Notably, as low as single digit percentage base-editing rates were sufficient to restore physiologically relevant levels of hepatic G6Pase activity, normalize serum metabolites, and most importantly, prevent hypoglycemia during a 24-hour fast in treated mice. In addition, preliminary assessments of observed off-target editing in the study suggested a favorable profile of BEAM-301.</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November 2022, we announced that we had initiated IND-enabling studies for BEAM-301. By late 2023 or in early 2024, we plan to submit a regulatory application for BEAM-301 for authorization to initiate clinical trials for the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BEAM-302: </w:t>
      </w:r>
      <w:r>
        <w:rPr>
          <w:rFonts w:ascii="Times New Roman" w:cs="Times New Roman" w:eastAsia="Times New Roman" w:hAnsi="Times New Roman"/>
          <w:sz w:val="18"/>
          <w:szCs w:val="18"/>
          <w:b w:val="1"/>
          <w:bCs w:val="1"/>
          <w:color w:val="auto"/>
        </w:rPr>
        <w:t>In Vivo</w:t>
      </w:r>
      <w:r>
        <w:rPr>
          <w:rFonts w:ascii="Times New Roman" w:cs="Times New Roman" w:eastAsia="Times New Roman" w:hAnsi="Times New Roman"/>
          <w:sz w:val="18"/>
          <w:szCs w:val="18"/>
          <w:b w:val="1"/>
          <w:bCs w:val="1"/>
          <w:i w:val="1"/>
          <w:iCs w:val="1"/>
          <w:color w:val="auto"/>
        </w:rPr>
        <w:t xml:space="preserve"> LNP liver-targeting for AATD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genetically correct the E342K point mutation (PiZZ genotype) responsible for a severe form of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60,000 individuals in the United States have two copies of the Z allele. There are currently no curative treatments for patients with AATD.</w:t>
      </w:r>
    </w:p>
    <w:p>
      <w:pPr>
        <w:spacing w:after="0" w:line="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With the high efficiency and precision of our base editors, we aim to utilize our ABEs to enable the programmable conversion of A-to-T and G-to-C base pairs and precisely correct the E342K point mutation back to the wild type sequence. In 2020, we showed the ability to directly correct the mutation causing AATD, providing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proof-of-concept for base editing to correct this disease.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2022, we presented an abstract at ASGCT that detailed our efforts to optimize both the ABE and the guide RNA used to correct the disease-causing PiZ mutation, with improvements over the original reagents leading to a greater than two-fold increase in observed editing potency and potentially therapeutically relevant increases in circulating alpha-1 antitrypsin in mice treated at doses that are expected to be clinically relevant (&lt;1mg/kg). Further, similar results were observed in adult mice dosed at greater than 37 weeks, a treatment context more similar to what might be encountered in a clinical setting.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 w:name="page20"/>
    <w:bookmarkEnd w:id="19"/>
    <w:p>
      <w:pPr>
        <w:ind w:right="380"/>
        <w:spacing w:after="0" w:line="282" w:lineRule="auto"/>
        <w:rPr>
          <w:sz w:val="20"/>
          <w:szCs w:val="20"/>
          <w:color w:val="auto"/>
        </w:rPr>
      </w:pPr>
      <w:r>
        <w:rPr>
          <w:rFonts w:ascii="Times New Roman" w:cs="Times New Roman" w:eastAsia="Times New Roman" w:hAnsi="Times New Roman"/>
          <w:sz w:val="18"/>
          <w:szCs w:val="18"/>
          <w:color w:val="auto"/>
        </w:rPr>
        <w:t>In November 2022, we announced BEAM-302 as a development candidate as a treatment for AATD, and in early 2024, we plan to submit a regulatory application for BEAM-302 for authorization to initiate clinical trials for the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Hepatitis B Virus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HBV causes serious liver infection that can become chronic, increasing the risk of developing life-threatening health issues like cirrhosis, liver failure or liver cancer. Chronic HBV infection is characterized by the persistence of covalently closed circular DNA, or cccDNA, a unique DNA structure that forms in response to HBV infection in the nuclei of liver cells. Additionally, the HBV DNA can integrate into the human genome becoming a source of hepatitis B surface antigen, or HBsAg. While currently available treatments can manage HBV replication, they do not clear cccDNA from the infected liver cells. This inability to prevent HBV infection rebound from cccDNA is a key challenge to curing HBV. In September 2022, we presented preclinical data that demonstrated the potential of our multiplex base editors to reduce viral markers, including HBsAg expression, and prevent viral rebound of HBV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Stargardt disease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currently evaluating base editing technology to correct one of the most prevalent mutations in the ABCA4 gene causing Stargardt disease, a progressive macular degeneration disease. This mutation is known as the G1961E point mutation and approximately 5,500 individuals in the United States are affected. Disease modeling using tiny light stimuli through holes that are equivalent in size to a single photoreceptor cell suggests that only 12%-20% of these cells are necessary to preserve vision. We anticipate, therefore, that editing percentages in the range of 12%-20% of these cells would be disease-modifying, since each edited cell will be fully corrected and protected from the biochemical defect associated with Stargardt disease.</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 human retinal pigment epithelial cell line (ARPE-19 cells) in which we have knocked in the ABCA4 G1961E point mutation, we have demonstrated the precise correction of approximately 75% of the disease alleles at five weeks after dual infection with an AAV 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of precision gene editing technologies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Building on the expertise of our academic founders and our innovative research culture, we plan to explore new and complementary technologies in base editing, gene editing, and genetic medicine over the long term to advance a broad portfolio across multiple delivery pipelines. As part of this strategy, we have licensed a portfolio of three additional complementary technologies – RNA base editing, Cas12b nuclease editing, and prime editing for certain fields. Combined with base editing, we have assembled a broad and versatile portfolio of next generation gene editing technologies for the potential treatment of many severe diseases.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license agreement with The Broad Institute, Inc., or Broad Institute,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 This enables us to change protein expression, potentially correcting or altering the function of the resulting protein and correcting disease. Our RNA base editing technologies include the REPAIR™ system for A-to-I editing, as well as the RESCUE™ system for C-to-U editing. When delivered through a long-lasting viral vector, RNA base editing may provide a complementary approach to DNA base editing for permanent correction of gene expression. Additionally, RNA editing could potentially be beneficial in situations where a transient change is desirable, such as in regenerative medicine.</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Broad Institute license also gives us access to the Cas12b nuclease family, which provides several potential strategic advantages for our portfolio. First, the distinct PAM sequence and conformation of Cas12b allows us to create DNA base editors that can bind to different target sites in the genome, further expanding the range of sites that we can edit. Second, having a nuclease allows us to make “cut” edits, which may be appropriate for some applications that require a double stranded break, or to use the general gene targeting ability of Cas12b for other gene editing applications.</w:t>
      </w:r>
    </w:p>
    <w:p>
      <w:pPr>
        <w:spacing w:after="0" w:line="7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also have a license to technology referred to as “prime editing,” that is controlled by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rates than gene editing technologies that rely on double stranded breaks.</w:t>
      </w:r>
    </w:p>
    <w:p>
      <w:pPr>
        <w:spacing w:after="0" w:line="7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have the exclusive right to develop prime editing technology for the creation or modification of any single base transition mutations, as well as any edits made for the treatment of sickle cell disease. Transition mutations (i.e., A-to-G, G-to-A, C-to-T, or T-to-C) are the largest single class of disease-associated genetic mutations and include all of our current targets for base editing programs.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right="120"/>
        <w:spacing w:after="0" w:line="266" w:lineRule="auto"/>
        <w:rPr>
          <w:sz w:val="20"/>
          <w:szCs w:val="20"/>
          <w:color w:val="auto"/>
        </w:rPr>
      </w:pPr>
      <w:r>
        <w:rPr>
          <w:rFonts w:ascii="Times New Roman" w:cs="Times New Roman" w:eastAsia="Times New Roman" w:hAnsi="Times New Roman"/>
          <w:sz w:val="18"/>
          <w:szCs w:val="18"/>
          <w:color w:val="auto"/>
        </w:rPr>
        <w:t>Leveraging our deep scientific expertise and significant ongoing investment in our platform, we also expect to develop insights into other innovative gene editing and delivery modalities. We believe that our delivery, manufacturing, and development capabilities could position us to effectively evaluate and rapidly develop such novel technologies and further extend our leadership in the field of genetic medicine.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w:t>
      </w:r>
      <w:r>
        <w:rPr>
          <w:rFonts w:ascii="Times New Roman" w:cs="Times New Roman" w:eastAsia="Times New Roman" w:hAnsi="Times New Roman"/>
          <w:sz w:val="18"/>
          <w:szCs w:val="18"/>
          <w:color w:val="auto"/>
        </w:rPr>
        <w:t>ti</w:t>
      </w:r>
      <w:r>
        <w:rPr>
          <w:rFonts w:ascii="Times New Roman" w:cs="Times New Roman" w:eastAsia="Times New Roman" w:hAnsi="Times New Roman"/>
          <w:sz w:val="18"/>
          <w:szCs w:val="18"/>
          <w:b w:val="1"/>
          <w:bCs w:val="1"/>
          <w:color w:val="auto"/>
        </w:rPr>
        <w:t>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our collection of base editing, gene editing and delivery technologies has significant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aggressively pursue our vision of maximizing the potential of base editing to provide life-long cures for patients suffering from serious diseases.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2021, we entered into a four-year research collaboration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Under the terms of the agreement, we will conduct all research activities through development candidate selection for three pre-specified, undisclosed targets, which are not included in our existing programs. Pfizer may opt in to exclusive, worldwide licenses to each development candidate, after which it will be responsible for all development activities, as well as potential regulatory approvals and commercialization, for each such development candidate. We have a right to opt in, at the end of Phase 1/2 clinical trials, upon the payment of an option exercise fee, to a global co-development and co-commercialization agreement with respect to one program licensed under the collaboration pursuant to which we and Pfizer would share net profits as well as development and commercialization costs in a 35%/65% ratio (Beam/Pfizer).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2021, we entered into a research collaboration agreement with Apellis Pharmaceuticals, Inc., or Apellis, focused on the use of certain of our base editing technology to discover new treatments for complement system-driven diseases. Under the terms of the agreement, we will conduct preclinical research on up to six base editing programs that target specific genes within the complement system in various organs, including the eye, liver, and brain. Apellis has an exclusive option to license any or all of the six programs and will assume responsibility for subsequent development. We may elect to enter into a 50-50 U.S. co-development and co-commercialization agreement with Apellis with respect to one program licensed under the collaboration.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 Therapeutics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2019, we entered into a collaboration and license agreement, or the Verve Agreement, with Verve Therapeutics, Inc., or Verve, a company focused on gene editing for cardiovascular disease treatments, and in July 2022, we and Verve amended the Verve Agreement. This collaboration allows us to more fully realize the potential of base editing in treating cardiovascular disease, a disease area outside of our core focus and where Verve has significant expertise. Under the terms of the Verve Agreement, as amended, we granted Verve exclusive worldwide licenses under certain of our editing technologies for human therapeutic applications against a total of three liver-mediated, cardiovascular disease targets, including use of our base editing technology for each of these targets and use of certain of our gene editing technology for two of such targets. In exchange, we received shares of Verve common stock. Additionally, we are eligible to receive milestone payments for certain clinical and regulatory events for licensed products, and we retain the option, after the final dosing of the final patient in a Phase 1 clinical trial of a licensed product, to participate in future development and commercialization, and share 35% of worldwide profits and losses, for any licensed product directed against one of these targets, and share 50% of U.S. profits and losses, for any licensed product directed against the other two targets.</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2021, Verve announced it had selected VERVE-101 as its lead product to be developed initially for the treatment of heterozygous familial hypercholesterolemia, or HeFH, a potentially fatal genetic heart disease. Individuals with HeFH have a genetic mutation causing high LDL-C levels in the blood. Over time, high LDL-C builds up in the heart’s arteries, resulting in reduced blood flow or blockage, and ultimately heart attack or stroke. Inactivation of the proprotein convertase subtilisin/kexin type 9, or PCSK9, gene has been shown to up-regulate LDL receptor expression, which leads to lower LDL-C levels. By making a single A-to-G change in the DNA genetic sequence of PCSK9, VERVE-101 aims to inactivate the target gene. In January 2021, Verve also reported preclinical proof-of-concept data in NHPs that demonstrated the successful use of ABEs to turn off PCSK9.</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July 2022, Verve announced that the first patient had been dosed with VERVE-101 in New Zealand as part of its global Phase 1b clinical trial evaluating VERVE-101 as a treatment for patients with HeFH. In September 2022, Verve announced that it had obtained regulatory clearance for a clinical trial application in the United Kingdom, and in November 2022, Verve announced that the FDA had placed its IND application in the United States on clinical hold.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engineered cell therapy programs. Under the terms of the Sana Agreement, licensed products include certain specified allogeneic T cell and stem cell-derived products directed at specified genetic targets, with certain limited rights for Sana to add and substitute such products and targets. The Sana Agreement excludes the grant of any Beam-controlled rights to perform base editing. In January 2023, Sana announced that the FDA has cleared its IND application to initiate a first-in-human study of SC291, its CD19-targeted allogeneic CAR-T cell therapy, in patients with various B-cell malignancies. In connection with this IND clearance, Sana made a milestone payment to us under the Sana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Therapeutics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2022, we entered into a license and research collaboration agreement, or the Orbital Agreement, with Orbital, pursuant to which each of us granted the other licenses to certain technology controlled during the three years after entry into the Orbital Agreement that are necessary or reasonably useful for the non-viral delivery or the design or manufacture of RNA for the prevention, treatment or diagnosis of human disease. Our license to Orbital is for all fields other than our exclusive field and also excludes the targets and substantially all of the indications that are the subject of our existing programs. Our exclusive field consists of all products and biologics that function in the process of gene editing or conditioning for use in cell transplantation, or that act in combination with any such products or biologics. Orbital’s license to us is for all fields other than Orbital’s exclusive field. Orbital’s exclusive field consists of products and biologics that function as vaccines and also of therapeutic proteins, other than therapeutic proteins (i) that use gene editing, (ii) for use in conditioning, (iii) for use in regenerative medicine, (iv) for use as a CAR immune therapy, including CAR-T, CAR-NK and CAR-macrophage compositions, (v) for use as a t-cell receptor therapy or (vi) that modulate certain immune responses. The licenses are exclusive in each party’s exclusive field for three years and non-exclusive in those fields thereafter. We and Orbital agreed that for a period of three years after entry into the Orbital Agreement, subject to limited exceptions, we would not research, develop and commercialize, or grant licenses to research, develop and commercialize, products or biologics within the other party’s exclusive field.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Institute of Molecular and Clinical Ophthalmology Basel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2020, we announced a research collaboration with the Institute of Molecular and Clinical Ophthalmology Basel, or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Additionally, researchers at IOB have developed living models of the retina, known as organoids, which can be used to test novel therapies. Under the terms of the agreement with IOB, the parties will leverage IOB’s unique expertise in the field of ophthalmology along with our novel base editing technology to advance programs directed to the treatment of certain ocular diseases, including Stargardt disease.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7"/>
          <w:szCs w:val="17"/>
          <w:color w:val="auto"/>
        </w:rPr>
        <w:t>The pharmaceutical and biotechnology industries, including the gene editing field,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are several other companies utilizing CRISPR/Cas9 nuclease technology, including Caribou Biosciences, Editas Medicine, CRISPR Therapeutics, Intellia Therapeutics, Arbor Biotechnologies, Metagenomi, and Mammoth Biosciences. Several additional companies utilize other nuclease-based gene editing technologies, including Zinc Fingers, Arcuses, and TAL Nucleases, including Sangamo Biosciences, Precision BioSciences, bluebird bio, Allogene Therapeutics and Cellectis. Additionally, newer gene editing modalities are emerging, including from Prime Medicine, Tessera Therapeutics, Shape Therapeutics, Scribe Therapeutics, Korro Bio, Tome Biosciences, PerkinElmer (formerly Horizon Discovery) and Intellia Therapeutics. PerkinElmer, Metagenomi and Intellia Therapeutics are developing base editing technology and Tessera Therapeutics is utilizing mobile genetic elements for gene editing. In addition, we face competition from companies utilizing various gene therapy, epigenetic modulation, oligonucleotide, and CAR-T therapeutic approaches.</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also aware of companies with products in development in our disease areas where we will compete with approved therapies, those in development today, and those emerging in the future. For hemoglobinopathies, these companies include Global Blood Therapeutics (acquired by Pfizer), CRISPR Therapeutics, Novartis Pharmaceuticals, Sangamo Therapeutics, Editas Medicine, Homology Medicines, Graphite Bio and Vera Therapeutics (formerly Trucode Gene Repair). For T-cell malignancies, these include Gracell Bio, iCell Gene Therapeutics, PersonGen and Wugen. More broadly in the immuno-oncology cell therapy space, these include Allogene Therapeutics, Cellectis, 2seventy bio, CRISPR Therapeutics, Adicet Bio, Bristol Myers Squibb, Fate Therapeutics, Gilead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t>Sciences, Novartis Pharmaceuticals, Poseida Therapeutics, Precision Bio, Legend Biotech and Autolus Therapeutics. For our liver targeted therapies, these include Intellia Therapeutics, Editas Medicines, CRISPR Therapeutics, Wave Life Sciences, Arrowhead Pharmaceuticals, Dicerna Pharmaceuticals, Excision BioTherapeutics, Ultragenyx, Apic Bio, Arrowhead Pharmaceuticals, LogicBio Therapeutics, Generation Bio and Vertex.</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conducting preclinical studies and clinical trials and seeking approval for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CMOs,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 in this Annual Report on Form 10-K.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wholly owned and our in-licensed patents and patent applications cover various aspects of our base editing platform and our programs,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C-to-T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A-to-I RNA base editors, or REPAIR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C-to-U RNA base editors, or RESCUE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 editing C-to-T and A-to-G DNA base editors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CRISPR/Cas12b systems for nuclease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guide RNA 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methods for increasing the specificity of base editing</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Multiplex base editing in immune cells </w:t>
      </w:r>
      <w:r>
        <w:rPr>
          <w:rFonts w:ascii="Times New Roman" w:cs="Times New Roman" w:eastAsia="Times New Roman" w:hAnsi="Times New Roman"/>
          <w:sz w:val="18"/>
          <w:szCs w:val="18"/>
          <w:i w:val="1"/>
          <w:iCs w:val="1"/>
          <w:color w:val="auto"/>
        </w:rPr>
        <w:t>ex vivo</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for evaluating base editing specificity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modality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As of December 31, 2022, our wholly-owned patent portfolio consisted of three issued U.S. patents, and two issued patents in jurisdictions outside the United States. We also have approximately 301 pending patent applications, including PCT applications, provisional patent applications and counterparts to the foregoing U.S. and foreign patents. In addition, Beam co-owns 24 pending patent applications between the Broad Institute, Inc., UCL Business, Ltd., and Apellis Pharmaceuticals, Inc. The patents and patent applications outside of the United States were filed in numerous jurisdictions, including Australia, Brazil, Canada, China, Europe, Hong Kong, India, Japan, Korea, Singapore and South Africa. Many of our owned patents and patent applications are related to our DNA base editing technology, including claims to base editor variants with enhanced activities or novel properties, methods of using such base editors, methods of using such base editors for therapeutic indications, multiplex base editing in immune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guide RNAs that target base editors to therapeutically relevant DNA sequences, and methods for evaluating base editing specificity.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patents and patent applications are related to viral and non-viral delivery technologies. If issued as U.S. patents, and if the appropriate maintenance fees are paid, the U.S. patents would be expected to expire between 2039 and 2044, excluding any additional term for patent term adjustments or patent term extensions.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2022, our in-licensed patent portfolio consisted of approximately 37 issued U.S. patents, and approximately 90 issued patents in jurisdictions outside the United States. We also have approximately 302 pending patent applications, including PCT applications, provisional patent applications and counterparts to the foregoing U.S. and foreign patents. The patents and patent applications outside of the United States were filed in numerous jurisdictions, including Australia, Canada, China, Europe, Hong Kong, India, Israel, Japan, Korea, New Zealand, Russia and Singapore.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and guide RNAs that target base editors to therapeutically relevant DNA sequences. The in-licensed patents and applications also cover various aspects related to the platform technology, including base editing systems that employ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Cas9,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Cas9 PAM variants, inactive forms of Cas9, and/or Cas9 nickases, and systems for delivery of base editors.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The patents and applications from our in-licensed portfolio for Cas12b editing include claims to methods of using Cas12b to modify DNA (e.g., nuclease cleavage of DNA) and engineered and/or non-naturally occurring compositions including Cas12b as a component. The patents and applications from our in-licensed portfolio for delivery technologies include claims to novel lipid-based delivery systems and compositions, viral-based delivery systems and compositions, and methods of using such systems and compositions to deliver base editors.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if the appropriate maintenance fees are paid, are expected to expire between 2034 and 2040, excluding any additional term for patent term adjustments or patent term extensions (or the corresponding foreign equivalent). For information related to our in-licensed intellectual property, see the subsection below titled “—Intellectual Property Licenses.”</w:t>
      </w:r>
    </w:p>
    <w:p>
      <w:pPr>
        <w:spacing w:after="0" w:line="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also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Times New Roman" w:cs="Times New Roman" w:eastAsia="Times New Roman" w:hAnsi="Times New Roman"/>
          <w:sz w:val="18"/>
          <w:szCs w:val="18"/>
          <w:i w:val="1"/>
          <w:iCs w:val="1"/>
          <w:color w:val="auto"/>
        </w:rPr>
        <w:t>Business—Intellectual property—Intellectual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property licenses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factors—Risks related to our intellectual property</w:t>
      </w:r>
      <w:r>
        <w:rPr>
          <w:rFonts w:ascii="Times New Roman" w:cs="Times New Roman" w:eastAsia="Times New Roman" w:hAnsi="Times New Roman"/>
          <w:sz w:val="18"/>
          <w:szCs w:val="18"/>
          <w:color w:val="auto"/>
        </w:rPr>
        <w:t>, in this Annual Report on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right="2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Intellectual property</w:t>
      </w:r>
      <w:r>
        <w:rPr>
          <w:rFonts w:ascii="Times New Roman" w:cs="Times New Roman" w:eastAsia="Times New Roman" w:hAnsi="Times New Roman"/>
          <w:sz w:val="18"/>
          <w:szCs w:val="18"/>
          <w:color w:val="auto"/>
        </w:rPr>
        <w:t>, in this Annual Report on Form 10-K.</w:t>
      </w:r>
    </w:p>
    <w:p>
      <w:pPr>
        <w:spacing w:after="0" w:line="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 in this Annual Report on Form 10-K.</w:t>
      </w:r>
    </w:p>
    <w:p>
      <w:pPr>
        <w:spacing w:after="0" w:line="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rely on trademark protection for our company name and related designs. As of December 31, 2022, our registered trademark portfolio contained approximately 20 registered/allowed trademarks and pending trademark applications in the United States and in certain overseas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President and Fellows of Harvard College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2017, we entered into a license agreement with Harvard, as amended, or the Harvard License Agreement, pursuant to which we received an exclusive, worldwide, royalty-bearing, sublicensable license under certain patent rights owned or controlled by Harvard to make, have made, offer for sale, sell, have sold and import licensed products in the field of the prevention or treatment of any and all human diseases and conditions, excluding human germline modification and products for non-human animal and plant applications. We also received a non-exclusive, worldwide, royalty-bearing, sublicensable license to research, have researched, develop and have developed “enabled” products related to the Harvard patent rights which are not licensed products.</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licensed patents are directed, among other things, to C-to-T, A-to-G, and C-to-G base editors, for the treatment of certain diseases and conditions and to base editing, more generally.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5" w:name="page26"/>
    <w:bookmarkEnd w:id="25"/>
    <w:p>
      <w:pPr>
        <w:ind w:right="60"/>
        <w:spacing w:after="0" w:line="253" w:lineRule="auto"/>
        <w:rPr>
          <w:sz w:val="20"/>
          <w:szCs w:val="20"/>
          <w:color w:val="auto"/>
        </w:rPr>
      </w:pPr>
      <w:r>
        <w:rPr>
          <w:rFonts w:ascii="Times New Roman" w:cs="Times New Roman" w:eastAsia="Times New Roman" w:hAnsi="Times New Roman"/>
          <w:sz w:val="18"/>
          <w:szCs w:val="18"/>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as we believe necessary, in our good faith judgment, for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depending on the nature of the failure and the impacted milestones, either terminate the Harvard License Agreement or our licenses with respect to the applicable licensed product(s), subject to certain exceptions and opportunities for us to cure such failure. Additionally, we are required to meet development milestones for the development of a licensed product covered by certain sub-categories of licensed patents. Failure to achieve milestones with respect to such sub-categories gives Harvard the right to grant third parties non-exclusive licenses under such failed sub-categories.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we do not have plans to seek regulatory approval.</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the licenses granted to us under the Harvard License Agreement are exclusive, Harvard may grant a license to a third party under the licensed patents to research, develop, and commercialize a product directed to one or more particular targets, or a proposed product, in the field under limited circumstances. If a third party that is not a specified competitor of ours inquires with Harvard for such a license, and then attempts to enter into a sublicense agreement with us after being referred to us by Harvard and fails to do so after a certain period of time and presents to Harvard a proposal including certain information describing the proposed development and commercialization of such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collaboration partners who are working with us to develop one or more licensed products. In addition, any such sublicense agreement must include certain provisions to ensure our ability to comply with the Harvard License Agreement. We are also responsible for any breaches of a sublicense agreement by the applicable sublicensee, if such breach results in a material breach of the Harvard License Agreement, provided that if we cure the breach or diligently enforce our rights to terminate the sublicense, we will not be subject to termination by Harvard for the sublicensee’s breach, even if it resulted in a material breach of the Harvard Agreement.</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and to receive success payments based on increases in the fair market value of our common stock. If we undergo a change of control during the term of the Harvard License Agreement, then certain of the milestone payments would be increased. We paid Harvard a total of $9.0 million upon the completion of our Series A and Series B financings.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We elected to make the payment in shares of our common stock and issued 174,825 shares of our common stock to settle this liability on June 10, 2021. We may additionally owe Harvard success payments of up to an additional $90.0 million.</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valid claim of a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an ability to delay and/or avoid such increases by diligently seeking to terminate and/or terminating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in the first decile depending on the date in which such sublicense agreement is executed and the stage of development our licensed products at such time.</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Unless earlier terminated, the Harvard License Agreement will remain in effect until the later of the last-to-expire valid claim of the licensed patents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 Upon expiration or termination of the Harvard License Agreement, the licenses granted to us will terminate and all rights under the licensed patent rights will revert to Harvard.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Editas Medicine, Inc.</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we entered into a license agreement, or the Editas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certain base editing products for the treatment of human diseases or conditions. The license we received is non-exclusive with respect to certain specified targets. Our licensed field excludes the use of certain gene editing technologies in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Editas License Agreement, we are required to use commercially reasonable efforts to develop a licensed product in our licensed field in each of the United States, Japan, the United Kingdom, or U.K., Germany, France, Italy and Spain.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27" w:name="page28"/>
    <w:bookmarkEnd w:id="27"/>
    <w:p>
      <w:pPr>
        <w:ind w:right="20"/>
        <w:spacing w:after="0" w:line="254" w:lineRule="auto"/>
        <w:rPr>
          <w:sz w:val="20"/>
          <w:szCs w:val="20"/>
          <w:color w:val="auto"/>
        </w:rPr>
      </w:pPr>
      <w:r>
        <w:rPr>
          <w:rFonts w:ascii="Times New Roman" w:cs="Times New Roman" w:eastAsia="Times New Roman" w:hAnsi="Times New Roman"/>
          <w:sz w:val="18"/>
          <w:szCs w:val="18"/>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licensed product-by-licensed product and country-by-country basis upon the later of (i) 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between the parties, Editas is responsible for the prosecution and maintenance of all licensed patents, provided that we have certain information, comment, and review rights for certain of the licensed patents.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on written notice to Editas subject to a specified notice period.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Broad Institute, Inc.</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May 2018, our affiliate, Blink Therapeutics Inc., or Blink, entered into a license agreement, as amended, or the Broad License Agreement, with Broad Institute. In September 2021, Blink merged with and into Beam, such that Blink’s separate corporate existence ceased and Beam continued as the surviving corporation and the successor by merger to the Broad License Agreement with respect to Blink. Under the Broad License Agreement, and as further detailed below, we received certain rights to RNA base editing technology, including the RNA editor platforms RESCUE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REPAIR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use Cas13 linked to a deaminase to deliver single base A-to-I or C-to-U editing of RNA transcripts, respectively, as well as the Cas12b nuclease family of gene editing enzymes.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8" w:name="page29"/>
    <w:bookmarkEnd w:id="28"/>
    <w:p>
      <w:pPr>
        <w:ind w:right="20"/>
        <w:spacing w:after="0" w:line="255" w:lineRule="auto"/>
        <w:rPr>
          <w:sz w:val="20"/>
          <w:szCs w:val="20"/>
          <w:color w:val="auto"/>
        </w:rPr>
      </w:pPr>
      <w:r>
        <w:rPr>
          <w:rFonts w:ascii="Times New Roman" w:cs="Times New Roman" w:eastAsia="Times New Roman" w:hAnsi="Times New Roman"/>
          <w:sz w:val="18"/>
          <w:szCs w:val="18"/>
          <w:color w:val="auto"/>
        </w:rPr>
        <w:t>More specifically, under the Broad License Agreement, Broad Institute granted us an exclusive, worldwide, royalty-bearing and sublicensable license under certain patent rights to the extent owned or controlled by Broad Institute (including via an interinstitutional agreement with the Massachusetts Institute of Technology, or MIT, and Harvard) comprising (i) certain patent rights claiming or disclosing novel CRISPR enzymes and systems (including those related to DNA cleaving) or systems, methods and compositions for targeted nucleic acid editing, in each case to exploit products covered by such patents, (ii) certain product-specific patent rights claiming or disclosing novel CRISPR enzymes and systems, methods and compositions for targeted nucleic acid editing, in each case to exploit base editor products covered by such patents and (iii) certain patent rights generally related to gene targeting to exploit base editor products covered by such patents, in each case to make, have made, offer for sale, sell, have sold and import certain licensed products.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have also been granted (i) a non-exclusive, royalty-bearing and sublicensable license under all patents exclusively licensed to us under the Broad License Agreement to make, have made, offer for sale, sell, have sold and import certain products in our field that were made, discovered, developed or determined to have utility through the use of such patents in a research or discovery program commencing before May 2021 or through the use of transferred materials from Broad Institute but that are not covered by the licensed patents and (ii) a non-exclusive, worldwide, royalty-bearing and sublicensable internal research license under all patents exclusively licensed to us. All licenses granted to us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we are required to use commercially reasonable efforts to develop licensed products in accordance with a development plan that Blink prepared and submitted to Broad Institute. The development plan includes certain development milestones that we are required to meet, as well as the timelines for the completion thereof, and we may update the development plan from time to time if we believe, in our good faith judgment, that such update is needed in order to improve our ability to meet such development milestones. We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are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we fail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our rights with respect to gene targeting licensed patents shall convert to non-exclusive so that such rights may be licensed for use to such terminated base editor licensed patents.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ind w:right="40"/>
        <w:spacing w:after="0" w:line="252" w:lineRule="auto"/>
        <w:rPr>
          <w:sz w:val="20"/>
          <w:szCs w:val="20"/>
          <w:color w:val="auto"/>
        </w:rPr>
      </w:pPr>
      <w:r>
        <w:rPr>
          <w:rFonts w:ascii="Times New Roman" w:cs="Times New Roman" w:eastAsia="Times New Roman" w:hAnsi="Times New Roman"/>
          <w:sz w:val="18"/>
          <w:szCs w:val="18"/>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 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us of the request and the requester’s identity, and the nature of the specific proposed product, including the applicable gene to which the proposed product is directed. Broad Institute is not required to share any other information provided by the requester to us in connection with the inclusive innovation model. If we are not researching, developing or commercializing such a proposed product, then we can notify Broad Institute as to whether in good faith we are interested in developing such proposed product, entering into a sublicense agreement with such requesting third party to develop such proposed product, entering into a sublicense with another third party to develop such proposed product, or that we are not interested in any of the foregoing. If we inform Broad Institute that we are interested in developing such proposed product, then we will prepare a development plan, similar in scope to the development plan under the Broad License Agreement, to develop such proposed product and must commence the development program for such proposed product within a specified period. If we inform Broad Institute that we are interested in entering into a sublicense agreement pursuant to which the inquiring third party or another third party would receive a sublicense from us under the licensed patents to develop such proposed product, then we may enter into such a sublicense agreement and provide reasonable evidence thereof during the period. If we decline to conduct the foregoing activities or do not complete such activities within the specified period, which period is reduced by the period of time the requesting third party has previously negotiated with us, then Broad Institute may grant a license to the applicable third party under the licensed patents to research, develop, and commercialize such proposed product, and our license to such the applicable patent rights will, at Broad Institute’s election, terminate with respect to the gene that is the subject of the proposed third party product.</w:t>
      </w:r>
    </w:p>
    <w:p>
      <w:pPr>
        <w:spacing w:after="0" w:line="8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are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our ability to comply with the Broad License Agreement. We are also responsible for any breaches of a sublicense agreement by the applicable sublicensee and are responsible for all payments due under the Broad License Agreement by operation of any such sublicense.</w:t>
      </w:r>
    </w:p>
    <w:p>
      <w:pPr>
        <w:spacing w:after="0" w:line="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Broad License Agreement, we are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and to receive success payments based on increases in the fair market value of our common stock.</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We elected to make the payment in shares of our common stock and issued 174,825 shares of our common stock to settle this liability on June 10, 2021. We may additionally owe Broad Institute success payments of up to an additional $90.0 million.</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also required to pay royalties in the low single digits for products covered by the licensed patents with such royalty reduced by a certain percentage for products enabled by the licensed patents or transferred materials, but not covered by the licensed patents. The royalty rate payable by us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we sublicense our rights to develop or commercialize a licensed product under the Broad License Agreement to a third party and receive non-royalty sublicense income, then Broad Institute is entitled to a percentage of such consideration, ranging from the high single digits to an amount in the low first decile, dependent on the development stage of products under the Broad License Agreement at the time of sublicense execution.</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Broad Institute is responsible for the prosecution and maintenance of all licensed patents, provided that we have certain consultation, comment, and review rights with respect to such prosecution and maintenance activities of exclusively licensed patent rights.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earlier terminated, the Broad License Agreement will remain in effect until the later of the last-to-expire valid claim of a licensed patent covering our licensed products or the end of the last to expire royalty term. We may terminate the Broad License Agreement for its convenience following written notice to Broad Institute subject to a specified notice period. Either party may terminate the Broad License Agreement for a material breach of the other party, subject to a notice and cure period. Broad Institute may also terminate the Broad License Agreement in the event of our bankruptcy or insolvency, if we fail to procure and maintain insurance or if we, our affiliates or sublicensees bringing patent challenges relating to any licensed patents (subject to a cure period for us to terminate the sublicensee that has taken the applicable action).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 Palette Co., Ltd.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27, 2019, we entered into a license agreement, or the Bio Palette License Agreement, with Bio Palette Co., Ltd., or Bio Palette, pursuant to which we received an exclusive (even as to Bio Palette and its affiliates), sublicensable license under certain patent rights related to base editing owned or controlled by Bio Palette to research, make, have made, import, export, distribute, use, have used, sell, have sold or offer for sale, and otherwise exploit products for the treatment of human disease throughout the world, but excluding products in the microbiome field in Asia. In addition, we granted Bio Palette an exclusive (even as to us and our affiliates) license under certain patent rights related to base editing and gene editing owned or controlled by us to research, make, have made, import, export, distribute, use, have used, sell, have sold or offer for sale, and otherwise exploit products in the microbiome field in Asia, subject to our right, in its sole discretion, to expand Bio Palette’s license (and the applicable royalty obligations) to the entire territory. Each party to the Bio Palette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Bio Palette comes into the control of any other patent right that is useful for the treatment, diagnosis or prevention of any human diseases or conditions and intends to grant a license under that patent right in certain defined fields and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part of the Bio Palette License Agreement, if we form a Scientific Advisory Board, then Bio Palette will have the right to appoint two representatives to such board until the conclusion of the period ending five years after the effective date of the Bio Palette License Agreement. Additionally, we and Bio Palette agree to communicate with each other regarding potential base editing collaborations in Japan.</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that receives regulatory approval, Bio Palette is required to use commercially reasonable efforts to commercialize such licensed product in the relevant country.</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and Bio Palette are both permitted to sublicense the licensed patents to affiliates and third parties, provided that the applicable terms of the Bio Palette License Agreement and the Kobe Head License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to Bio Palette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have the sole right to prosecute and maintain patents licensed by us to Bio Palette.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1" w:name="page32"/>
    <w:bookmarkEnd w:id="31"/>
    <w:p>
      <w:pPr>
        <w:ind w:right="80"/>
        <w:spacing w:after="0" w:line="255" w:lineRule="auto"/>
        <w:rPr>
          <w:sz w:val="20"/>
          <w:szCs w:val="20"/>
          <w:color w:val="auto"/>
        </w:rPr>
      </w:pPr>
      <w:r>
        <w:rPr>
          <w:rFonts w:ascii="Times New Roman" w:cs="Times New Roman" w:eastAsia="Times New Roman" w:hAnsi="Times New Roman"/>
          <w:sz w:val="18"/>
          <w:szCs w:val="18"/>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and jurisdictions, including the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Failure to comply with the applicable regulatory requirements at any time during the product development process or post-approval may subject a sponsor for marketing approval to delays in development or approval, as well as administrative and judicial sanctions.</w:t>
      </w:r>
    </w:p>
    <w:p>
      <w:pPr>
        <w:spacing w:after="0" w:line="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drug and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biologics in the United States</w:t>
      </w:r>
    </w:p>
    <w:p>
      <w:pPr>
        <w:spacing w:after="0" w:line="119"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FDA must approve a product candidate for a therapeutic indication before it may be marketed in the United States. A company, institution, or organization which takes responsibility for the initiation and management of a clinical development program for such products is referred to as a sponsor. A sponsor seeking approval to market and distribute a new biologic in the United States generally must satisfactorily complete each of the following steps:</w:t>
      </w:r>
    </w:p>
    <w:p>
      <w:pPr>
        <w:spacing w:after="0" w:line="68" w:lineRule="exact"/>
        <w:rPr>
          <w:sz w:val="20"/>
          <w:szCs w:val="20"/>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IND application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2" w:name="page33"/>
    <w:bookmarkEnd w:id="32"/>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BLA by an FDA advisory committee, where applicable;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current Good Manufacturing Practices, or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71"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GLPs and GCPs and the integrity of clinical data in support of the BLA;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application fee under the Prescription Drug User Free Act, or PDUFA, unless exempted;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application.</w:t>
      </w:r>
    </w:p>
    <w:p>
      <w:pPr>
        <w:spacing w:after="0" w:line="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or biological product to be shipped in interstate commerce for use in an investigational clinical trial. Such authorization must be secured prior to interstate shipment and administration of any product candidate that is not the subject of an approved new drug application, or NDA. In support of a request for an IND, applicants must submit a protocol for each clinical trial and any subsequent protocol amendments must be submitted to the FDA as part of the IND. An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Preclinical or nonclinical testing typically continues even after the IND is submitted.</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genetic medicine clinical trials conducted at institutions that receive funding for recombinant DNA research from the NIH also are potentially subject to review by a committee within the U.S. National Institutes of Health’s, or NIH’s, Office of Science Policy called the Novel and Exceptional Technology and Research Advisory, or the NExTRAC. As of 2019, the charter of this review group has evolved to focus public review on clinical trials that cannot be evaluated by standard oversight bodies and pose unusual risks. With certain genetic medicine protocols, FDA review of or clearance to allow the IND to proceed could be delayed if the NExTRAC decides that full public review of the protocol is warranted.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FDA regulatory requirements in order to use the trial as support for an IND or application for marketing approval in the U.S. Specifically, the FDA requires that such trials be conducted in accordance with GCP requirements intended to ensure the protection of human subjects and the quality and integrity of the study data, including requirements for review and approval by an independent ethics committee and obtaining subjects’ informed consent.</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34" w:name="page35"/>
    <w:bookmarkEnd w:id="34"/>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2" w:lineRule="exact"/>
        <w:rPr>
          <w:sz w:val="20"/>
          <w:szCs w:val="20"/>
          <w:color w:val="auto"/>
        </w:rPr>
      </w:pPr>
    </w:p>
    <w:p>
      <w:pPr>
        <w:ind w:left="1020" w:right="2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7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or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gene editing products, and up to five years for AAV vectors. FDA recommends that these long-term follow-up studies include, at a minimum, five years of annual physical examinations followed by annual queries, either in-person or by phone or written questionnaire, for the remaining observation period.</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FDA issued guidance on March 18, 2020, and has updated it periodically since that time to address the conduct of clinical trials during the pandemic. The guidance sets out a number of considerations for sponsors of clinical trials impacted by the pandemic, including the requirement to include in the clinical study report (or as a separate document) contingency measures implemented to manage the study, and any disruption of the study as a result of COVID-19; a list of all study participants affected by COVID-19-related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among other things.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including the clinical trial guidance and updates thereto.</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product candidate, sponsors are given opportunities to meet with the FDA at certain points; specifically, prior to the submission of an IND, at the end of Phase 2 and before an application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product.</w:t>
      </w:r>
    </w:p>
    <w:p>
      <w:pPr>
        <w:spacing w:after="0" w:line="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on a public registry maintained by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Although the FDA has historically not enforced these reporting requirements due to the U.S. Department of Health and Human Services’, or HHS’s, long delay in issuing final implementing regulations, the FDA has issued several Notices of Noncompliance to manufacturers since April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or PSP, within 60 days of an end-of-Phase 2 meeting or as may be agreed between the sponsor and the FDA. The PSP outlines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right="40"/>
        <w:spacing w:after="0" w:line="253"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11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be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The Center for Biologics Evaluation and Research, or CBER, at FDA regulates gene therapy products. Within CBER, the review of gene therapy and related products is consolidated in the Office of Tissues and Advanced Therapies, and the FDA has established the Cellular, Tissue and Gene Therapies Advisory Committee to advise CBER on its reviews. CBER works closely with the NIH, and the FDA and the NIH have published a number of guidance documents with respect to the development of gene therapy products.</w:t>
      </w:r>
    </w:p>
    <w:p>
      <w:pPr>
        <w:spacing w:after="0" w:line="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Although the FDA’s guidance documents are not legally binding, we believe that our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chemistry, manufacturing, and controls, or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 Further, the FDA usually recommends that sponsors observe subjects for potential gene therapy-related delayed adverse events for a 15-year period, including a minimum of five years of annual examinations followed by ten years of annual queries, either in person or by questionnaire.</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FDA’s regulations require that pharmaceutical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 Inspections must follow a “risk-based schedule” that may result in certain establishments being inspected more frequently.</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product.</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 The PREVENT Pandemics Act, which was enacted in December 2022, clarifies that foreign drug manufacturing establishments are subject to registration and listing requirements even if a drug or biologic undergoes further manufacture, preparation, propagation,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compounding, or processing at a separate establishment outside the United States prior to being imported or offered for import into the United States.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chemistry, manufacturing, controls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potency and purity of the investigational product to the satisfaction of the FDA. The fee required for the submission of a BLA under the Prescription Drug User Fee Act, or PDUFA, is substantial (for example, for fiscal year 2023, this application fee is approximately $3.25 million), and the sponsor of an approved NDA is also subject to an annual program fee, currently more than $394,000 per eligible prescription drug product.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the BLA within 60 days of receipt and must inform the sponsor by that time whether the application is sufficiently complete to permit substantive review. In pertinent part, the FDA’s regulations for applications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sponsor. Typically, an RTF will be based on administrative incompleteness, such as clear omission of information or sections of required information; scientific incompleteness, such as omission of critical data, information or analyses needed to evaluate safety, purity and potency or provide adequate directions for use; or inadequate content, presentation, or organization of information such that substantive and meaningful review is precluded. The FDA may request additional information rather than accept a BLA for filing. In this event, the application must be resubmitted with the additional information. The resubmitted application is also subject to review before the FDA accepts it for filing.</w:t>
      </w:r>
    </w:p>
    <w:p>
      <w:pPr>
        <w:spacing w:after="0" w:line="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may inform the sponsor of certain requirements for information when it accepts the BLA or by the 74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receipt of the BLA. Thereafter, the FDA may submit “information requests” to the sponsor in the course of the agency’s review of the BLA. The FDA reviews the BLA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for an investigational product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 BLA to extend beyond the PDUFA goal date.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Before approving a BLA, the FDA may inspect the sponsor and one or more clinical trial sites to assure compliance with IND and GCP requirements and the integrity of the clinical data submitted to the FDA. With passage of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 Additionally, the FDA may refer the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sponsor during the review process.</w:t>
      </w:r>
    </w:p>
    <w:p>
      <w:pPr>
        <w:spacing w:after="0" w:line="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drug involved, on the basis of which it could fairly and responsibly be concluded by such experts that the drug will have the effect it purports or is represented to have under the conditions of use prescribed, recommended, or suggested in the labeling or proposed labeling thereof.”</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has interpreted this evidentiary standard to require at least two adequate and well-controlled clinical investigations to establish effectiveness of a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[the FDA] determines, based on relevant science, that data from one adequate and well-controlled clinical investigation and confirmatory evidence (obtained prior to or after such investigation) are sufficient to establish effectiveness,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 In December 2019, the FDA issued draft guidance further explaining the studies that are needed to establish substantial evidence of effectiveness. It has not yet finalized that guidance.</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before approving an application, the FDA will determine whether the facility in which the product is manufactured, processed, packed or held meets standards designed to assure the product’s continued safety. The approval process is lengthy and often difficult, and the FDA may refuse to approve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sponsor may either resubmit the NDA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safety or efficacy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7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7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7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sponsor otherwise.</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passage of the FDORA in December 2022, Congress modified certain provisions governing accelerated approval of drug and biologic products. Specifically, the new legislation authorized the FDA to require (i) a sponsor to have its confirmatory clinical trial underway before accelerated approval is awarded; (ii) a sponsor of a product granted accelerated approval to submit progress reports on its post-approval studies to FDA every six months (until the study is completed); and (iii)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a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1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FDA strictly regulates the advertising and labeling of prescription drug products, including biological products.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41" w:name="page42"/>
    <w:bookmarkEnd w:id="41"/>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7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Finally, if there are any modifications to the product, including changes in indications, labeling or manufacturing processes or facilities, the sponsor may be required to submit and obtain FDA approval of a new BLA or a BLA supplement, which may require the sponsor to develop additional data or conduct additional preclinical studies and clinical trials.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There also are continuing, annual user fee requirements that are now assessed as program fees for certain approved drugs.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 therapy products present novel issues for assessing when two products are the “same” for orphan exclusivity purposes. In September 2021, the FDA issued a final guidance document describing its current thinking on when a gene therapy product is the “same” as another product for the purpose of orphan exclusivity. Under the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2" w:name="page43"/>
    <w:bookmarkEnd w:id="42"/>
    <w:p>
      <w:pPr>
        <w:ind w:right="40"/>
        <w:spacing w:after="0" w:line="254"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Orphan drug exclusivity will not bar approval of another product under certain circumstances, including if the company with orphan drug exclusivity is not able to meet market demand or the subsequent product with the same drug for the same condition is shown to be clinically superior to the approved product on the basis of greater efficacy or safety, or provide a major contribution to patient care. This is the case despite an earlier court opinion holding that the Orphan Drug Act unambiguously required the FDA to recognize orphan drug exclusivity regardless of a showing of clinical superiority. Under Omnibus legislation signed in December 2020, the requirement for a product to show clinical superiority applies to drugs and biologics that received orphan drug designation before enactment of the FDA Reauthorization Act of 2017, or FDARA, in 2017, but have not yet been approved or licensed by the FDA.</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exclusivity, the term “same disease or condition” in the statute means the designated “rare disease or condition” and could not be interpreted by the agency to mean the “indication or use.” Thus, the court concluded, orphan drug exclusivity applies to the entire designated disease or condition rather than the “indication or use.” It is unclear how this court decision will be implemented by the FDA.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 The law also includes an extensive process for the innovator biologic and biosimilar manufacturer to litigate patent infringement, validity, and enforceability prior to the approval of the biosimilar.</w:t>
      </w:r>
    </w:p>
    <w:p>
      <w:pPr>
        <w:spacing w:after="0" w:line="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Since the passage of the BPCIA, many states have passed laws or amendments to laws, including laws governing pharmacy practices, which are state-regulated, to regulate the use of biosimilars.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sponsor failed to exercise due diligence, plus the time between the submission date of an application and the ultimate approval date less any dime during which the sponsor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of companion diagnostics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for federal fiscal year 2023, the standard fee for review of a PMA is $ 441,547 and the small business fee is $110,387.</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44" w:name="page45"/>
    <w:bookmarkEnd w:id="44"/>
    <w:p>
      <w:pPr>
        <w:ind w:right="4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HHS has issued regulations to protect the privacy and security of protected health information, or PHI, used or disclosed by covered entities including certain healthcare providers, health plans and healthcare clearinghouses.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At the state level, in 2018, California passed into law the California Consumer Privacy Act, or the CCPA, which took effect on January 1, 2020 and imposed many requirements on businesses that process the personal information of California residents,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 On November 3, 2020, California voters passed a ballot initiative for the California Privacy Rights Act, or the CPRA, which will expand the CCPA to incorporate additional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will also expand personal information rights of California residents, including creating a right to opt out of sharing of personal information with third parties for advertising, expanding the lookback period for the right to know about personal information held by businesses, and expanding the right to erasure for information held by third parties. Most CPRA provisions took effect on January 1, 2023, though the obligations apply to any personal information collected after January 1, 2022. These provisions may apply to some of our business activities. In addition, other states, including Virginia and Colorado, already have passed state privacy laws. Other states will be considering these laws in the future. These laws may impact our business activities, including our identification of research subjects, relationships with business partners and ultimately the marketing and distribution of any products for which we or our collaborators obtain regulatory and marketing approval.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 and the U.K.</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the New Regulation, became effective in the European Union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or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New Regulation.</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 at the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obtain a marketing authorization for a gene therapy product under the EU regulatory system, a sponsor must submit an application via the centralized procedure administered by the European Medicines Agency (EMA). Specifically,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sponsor in response to questions of the Committee for Medicinal Products for Human Use, or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approval</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specific circumstances, E.U. legislation (Article 14–a Regulation (EC) No 726/2004 (as amended by Regulation (EU) 2019/5 and Regulation (EC) No 507/2006 on Conditional Marketing Authorizations for Medicinal Products for Human Use) enables sponsors to obtain a conditional marketing authorization prior to obtaining the comprehensive clinical data required for an application for a full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exclusivity in the EU</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provided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EU to the U.S. generally and increase our costs of compliance with data privacy legislation as well as our costs of negotiating appropriate privacy and security agreements with our vendors and business partners.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48" w:name="page49"/>
    <w:bookmarkEnd w:id="48"/>
    <w:p>
      <w:pPr>
        <w:ind w:right="40"/>
        <w:spacing w:after="0" w:line="254"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 commonly referred to as Brexit. As with other issues related to Brexit, there are open questions about how personal data will be protected in the U.K. and whether personal information can transfer from the EU to the U.K. Following the withdrawal of the U.K. from the EU, the U.K. Data Protection Act 2018 applies to the processing of personal data that takes place in the U.K. and includes parallel obligations to those set forth by GDPR. While the Data Protection Act of 2018 in the U.K. that “implements” and complements the GDPR has achieved Royal Assent on May 23, 2018 and is now effective in the U.K., it is unclear whether transfer of data from the EEA to the U.K. will remain lawful under the GDPR. The U.K. government has already determined that it considers all European Union 27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 to the U.K., although this decision may be re-evaluated in the future.</w:t>
      </w:r>
    </w:p>
    <w:p>
      <w:pPr>
        <w:spacing w:after="0" w:line="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It is unclear if and when the framework will be finalized and whether it will be challenged in court. The uncertainty around this issue may impact any business operations we may conduct in the EU.</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United Kingdom’s withdrawal from the EU, commonly referred to as Brexit, took place on January 31, 2020. The EU and the United Kingdom reached an agreement on their new partnership in the Trade and Cooperation Agreement, or the Trade and Cooperation Agreement, which was applied provisionally beginning on January 1, 2021 and which entered into force on May 1, 2021. The Trade and Cooperation Agreement focuses primarily on free trade by ensuring no tariffs or quotas on trade in goods, including healthcare products such as medicinal products. Thereafter, the EU and the United Kingdom will form two separate markets governed by two distinct regulatory and legal regimes. As such, the Trade and Cooperation Agreement seeks to minimize barriers to trade in goods while accepting that border checks will become inevitable as a consequence that the United Kingdom is no longer part of the single market.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the body of EU law instruments governing medicinal products that pre-existed prior to the United Kingdom’s withdrawal from the EU.</w:t>
      </w:r>
    </w:p>
    <w:p>
      <w:pPr>
        <w:spacing w:after="0" w:line="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for pharmaceutical products in the United Kingdom covering the quality, safety, and efficacy of pharmaceutical products, clinical trials, marketing authorization,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marketing authorization from the EMA, and a separate marketing authorization will be required to market our product candidates in the United Kingdom. Until December 31, 2023, it is possible for the MHRA to rely on a decision taken by the European Commission on the approval of a new marketing authorization via the centralized procedure.</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while the Data Protection Act of 2018 in the United Kingdom that “implements” and complements the European Union’s GDPR has achieved Royal Assent on May 23, 2018 and is now effective in the United Kingdom, it is still unclear whether transfer of data from the EEA to the United Kingdom will remain lawful under GDPR. The Trade and Cooperation Agreement provided for a transitional period during which the United Kingdom was treated like an EU Member State in relation to processing and transfers of personal data. After such period, the United Kingdom became a “third country” under the GDPR. The United Kingdom has already determined that it considers all of the EU 27 and EEA member states to be adequate for the purposes of data protection, ensuring that data flows from the United Kingdom to the EU/EEA remain unaffected. In addition, a recent decision from the European Commission appears to deem the U.K. as being “essentially adequate” for purposes of data transfer from the EU to the U.K., although this decision may be re-evaluated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ind w:right="40"/>
        <w:spacing w:after="0" w:line="253" w:lineRule="auto"/>
        <w:rPr>
          <w:sz w:val="20"/>
          <w:szCs w:val="20"/>
          <w:color w:val="auto"/>
        </w:rPr>
      </w:pPr>
      <w:r>
        <w:rPr>
          <w:rFonts w:ascii="Times New Roman" w:cs="Times New Roman" w:eastAsia="Times New Roman" w:hAnsi="Times New Roman"/>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cost-effectiveness of new products and services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2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9"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so-called “federal sunshine” law, which requires pharmaceutical and medical device companies to monitor and report certain financial interactions with certain healthcare providers and teaching hospitals to the Center for Medicare &amp; Medicaid Services within HHS for re-disclosure to the public, as well as ownership and investment interests held by physicians and their immediate family members;</w:t>
      </w:r>
    </w:p>
    <w:p>
      <w:pPr>
        <w:spacing w:after="0" w:line="49"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and other reform</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drug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with the exception of a temporary suspension and reduction from May 1, 2020 through June 30, 2022, with the 2% reduction resuming thereafter. Under current legislation the actual reduction in Medicare payments will vary from 1% in 2022 to up to 3% in the final fiscal year of this sequester.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1" w:name="page52"/>
    <w:bookmarkEnd w:id="51"/>
    <w:p>
      <w:pPr>
        <w:ind w:right="40"/>
        <w:spacing w:after="0" w:line="273" w:lineRule="auto"/>
        <w:rPr>
          <w:sz w:val="20"/>
          <w:szCs w:val="20"/>
          <w:color w:val="auto"/>
        </w:rPr>
      </w:pPr>
      <w:r>
        <w:rPr>
          <w:rFonts w:ascii="Times New Roman" w:cs="Times New Roman" w:eastAsia="Times New Roman" w:hAnsi="Times New Roman"/>
          <w:sz w:val="17"/>
          <w:szCs w:val="17"/>
          <w:color w:val="auto"/>
        </w:rPr>
        <w:t>Since enactment of the PPACA, there have been, and continue to be, numerous legal challenges and Congressional actions to repeal and replace provisions of the law. For example, with enactment of the Tax Cuts and Jobs Act of 2017, or the Tax Act,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PPACA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PPACA. Litigation and legislation over the PPACA are likely to continue, with unpredictable and uncertain results.</w:t>
      </w:r>
    </w:p>
    <w:p>
      <w:pPr>
        <w:spacing w:after="0" w:line="63"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including complications related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the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products from Canada into the United States. The final rule is currently the subject of ongoing litigation, but at least six states (Vermont, Colorado, Florida, Maine, New Mexico, and New Hampshire) have passed laws allowing for the importation of products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which has been delayed until January 1, 2026 by the Infrastructure Investment and Jobs Act.</w:t>
      </w:r>
    </w:p>
    <w:p>
      <w:pPr>
        <w:spacing w:after="0" w:line="8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In September 2021, acting pursuant to an executive order signed by President Biden,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More recently, on August 16, 2022, the Inflation Reduction Act of 2022, or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ind w:right="40"/>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 members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2022, we had 507 team members employed with us full-time, of which 149 had a M.D. or Ph.D. degree. Of these team members, 301 were engaged in research and development activities, 34 were engaged in clinical activities, 46 were in technical operations, 35 were in quality roles and 91 were in general and administrative roles. None of our team members are represented by a labor union or covered by a collective bargaining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strategy starts with our values:</w:t>
      </w:r>
    </w:p>
    <w:p>
      <w:pPr>
        <w:spacing w:after="0" w:line="115" w:lineRule="exact"/>
        <w:rPr>
          <w:sz w:val="20"/>
          <w:szCs w:val="20"/>
          <w:color w:val="auto"/>
        </w:rPr>
      </w:pPr>
    </w:p>
    <w:p>
      <w:pPr>
        <w:ind w:left="1080" w:hanging="563"/>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community of fearless innovators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Rigorous and honest in our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Listening with open minds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Committed to each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values have helped us build a team that is focused on achieving our vision of providing life-long cures for patients suffering from serious diseases.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We believe the following priorities are key to realizing this vision: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have a highly engaged team, and we regularly collect feedback to ensure their voices are heard. We do this through a combination of engagement surveys, weekly team meetings, one-on-one interactions, and open forums. In 2022, 94% of our team members participated in the Boston Globe’s Top Places to Work survey. We have received this industry recognition for each of the last three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 (compensation and benefits)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committed to rewarding our team members in order to continue to attract and retain talent. We do this by regularly conducting market assessments to ensure our compensation program is competitively positioned. We also engage our team members on a regular basis to understand what benefits they value. This feedback has allowed us to evolve our total rewards to respond proactively to the needs of our team.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Wellness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order to execute on our human capital strategy, the wellbeing of our team members comes first. To that end, we provide several benefits focused on the various physical, mental, and financial aspects of wellness. For example, during the COVID-19 pandemic, we implemented changes in our business to protect our team members and their families. These changes included flexible working schedules, weekly on-site testing, technology support and mandatory vaccination for all team members.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diversity &amp; belonging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build an inclusive and diverse culture that allows for unique perspectives, creates an opportunity for all to grow and develop, and reflects the needs of relevant patient communities​. Our Inclusion, Diversity and Belonging team develops monthly programs for our team members to engage with, hosts external speakers and panels, supports diverse local businesses, and creates communications for events that we honor throughout the year. In addition to our monthly programming, we are undertaking initiatives to accomplish the following goals, which were established with direct input from a company-wide listening tour and are linked to our values:</w:t>
      </w:r>
    </w:p>
    <w:p>
      <w:pPr>
        <w:spacing w:after="0" w:line="7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Diversity and Belonging at Beam is a cultural priority with a clear vision, intentional commitment, and transparent accountability.​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an Inclusion, Diversity and Belonging lens into our programs, policies, and processes, ensuring Beam team members understand how inclusion, diversity and belonging can have a positive effect on the employee experience.​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meaningful action to increase and support underrepresented talent, with specific emphasis on Black and Latinx team members.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honor and acknowledge various groups throughout the year, observing National Hispanic Heritage Month, Black History Month, International Women’s Day, Global Diversity Awareness Month, and Indigenous People’s Day.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and our corporate website, including without limitation the “Investors Center” section of our website. We use these channels, as well as social media channels such as Twitter and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 Center” section of our corporate website and on our social media channels. The contents of our corporate website and social media channels are not, however, a part of this Annual Report on Form 10-K.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$289.1 million, $370.6 million and $194.6 million for the years ended December 31, 2022, 2021 and 2020, respectively. As of December 31, 2022, we had an accumulated deficit of $1.1 billion. We have financed our operations primarily through private placements of our preferred stock, proceeds from sales of our common stock and collaboration revenue.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including our BEACON trial and our anticipated trial for BEAM-201;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other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other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 building and then maintain a commercial-scale cGMP manufacturing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not completed any clinical trials of any product candidates and expect that it will be many years, if ever, before we have a product candidate approved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5" w:name="page56"/>
    <w:bookmarkEnd w:id="55"/>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operating expenses have increased and are expected to continue to increase in connection with our ongoing activities, particularly as we identify, continue the research and development of, initiate and continue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8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At December 31, 2022, our cash, cash equivalents, and marketable securities were $1.1 billion.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 to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license agreements and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license agreements or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building, maintaining and expanding our internal manufacturing capacity.</w:t>
      </w:r>
    </w:p>
    <w:p>
      <w:pPr>
        <w:spacing w:after="0" w:line="11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product candidates are approved, we may not achieve commercial success. Our commercial revenues, if any, will be derived from sales of medicines that we do not expect to be commercially available for many years, if ever.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6" w:name="page57"/>
    <w:bookmarkEnd w:id="56"/>
    <w:p>
      <w:pPr>
        <w:ind w:right="80"/>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the attention of our management from their day-to-day activities, which may adversely affect our ability to develop and, if approved, commercialize our product candidates. We cannot be certain that additional funding will be available to us on acceptable terms, or at all. We have no committed source of additional capital and, if we are unable to raise additional capital in sufficient amounts or on terms acceptable to us on a timely basis, we may have to significantly delay, scale back or discontinue the development or, if approved, commercialization of our product candidates or other research and development initiatives. Our current and any future license agreements and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also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To the extent that we raise additional capital through the sale of equity or convertible debt securities, your ownership interest will be diluted.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7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you to evaluate the success of our business to date and to assess our future viability.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an early-stage company. We were founded in January 2017 and began operations in July 2017. Our operations to date have been limited to organizing and staffing our company, business planning, raising capital, acquiring and developing our platform and technology, identifying potential product candidates, undertaking preclinical studies and initiating clinical trials. Many of our product development programs are still in the preclinical or research stage of development, and their risk of failure is high. We have not yet demonstrated an ability to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will eventually need to transition from a company with a research focus to a company capable of supporting commercial activities. We may not be successful in such a transition.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72" w:lineRule="exact"/>
        <w:rPr>
          <w:sz w:val="20"/>
          <w:szCs w:val="20"/>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complete research and preclinical and clinical development of the product candidates we or our collaborators may identify;</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of our product candidates for which we or our collaborators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our product candidates for which we or our collaborators obtain regulatory and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or our collaborators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materials in compliance with cGMP and establish the infrastructure necessary to support and develop large-scale manufacturing capabilities;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our product candidates for which we or our collaborators obtain regulatory and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 acceptance of any product candidates we or our collaborators may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 licensing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and defend against third-party interference, infringement, and other intellectual property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Even if one or more of the product candidates we or our collaborators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ability to utilize our net operating loss carryforwards and certain other tax attributes may be limited.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their equity ownership over a three-year period, the corporation’s ability to use its pre-change net operating loss carryforwards, or NOLs, and other pre-change tax attributes (such as research and development tax credits) to offset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8" w:name="page59"/>
    <w:bookmarkEnd w:id="58"/>
    <w:p>
      <w:pPr>
        <w:ind w:right="40"/>
        <w:spacing w:after="0" w:line="252" w:lineRule="auto"/>
        <w:rPr>
          <w:sz w:val="20"/>
          <w:szCs w:val="20"/>
          <w:color w:val="auto"/>
        </w:rPr>
      </w:pPr>
      <w:r>
        <w:rPr>
          <w:rFonts w:ascii="Times New Roman" w:cs="Times New Roman" w:eastAsia="Times New Roman" w:hAnsi="Times New Roman"/>
          <w:sz w:val="18"/>
          <w:szCs w:val="18"/>
          <w:color w:val="auto"/>
        </w:rPr>
        <w:t>its post-change income or taxes may be limited. The amount of the annual limitation is determined based on the value of the corporation immediately prior to the ownership change. We have completed a Section 382 study as of December 31, 2021 to evaluate the availability of NOLs as of such date, however, our 382 study may have been incorrect, or we may experience ownership changes in the future as a result of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as amended by the Coronavirus Aid, Relief, and Economic Security Act, or the CARES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completed any clinical trials.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setting, optimizing the efficiency and specificity of such product candidates, and ensuring the therapeutic selectivity of such product candidates. Several biological steps are required for delivery of base editing medicines to translate into therapeutically active medicines. These processing steps may differ between individuals and differ based on the targeted tissue. These differences could lead to variable levels of therapeutic protein, variable activity, immunogenicity, or variable distribution to tissues further increasing the risk inherent in the development of base editing medicines. There can be no assurance we will be successful in solving any or all of these issues, or that we will be able to progress our preclinical studies or clinical trials in accordance with anticipated timelines.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For example, in November 2022, we announced that we have decided to optimize our direct correction, “Makassar” approach, alongside our HPFH approach, for Wave 2 and Wave 3 of our sickle cell disease programs. We cannot be sure that our technologies will yield satisfactory products that are safe and effective, scalable or profitable in our initial indications or any other indication we pursue.</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5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 xml:space="preserve">The success of our business depends primarily upon our ability to identify, develop, and commercialize product candidates based on our gene editing platform. Many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9" w:name="page60"/>
    <w:bookmarkEnd w:id="59"/>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6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gene editing field is relatively new and is evolving rapidly. We are focusing our research and development efforts primarily on gene editing using base editing technology, but other gene editing technologies may be discovered that provide significant advantages over base editing, which could materially harm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focus our research and development efforts primarily on gene editing technologies using base editing. Other companies are also engaged in the research and development of gene editing technologies using zinc finger nucleases, engineered meganucleases, transcription activator-like effector nucleases, Cas9 nucleases, transposon editing, prime editing, “gene writing,” programmable addition via site-specific targeting elements, and others. There can be no certainty that base editing technology will lead to the development of genetic medicines or that other gene editing technologies will not be considered better or more attractive for the development of medicines. Moreover, if we decide to focus primarily on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David Liu, Feng Zhang and their respective groups at MIT and the Broad Institute have developed novel gene editing technologies, including transposon editing, base editing and prime editing technologies, outside of the field of their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Many of our product candidates are still in preclinical development or earlier stages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very early in our development efforts and have focused our research and development efforts to date on base editing and delivery technology, identifying our initial targeted disease indications and product candidates in these indications. Our future success depends heavily on the successful development of our base editing product candidates and the results of our clinical trials, none of which have yet been completed. Our ability to generate product revenue, which we do not expect will occur for many years, if ever, will depend heavily on the successful development and, if approved, eventual commercialization of our product candidates, which may never occur. We currently generate no revenue from sales of any product, and we may never be able to develop or commercialize a marketable product.</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our INDs and finalizing the trial design based on discussions with the FDA and other regulatory authorities. The FDA has in the past and may again in the future require us to complete additional preclinical studies and satisfy other FDA requests for our clinical trials, causing the start or progress of such trials to be delayed. For example, in July 2022 the FDA informed us that the BEAM-201 IND was placed on clinical hold. We subsequently received a formal clinical hold letter from the FDA, in which the FDA requested additional control data for preclinical studies and further analyses of certain off-target editing experiments. We submitted our response to the FDA in November 2022 and in December 2022, we announced that the FDA had lifted the clinical hold.</w:t>
      </w:r>
    </w:p>
    <w:p>
      <w:pPr>
        <w:spacing w:after="0" w:line="7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Even after we receive and incorporate guidance from these regulatory authorities, the FDA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 There are equivalent processes and risks applicable to clinical trial applications in other countries, including in Europe.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ind w:right="140"/>
        <w:spacing w:after="0" w:line="261" w:lineRule="auto"/>
        <w:rPr>
          <w:sz w:val="20"/>
          <w:szCs w:val="20"/>
          <w:color w:val="auto"/>
        </w:rPr>
      </w:pPr>
      <w:r>
        <w:rPr>
          <w:rFonts w:ascii="Times New Roman" w:cs="Times New Roman" w:eastAsia="Times New Roman" w:hAnsi="Times New Roman"/>
          <w:sz w:val="18"/>
          <w:szCs w:val="18"/>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product candidates we identify and develop will depend on many factors, including the following:</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IND-enabling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of IND applications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commercial manufacturing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CMO,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non-patent exclusivity for our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medicines,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the medicines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the product at a price that is acceptable to the pricing or reimbursement authorities in different countries.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6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may develop, or the delivery modalities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completed human clinical trials of any of our product candidates. Moreover, there have been only a limited number of clinical trials involving the use of base editing technology similar to our technology. It is impossible to predict when or if any product candidates we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We have developed assays that can detect off-target edits, even when such edits occur at very low frequencies. Using these assays, we have observed off-target edits in our base editing product candidates. As the sensitivity of these assays increases, it is possible that we will continue to detect more such off-target edits. While we do not believe that the off-target edits we have observed to date have had a material adverse impact on the safety or benefit of our product candidates, if, in the future, we detect off-target edits for a product candidate that negatively impact safety or efficacy, our ability to develop the product candidate as a therapeutic could be adversely affected.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61" w:name="page62"/>
    <w:bookmarkEnd w:id="61"/>
    <w:p>
      <w:pPr>
        <w:ind w:right="80"/>
        <w:spacing w:after="0" w:line="261" w:lineRule="auto"/>
        <w:rPr>
          <w:sz w:val="20"/>
          <w:szCs w:val="20"/>
          <w:color w:val="auto"/>
        </w:rPr>
      </w:pPr>
      <w:r>
        <w:rPr>
          <w:rFonts w:ascii="Times New Roman" w:cs="Times New Roman" w:eastAsia="Times New Roman" w:hAnsi="Times New Roman"/>
          <w:sz w:val="18"/>
          <w:szCs w:val="18"/>
          <w:color w:val="auto"/>
        </w:rPr>
        <w:t>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polyethylene glycol from some lipids or polyethylene glycol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current or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viral vectors that we may use in certain of our base editing programs, including AAV or lentiviruses, which are relatively new approaches used for disease treatment, also have known side effects, and for which additional risks could develop in the future. In past clinical trials that were conducted by others with non-AAV viral vectors, several significant side effects were caused by gene therapy treatments, including reported cases of leukemia and death. For example, in February 2021, bluebird bio reported a suspected unexpected serious adverse reaction, or SUSAR, of acute myeloid leukemia, and a SUSAR of myelodysplastic syndrome in its Phase 1/2 clinical trial of LentiGlobin, a gene therapy using a lentiviral vector for the treatment of sickle cell disease, which resulted in the FDA placing a temporary clinical hold on the trial and the temporary suspension of the conditional marketing authorization by the EMA of ZYNTEGLO (beti-cel), which also uses a lentiviral vector, for patients 12 years and older with transfusion-dependent beta thalassemia who do not have a β0/β0 genotype, for whom HSC transplantation is appropriate, but HLA related HSC donor is not available. Other potential side effects of viral vectors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using such technology. Furthermore, the FDA has stated that lentiviral vectors possess characteristics that may pose high risks of delayed adverse events. Such delayed adverse events may occur in other viral vectors, including AAV vectors, at a lower rate.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side effects and adverse events caused by our product candidates, the conditioning administration process or related procedures which may be used in our electroporation pipeline also can cause adverse side effects and adverse events. Additionally, we are developing alternative conditioning regimes and we cannot predict if such regimes will be compatible with our product candidates. If in the future we are unable to demonstrate that such adverse events were not caused by the conditioning regimens used, or administration process or related procedure, the FDA, the European Commission, EMA or other regulatory authorities could order us to cease further development of, or deny or limit approval of, our product candidates using such regimens, processes or procedures for any or all target indications. Even if we are able to demonstrate that adverse events are not related to the product candidate or the administration of such product candidate, such occurrences could affect patient recruitment, the ability of enrolled patients to complete the clinical trial, or the commercial viability of any product candidates that obtain regulatory approval.</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2" w:name="page63"/>
    <w:bookmarkEnd w:id="62"/>
    <w:p>
      <w:pPr>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and it receives marketing approval, the FDA could require us to adopt a REMS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7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the approved use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63" w:name="page64"/>
    <w:bookmarkEnd w:id="63"/>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tested many of our proposed delivery modalities and product candidates in clinical trials and any favorable preclinical results are not predictive of results that may be observed in clinical trials.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tested many of our proposed delivery modalities in clinical trials. For example, in certain of our base editing programs we intend to use novel viral technologies to deliver the base editor and guide RNA constructs of product candidates, however, the scientific evidence to support the feasibility of developing product candidates based on these technologies is both preliminary and limited. We also intend to use LNPs to deliver some of our base editors. While LNPs have been used in certain approved therapeutics, they have not been used in any approved gene editing therapy, such as base editors. Furthermore, as with many viral-mediated gene therapy approaches, certain clinical trial patients’ immune systems might prohibit the successful delivery, thereby potentially limiting treatment outcomes of these patients. Even if initial clinical trials in any of our product candidates are successful, these product candidates may fail to show the desired safety and efficacy in later stages of clinical development despite having successfully advanced through preclinical studies and initial clinical trials.</w:t>
      </w:r>
    </w:p>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such adverse events may cause us to delay, limit, or terminate ongoing or planned clinical trials, any of which would have a material adverse effect on our business, financial condition, results of operations, and prospects.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results of preclinical studies or clinical trials may not be predictive of the results of later preclinical studies or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and delays related to the COVID-19 pandemic could exacerbate delays in enrolling for new clinical trials.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currently and may in the future have ongoing clinical trials for product candidates that treat the same indications as product candidates we are developing and may develop in the future, and patients who would otherwise be eligible for our clinical trials may instead enroll in clinical trials of our competitors’ product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64" w:name="page65"/>
    <w:bookmarkEnd w:id="64"/>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base editing as a therapeutic approach;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especially for those conditions which have small patient pools.</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and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locating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6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we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identify and develop, we must complete preclinical development and then conduct extensive clinical trials to demonstrate their safety and efficacy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5" w:name="page66"/>
    <w:bookmarkEnd w:id="65"/>
    <w:p>
      <w:pPr>
        <w:ind w:right="440"/>
        <w:spacing w:after="0" w:line="282" w:lineRule="auto"/>
        <w:rPr>
          <w:sz w:val="20"/>
          <w:szCs w:val="20"/>
          <w:color w:val="auto"/>
        </w:rPr>
      </w:pPr>
      <w:r>
        <w:rPr>
          <w:rFonts w:ascii="Times New Roman" w:cs="Times New Roman" w:eastAsia="Times New Roman" w:hAnsi="Times New Roman"/>
          <w:sz w:val="18"/>
          <w:szCs w:val="18"/>
          <w:color w:val="auto"/>
        </w:rPr>
        <w:t>We and our collaborators may experience numerous unforeseen events during, or as a result of, clinical trials that could delay or prevent our ability to receive marketing approval or commercialize any product candidates we identify and develop, including:</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 and endpoints;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operations of the FDA;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otherwise complying with additional requirements.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testing of any product candidates we develop, or if the results of these trials or tests are not positive or are only modestly positive or if there are safety concerns, we or our collaborators may:</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scientific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conduct one or more clinical trials with one or more trial sites that are located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FDA must be able to validate the data from the trial through an onsite inspection, if necessary. The trial population must also adequately represent the U.S. population, and the data must be applicable to the U.S. population and U.S. medical practice in ways that the FDA deems clinically meaningful. In addition, while these clinical trials are subject to the applicable local laws, whether the FDA accepts the data will depend 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conducting clinical trials outside the United States could have a significant adverse impact on us. Risks inherent in conducting international clinical trials include:</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7" w:name="page68"/>
    <w:bookmarkEnd w:id="67"/>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3" w:lineRule="exact"/>
        <w:rPr>
          <w:sz w:val="20"/>
          <w:szCs w:val="20"/>
          <w:color w:val="auto"/>
        </w:rPr>
      </w:pPr>
    </w:p>
    <w:p>
      <w:pPr>
        <w:jc w:val="both"/>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we develop in the United States or any other jurisdiction, and any such approval may be for a more narrow indication than we seek.</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genetic medicine generally and gene editing and base editing technologies specifically;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8" w:name="page69"/>
    <w:bookmarkEnd w:id="68"/>
    <w:p>
      <w:pPr>
        <w:ind w:left="1020" w:right="8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do not have a sales or marketing infrastructure and do not have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develop if and when they are approved.</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we may develop on our own include:</w:t>
      </w:r>
    </w:p>
    <w:p>
      <w:pPr>
        <w:spacing w:after="0" w:line="117" w:lineRule="exact"/>
        <w:rPr>
          <w:sz w:val="20"/>
          <w:szCs w:val="20"/>
          <w:color w:val="auto"/>
        </w:rPr>
      </w:pPr>
    </w:p>
    <w:p>
      <w:pPr>
        <w:ind w:left="1020" w:right="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 candidates we may develop to segments of the patient population;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9" w:name="page70"/>
    <w:bookmarkEnd w:id="6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base editing and delivery technology fields are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There are several other companies utilizing CRISPR/Cas9 nuclease technology, including Caribou Biosciences, Editas Medicine, CRISPR Therapeutics, Intellia Therapeutics, Arbor Biotechnologies, Metagenomi, and Mammoth Biosciences. Several additional companies utilize other nuclease-based gene editing technologies, including Zinc Fingers, Arcuses, and TAL Nucleases, which includes Sangamo Biosciences, Precision BioSciences, bluebird bio, Allogene Therapeutics, and Cellectis. Additionally, newer gene editing modalities are emerging, including from Prime Medicine, Tessera Therapeutics, Shape Therapeutics, Scribe Therapeutics, Korro Bio, Tome Biosciences, PerkinElmer (formerly Horizon Discovery) and Intellia Therapeutics. PerkinElmer, Metagenomi and Intellia Therapeutics are developing base editing technology and Tessera Therapeutics is utilizing mobile genetic elements for gene editing. In addition, we face competition from companies utilizing various gene therapy, epigenetic modulation, oligonucleotide, and CAR-T therapeutic approaches.</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0" w:name="page71"/>
    <w:bookmarkEnd w:id="70"/>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In addition, in 2020, three patients in Audentes Therapeutics’ clinical trial investigating AT132 (a gene therapy product candidate which was being delivered via AAV administration) for X-linked myotubular myopathy (XLMTM) died. The immediate cause of death in two cases was sepsis and in a third case was gastrointestinal bleeding, each of which followed progressive liver dysfunction that occurred within the first 4-6 weeks following AT132 dosing, and which did not respond to standard treatment.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In the wake of the claim, the World Health Organization established a new advisory committee to create global governance and oversight standards for human gene editing and announced plans for a new global registry to track research on human gene editing. The Alliance for Regenerative Medicine also released principles for the use of gene editing in therapeutic applications endorsed by a number of companies that use gene editing technologies.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1" w:name="page72"/>
    <w:bookmarkEnd w:id="71"/>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or IRA was recently signed into law. The IRA includes several provisions that may impact our business, including provisions that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We cannot yet predict the effect the IRA will have on our business and the healthcare industry in general.</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also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8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78"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2" w:name="page73"/>
    <w:bookmarkEnd w:id="72"/>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68" w:lineRule="exact"/>
        <w:rPr>
          <w:sz w:val="20"/>
          <w:szCs w:val="20"/>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73" w:name="page74"/>
    <w:bookmarkEnd w:id="73"/>
    <w:p>
      <w:pPr>
        <w:ind w:right="140"/>
        <w:spacing w:after="0" w:line="258" w:lineRule="auto"/>
        <w:rPr>
          <w:sz w:val="20"/>
          <w:szCs w:val="20"/>
          <w:color w:val="auto"/>
        </w:rPr>
      </w:pPr>
      <w:r>
        <w:rPr>
          <w:rFonts w:ascii="Times New Roman" w:cs="Times New Roman" w:eastAsia="Times New Roman" w:hAnsi="Times New Roman"/>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11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4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Further, while we carry biological or hazardous waste insurance coverage, such insurance coverage may not be adequate to cover losses,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4" w:name="page75"/>
    <w:bookmarkEnd w:id="74"/>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we intend to use novel viral technologies to deliver the base editor and guide RNA constructs of product candidates, however scientific evidence to support the feasibility of developing product candidates based on these technologies is both preliminary and limited.</w:t>
      </w:r>
    </w:p>
    <w:p>
      <w:pPr>
        <w:spacing w:after="0" w:line="54"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and expect to continue to rely on third parties, such as CMOs, CROs, clinical data management organizations, medical institutions, and clinical investigators, to conduct some aspects of our research and preclinical testing, to manufacture components of our product candidates and to conduct our clinical trials. Any of these third parties may terminate their engagements with us at any time under certain criteria. If we need to enter into alternative arrangements, it may delay our product development activities.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design the clinical trials for our product candidates, we rely on and expect to continue to rely on CROs to conduct some or all of the clinical trials. As a result, many important aspects of our development programs, including their conduct and timing, will be outside of our direct control. Our reliance on third parties to conduct preclinical studies and clinical trials also results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materials for our research programs, preclinical studies and clinical trial and expect to continue to do so for at least a portion of the manufacturing process for our research programs, preclinical studies,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rely on third-party manufacturers for the manufacture of our materials for preclinical studies and clinical trials, and may continue to do so for at least a portion of the manufacturing process for our research programs, preclinical studies, clinical testing and for commercial supply of any product candidates that we may develop and for which we or our collaborators obtain marketing approval. We do not have a long-term supply agreement with any of the third-party manufacturers, and we purchase our required supply on an order-by-order basis.</w:t>
      </w:r>
    </w:p>
    <w:p>
      <w:pPr>
        <w:spacing w:after="0" w:line="7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While we have built a manufacturing facility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oncology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non-viral delivery programs for liver diseases in Research Triangle Park, North Carolina, this facility is not yet capable of cGMP operations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certain that we will be able to build out our internal manufacturing capacity, or on the timeliness we expect.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t>We may be unable to establish long-term supply agreements with third-party manufacturers or to do so on acceptable terms. Even if we are able to establish long-term supply agreements with third-party manufacturers, reliance on third-party manufacturers entails additional risks, including:</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of third-party suppliers to supply and/or transport materials, components and products to us in a timely manner as a result of disruptions to the global supply chain in connection with the COVID-19 pandemic or other factors, or as a result of supply shortages in connection with large-scale production of COVID-19 vaccines.</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medicines that we develop may compete with other product candidates and products for access to manufacturing facilities. There are a limited number of manufacturers that operate under cGMP regulations and that might be capable of manufacturing drug components and drug product necessary for gene editing. In addition, multiple third parties have contracted with commercial manufacturers to manufacture materials required for large-scale production of COVID-19 vaccines, including mRNA. If supply of mRNA is limited, we may not be able to obtain mRNA for use in our preclinical studies and clinical trials, which may result in research and development delays.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of all drug components and drug products necessary for our gene editing product candidates.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50" w:lineRule="exact"/>
        <w:rPr>
          <w:sz w:val="20"/>
          <w:szCs w:val="20"/>
          <w:color w:val="auto"/>
        </w:rPr>
      </w:pPr>
    </w:p>
    <w:p>
      <w:pPr>
        <w:jc w:val="both"/>
        <w:ind w:right="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our drug development pipeline increases and matures, the increased demand for clinical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if approved, at commercial-scale. We have limited experience manufacturing any of our product candidates in the volumes that are necessary to support clinical trials or and no experience manufacturing at volumes that are necessary to support commercial sales. Efforts to establish these capabilities may not meet initial expectations as to scheduling, scale-up, reproducibility, yield, purity, cost, potency or quality. In addition, other companies, many with substantial resources, compete with us for access to the materials needed to manufacture our product candidates.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utilize, and expect to continue to utilize, third parties to, among other things, manufacture raw materials, components, parts, and consumables, and to perform quality testing. If the field of base editing and other genetic medicines continues to expand, we may encounter increasing competition for these materials and services. Demand for third-party manufacturing or testing facilities may grow at a faster rate than their existing capacity, which could disrupt our ability to find and retain third-party manufacturers capable of producing sufficient quantities of such raw materials, components, parts, and consumables required to manufacture our product candidates. The use of service providers and suppliers could expose us to risks, including, but not limited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7" w:name="page78"/>
    <w:bookmarkEnd w:id="77"/>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supply and service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these suppliers and service providers caused by conditions unrelated to our business or operations, including the bankruptcy of the supplier or service provider;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third-party facilities by regulatory authorities that could have a negative outcome and result in delays to or termination of their ability to supply our requirements.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 candidates on a clinical and, if approved, a commercial scale, replacement of a manufacturer may be expensive and time-consuming and may cause interruptions in the production of our product candidates. A third-party manufacturer may also encounter difficulties in production. These problems may include:</w:t>
      </w:r>
    </w:p>
    <w:p>
      <w:pPr>
        <w:spacing w:after="0" w:line="75"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or results of operations.</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with third parties for the research, development, and commercialization of certain of the product candidates we develop. If any such collaborations are not successful, we may not be able to capitalize on the market potential of those product candidates.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and may in the future seek third-party collaborators for the research, development, and commercialization of certain of the product candidates we develop. Under the agreements we have entered into and any agreements we may enter into in the future with any third parties, we have and will likely have limited control over the amount and timing of resources that our collaborators dedicate to the development or commercialization of any product candidates we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research programs or any product candidates we may develop pose numerous risks to us, including the following:</w:t>
      </w:r>
    </w:p>
    <w:p>
      <w:pPr>
        <w:spacing w:after="0" w:line="11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medicines or product candidates we develop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medicines may not commit sufficient resources to the marketing and distribution of such medicine or medicines.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8" w:name="page79"/>
    <w:bookmarkEnd w:id="78"/>
    <w:p>
      <w:pPr>
        <w:ind w:left="1020" w:right="10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7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9" w:name="page80"/>
    <w:bookmarkEnd w:id="79"/>
    <w:p>
      <w:pPr>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if approved, delay its potential commercialization or reduce the scope of any sales or marketing activities, or increase our expenditures and undertake development or, if approved, commercialization activities at our own expense. If we elect to increase our expenditures to fund development or, if approved,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helped launch a new company, Orbital Therapeutics, Inc., and are exposed to risks associated with the launch of the new company, including that we may not realize the advantages we expect from it.</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we helped launch Orbital Therapeutics Inc., or Orbital, in collaboration with ARCH Venture Partners, with a goal of advancing ribonucleic acid, or RNA, medicines. In connection with the Orbital launch, we entered into a license and collaboration agreement, or the Orbital Agreement, with Orbital pursuant to which we and Orbital each granted the other licenses to certain technology controlled by it necessary or reasonably useful for the non-viral delivery or the design or manufacture of RNA for the prevention, treatment or diagnosis of human disease. In addition, concurrently with our entry into the Orbital Agreement, Orbital issued us 75 million shares of its common stock. ARCH Venture Partners is also a stockholder of Orbital, two of our directors affiliated with ARCH Venture Partners, Kristina Burow and John Maraganore, as well as John Evans, our Chief Executive Officer, are members of the board of directors of Orbital, and our President, Dr. Giuseppe Ciaramella, is the interim chief executive officer of Orbital and is a member of its board of directors.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of our minority ownership in Orbital, we have a lesser degree of control over its business operations, thereby potentially subjecting us to additional the financial, legal, operational and compliance risks. In addition, the controlling shareholders or management of Orbital may have business interests, strategies or goals that are inconsistent with ours. These risks include the possibility that Orbital or such other stockholders have economic or business interests or goals that are or become inconsistent with our economic or business interests or goals; are in a position to take action contrary to our instructions, requests, policies or objectives; subject us to unexpected liabilities or risks; take actions that reduce our return on investment; act in a manner that compromises our key licensed rights, or important intellectual or other rights that we own or license; or take actions that harm our reputation or restrict our ability to run our business. Furthermore, as a result of our ownership in Orbital, we may in the future be required to include Orbital’s financial information in our consolidated financial results. We have not previously included a minority-owned subsidiary in our financial statements and we would therefore be subject to increased risk in accurately representing and incorporating Orbital financial statements into our own, which could result in delayed filings with the SEC and the finding of a material or significant weakness, among others. This could result in harmful consequences to our business, including an adverse reaction in the financial markets due to a loss of confidence in the reliability of our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any product candidates we develop and for our platform technologies,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platform technologies may be adversely affected.</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trademark, trade secret and other intellectual property protection of our base editing platform technology, product candidates and other technology, including delivery platform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position by in-licensing intellectual property relating to our platform technology and filing patent applications in the United States and abroad related to our base editing platform technology, delivery platform technology and product candidates that are important to our business. If we or our licensors are unable to obtain or maintain patent protection with respect to our base editing platform technology, delivery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The field of gene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delivery platform technology and product candidates we may develop, or which effectively prevent others from commercializing competitive technologies and product candidates.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the field of gene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initiate a discovery program in accordance with the development plan and development milestones for the development of a licensed product covered by certain sub-categories of licensed patents. If we fail to initiate such a discovery program, our rights with respect to the sub-category of licensed patents will terminate.</w:t>
      </w:r>
    </w:p>
    <w:p>
      <w:pPr>
        <w:spacing w:after="0" w:line="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use of certain gene editing technologies for the diagnosis, treatment, and prevention of human cancers through certain engineered T-cells, which are licensed to Juno Therapeutics, Inc. (a subsidiary of Bristol-Myers Squibb Company). If we determine that rights to such excluded field are necessary to commercialize any of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2" w:name="page83"/>
    <w:bookmarkEnd w:id="82"/>
    <w:p>
      <w:pPr>
        <w:ind w:right="40"/>
        <w:spacing w:after="0" w:line="253" w:lineRule="auto"/>
        <w:rPr>
          <w:sz w:val="20"/>
          <w:szCs w:val="20"/>
          <w:color w:val="auto"/>
        </w:rPr>
      </w:pPr>
      <w:r>
        <w:rPr>
          <w:rFonts w:ascii="Times New Roman" w:cs="Times New Roman" w:eastAsia="Times New Roman" w:hAnsi="Times New Roman"/>
          <w:sz w:val="18"/>
          <w:szCs w:val="18"/>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three issued U.S. patents. 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18"/>
          <w:szCs w:val="18"/>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4" w:name="page85"/>
    <w:bookmarkEnd w:id="84"/>
    <w:p>
      <w:pPr>
        <w:spacing w:after="0" w:line="255" w:lineRule="auto"/>
        <w:rPr>
          <w:sz w:val="20"/>
          <w:szCs w:val="20"/>
          <w:color w:val="auto"/>
        </w:rPr>
      </w:pPr>
      <w:r>
        <w:rPr>
          <w:rFonts w:ascii="Times New Roman" w:cs="Times New Roman" w:eastAsia="Times New Roman" w:hAnsi="Times New Roman"/>
          <w:sz w:val="18"/>
          <w:szCs w:val="18"/>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2044,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February 28, 2022, the PTAB issued a decision that the Boston Licensing Parties have priority of invention over University of California with respect to a single RNA CRISPR-Cas9 system that functions in eukaryotic cells. This decision is being appealed. There can be no assurance that the U.S. interference will be 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5" w:name="page86"/>
    <w:bookmarkEnd w:id="85"/>
    <w:p>
      <w:pPr>
        <w:ind w:right="60"/>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In March 2021, the PTAB issued an order on preliminary motions, granting, in part, and denying, in part, certain motions proposed by the Boston Licensing Parties and Toolgen. An oral hearing in the priority phase of U.S. Interference No. 106,126 was held on September 12, 2022. On September 28, 2022, the PTAB issued a decision on preliminary motions denying or dismissing certain motions proposed by the Boston Licensing Parties and Toolgen and issued an order suspending proceedings in the priority phase of the interference.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8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In September 2021, the PTAB issued an order on preliminary motions, granting, deferring, dismissing, or denying, certain motions proposed by the Boston Licensing Parties and Sigma-Aldrich. An oral hearing in the priority phase of U.S. Interference No. 106,133 was held on November 21, 2022. On December 14, 2022, the PTAB issued a decision on preliminary motions denying or dismissing certain motions proposed by the Boston Licensing Parties and Sigma-Aldrich and issued an order suspending proceedings in the priority phase of the interference. We cannot predict with any certainty when a decision will be made.</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6" w:name="page87"/>
    <w:bookmarkEnd w:id="86"/>
    <w:p>
      <w:pPr>
        <w:ind w:right="12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delivery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delivery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80"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7" w:name="page88"/>
    <w:bookmarkEnd w:id="87"/>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delivery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licensors, including Harvard, Broad Institute, Editas, and Bio Palette in the past, we cannot assure you that we will be able to in-license or acquire the rights to any product candidates or technologies from third parties on acceptable terms or at all.</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example, our agreements with certain of our third-party licensors provide that our field of use excludes particular fields, for example, the use of certain gene editing technologies for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there has been extensive patenting activity in the fields of gene editing and delivery technologies, and pharmaceutical companies, biotechnology companies, and academic institutions are competing with us or are expected to compete with us in the fields of gene editing and delivery technologies and filing patent applications potentially relevant to our business and we are aware of certain third-party patents, as well as patent applications that, if issued, may allow the third party to circumvent our patent rights. For example, we are aware of several third-party patents, and patent applications that, if issued, may be construed to cover our base editing technology, delivery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and delivery technologies. We may also require licenses from third parties for additional non-base editing technologies, including additional delivery methods that we are evaluating for use with product candidates we are developing and may develop in the future. In addition, some of our owned patents and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8" w:name="page89"/>
    <w:bookmarkEnd w:id="88"/>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base editing technology, is still in its infancy, and no such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9" w:name="page90"/>
    <w:bookmarkEnd w:id="89"/>
    <w:p>
      <w:pPr>
        <w:spacing w:after="0" w:line="251"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11,274,318; 11,293,034;11,332,761; 11,401,532; 11,473,108; 11,479,794; 11,549,127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EP2,800,811 B1, and EP3,241,902 B1and EP3401400 B1, which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Most of the claims of European patent EP 2,800,811 B1 were maintained without amendment by the Opposition Division, but this decision is being appealed. In April 2021, the claims of European patent EP3,241,902 B1 were revoked in their entirety, and that decision is not being appealed. In February 2022, the claims of European patent EP3,401,400 B1 were maintained in amended form by the Opposition Division, and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0" w:name="page91"/>
    <w:bookmarkEnd w:id="90"/>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future patents or the patents of our licensors, which could be expensive, time consuming, and unsuccessful and could result in a finding that such patents are unenforceable or invalid.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future patents or the patents of our licensing partners, or we may be required to defend against claims of infringement. In addition, our patents,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 equivalent proceedings in foreign jurisdictions (e.g., opposition proceedings).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91" w:name="page92"/>
    <w:bookmarkEnd w:id="91"/>
    <w:p>
      <w:pPr>
        <w:spacing w:after="0" w:line="255" w:lineRule="auto"/>
        <w:rPr>
          <w:sz w:val="20"/>
          <w:szCs w:val="20"/>
          <w:color w:val="auto"/>
        </w:rPr>
      </w:pPr>
      <w:r>
        <w:rPr>
          <w:rFonts w:ascii="Times New Roman" w:cs="Times New Roman" w:eastAsia="Times New Roman" w:hAnsi="Times New Roman"/>
          <w:sz w:val="18"/>
          <w:szCs w:val="18"/>
          <w:color w:val="auto"/>
        </w:rPr>
        <w:t xml:space="preserve">Conversely, we may choose to challenge the patentability of claims in a third party’s U.S. patent by requesting that the USPTO review the patent claims in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delivery platform technology or other or proprietary technologies.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2" w:name="page93"/>
    <w:bookmarkEnd w:id="9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platform technologies and product candidates.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 a new post-grant review system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Because of a lower evidentiary standard in USPTO proceedings compared to the evidentiary standard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some of these changes are currently unclear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Genetics, Inc., </w:t>
      </w:r>
      <w:r>
        <w:rPr>
          <w:rFonts w:ascii="Times New Roman" w:cs="Times New Roman" w:eastAsia="Times New Roman" w:hAnsi="Times New Roman"/>
          <w:sz w:val="18"/>
          <w:szCs w:val="18"/>
          <w:color w:val="auto"/>
        </w:rPr>
        <w:t>the U.S. Supreme Court held that certain claims to DNA molecules are not patentable. We cannot predict how this and future decisions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4" w:name="page95"/>
    <w:bookmarkEnd w:id="94"/>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asserted and may in the future assert that we, our employees, consultants, or advisors have wrongfully used or disclosed confidential information or misappropriated trade secrets.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In addition, we regularly enter into non-disclosure and confidentiality agreements to protect the proprietary positions of third parties, such as research institutions, outside scientific collaborators, CROs, third-party manufacturers, consultants, advisors, potential partners and other third parties in order to evaluate technology for potential development. Although we try to ensure that we and our employees, consultants, and advisors do not use the proprietary information or know-how of others, we have received and may in the future be subject to claims that we or these individuals have inadvertently or otherwise wrongfully used or disclosed intellectual property, including trade secrets or other proprietary information, of third parties, including any such individual’s current or former employer. Also, we have in the past and may in the future be subject to claims that these individuals are violating non-compete agreements with their former employers. We may then have to pursue litigation to defend against any of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we received correspondence from a research institution regarding a confidentiality agreement between such institution and us. The confidentiality agreement related to certain technology that we evaluated for development in connection with certain of our programs. The correspondence alleges that we breached the terms of the confidentiality agreement, misappropriated trade secret and other confidential information of such institution, engaged in unfair and deceptive trade practices, and were unjustly enriched in connection with developing our therapeutics, including BEAM-102 and our Alpha-1 Antitrypsin Deficiency therapeutic candidate (which we now refer to as BEAM-302). The research institution claims that it is entitled to monetary damages (including damages for the apportioned value of our company and enhanced damages for an alleged willful violation) and certain ongoing royalty and/or milestone payments related to the technology that is the subject of the alleged breaches of contract, among other possible remedies. We made a settlement proposal, which was rejected, and we expect to continue to engage in communication with the research institution. We cannot predict whether we will be able to reach a settlement relating to such claims or whether we would prevail in any litigation or action related to them. Moreover, any litigation may result in negative publicity, regardless of its outcome, and may subject us to significant liability for monetary damages and have a material adverse effect on our business, financial position, and results of operations. For further information, see Note 6 of the notes to our consolidated financial statements included elsewhere in this Annual Report on Form 10-K.</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or parts of our owned or in-licensed patents;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6" w:name="page97"/>
    <w:bookmarkEnd w:id="96"/>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31" w:lineRule="exact"/>
        <w:rPr>
          <w:rFonts w:ascii="Times New Roman" w:cs="Times New Roman" w:eastAsia="Times New Roman" w:hAnsi="Times New Roman"/>
          <w:sz w:val="17"/>
          <w:szCs w:val="17"/>
          <w:color w:val="auto"/>
        </w:rPr>
      </w:pPr>
    </w:p>
    <w:p>
      <w:pPr>
        <w:ind w:left="1020" w:right="7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right="560"/>
        <w:spacing w:after="0" w:line="373"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have a material adverse effect on our business, financial condition, results of operations, and prospects. </w:t>
      </w:r>
      <w:r>
        <w:rPr>
          <w:rFonts w:ascii="Times New Roman" w:cs="Times New Roman" w:eastAsia="Times New Roman" w:hAnsi="Times New Roman"/>
          <w:sz w:val="18"/>
          <w:szCs w:val="18"/>
          <w:b w:val="1"/>
          <w:bCs w:val="1"/>
          <w:color w:val="auto"/>
        </w:rPr>
        <w:t>Risks related to regulatory and other legal compliance matters</w:t>
      </w:r>
    </w:p>
    <w:p>
      <w:pPr>
        <w:spacing w:after="0" w:line="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5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6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same applies in the European Union, or EU. The EMA’s Committee for Advanced Therapies, or CAT, is responsible for assessing the quality, safety and efficacy of advanced-therapy medicinal products. The role of the CAT is to prepare a draft opinion on an application for marketing authorization for a genetic medicinal candidate that is submitted to the CHMP before CHMP adopts its final opinion. In the EU, the 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7" w:name="page98"/>
    <w:bookmarkEnd w:id="97"/>
    <w:p>
      <w:pPr>
        <w:spacing w:after="0" w:line="255" w:lineRule="auto"/>
        <w:rPr>
          <w:sz w:val="20"/>
          <w:szCs w:val="20"/>
          <w:color w:val="auto"/>
        </w:rPr>
      </w:pPr>
      <w:r>
        <w:rPr>
          <w:rFonts w:ascii="Times New Roman" w:cs="Times New Roman" w:eastAsia="Times New Roman" w:hAnsi="Times New Roman"/>
          <w:sz w:val="18"/>
          <w:szCs w:val="18"/>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including T-cell acute lymphoblastic leukemia, glycogen storage disorder and Stargardt disease, have small patient populations, making development of large and rigorous clinical trials more difficult.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and only a limited number of gene therapy products have received marketing authorization or marketing approval from the European Commission or the FDA. Some of these products have taken years to register and have had to address significant issues in their post-marketing experience.</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we advance any product candidates we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98" w:name="page99"/>
    <w:bookmarkEnd w:id="98"/>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following the result of a referendum in 2016, the United Kingdom left the EU on January 31, 2020, commonly referred to as Brexit. After lapse of a transition period, the United Kingdom is no longer part of the European Single Market and European Union Customs Union as of January 1, 2021. A trade and cooperation agreement that outlines the future trading relationship between the United Kingdom and the EU was agreed to in December 2020 and entered into force on May 1, 2021. As of January 1, 2021, the MHRA became responsible for supervising medicines and medical devices in Great Britain, comprising England, Scotland and Wales under domestic law, whereas Northern Ireland will continue to be subject to EU rules under the Northern Ireland Protocol. The MHRA will rely on the HMR as the basis for regulating medicines. The HMR has incorporated into the domestic law of the body of EU law instruments governing medicinal products that pre-existed prior to the United Kingdom’s withdrawal from the EU. Since a significant proportion of the regulatory framework for pharmaceutical products in the United Kingdom covering the quality, safety, and efficacy of pharmaceutical products, clinical trials, marketing authorization, commercial sales, and distribution of pharmaceutical products is derived from EU directives and regulations.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18"/>
          <w:szCs w:val="18"/>
          <w:color w:val="auto"/>
        </w:rPr>
        <w:t>Brexit may have a material impact upon the regulatory regime with respect to the development, manufacture, importation, approval and commercialization of our product candidates in the United Kingdom. For example, the United Kingdom is no longer covered by the centralized procedures for obtaining EU-wide marketing authorization from the EMA, and a separate marketing authorization will be required to market our product candidates in the United Kingdom. Until December 31, 2023, it is possible for the MHRA to rely on a decision taken by the European Commission on the approval of a new marketing authorization via the centralized procedure. However, it is unclear whether the MHRA in the United Kingdom is sufficiently prepared to handle the increased volume of marketing authorization applications that it is likely to receive after such time.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be subject to enforcement actions or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7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 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54"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medicines,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medicine;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medicine;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warning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medicines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medicines;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0" w:name="page101"/>
    <w:bookmarkEnd w:id="100"/>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future procurements with governmental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1" w:name="page102"/>
    <w:bookmarkEnd w:id="101"/>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our product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where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Separately, FDA operations have recently been disrupted due to the COVID-19 pandemic. In the event FDA operations are further disrupted, the FDA may not be able to ensure timely reviews of applications for medical products in line with its user fee performance goals. Regulatory authorities outside the U.S. may also experience delays in their regulatory activities as a result of the COVID-19 pandemic or other health emergencies. On January 30, 2023, the Biden Administration announced that it will end the public health emergency declarations related to COVID-19 on May 11, 2023. On January 31, 2023, the FDA indicated that it would soon issue a Federal Register notice describing how the termination of the public health emergency will impact the agency’s COVID-19 related guidance, including the clinical trial guidance and updates thereto. At this point, it is unclear how, if at all, these developments will impact our efforts to develop and commercialize our product candidates.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an emergency related disruption occurs, it could significantly impact the ability of the FDA to timely review and process our regulatory submissions, which could have a material adverse effect on our business. Future emergency-related disruptions could also affect other government agencies such as the SEC, which may also impact our business by delaying review of our public filings, to the extent such review is necessary, and our ability to access the public markets.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02" w:name="page103"/>
    <w:bookmarkEnd w:id="102"/>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For example,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Orphan drug exclusivity may also be lost if the FDA or EMA determines that the request for designation was materially defective or if the manufacturer is unable to assure sufficient quantity of the product to meet the needs of the patients with the rare disease or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w:t>
      </w:r>
    </w:p>
    <w:p>
      <w:pPr>
        <w:spacing w:after="0" w:line="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in December 2020, the requirement for a product to show clinical superiority applies to drugs and biologics that received orphan drug designation before enactment of FDARA in 2017, but have not yet been approved or licensed by the FDA.</w:t>
      </w:r>
    </w:p>
    <w:p>
      <w:pPr>
        <w:spacing w:after="0" w:line="7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This may be particularly true in light of a decision from the Court of Appeals for the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Circuit in September 2021 finding that, for the purpose of determining the scope of exclusivity, the term “same disease or condition” means the designated “rare disease or condition” and could not be interpreted by the agency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3" w:name="page104"/>
    <w:bookmarkEnd w:id="103"/>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18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4" w:name="page105"/>
    <w:bookmarkEnd w:id="104"/>
    <w:p>
      <w:pPr>
        <w:ind w:right="6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2010, the United States Congress enacted the 2010 Patient Protection and Affordable Care Act, or the PPACA.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with the exception of a temporary suspension and reduction from May 1, 2020 through June 30, 2022, with a 2% reduction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Act,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PPACA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PPACA. Litigation and legislation over the PPACA are likely to continue, with unpredictable and uncertain results.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5" w:name="page106"/>
    <w:bookmarkEnd w:id="105"/>
    <w:p>
      <w:pPr>
        <w:spacing w:after="0" w:line="221" w:lineRule="exact"/>
        <w:rPr>
          <w:sz w:val="20"/>
          <w:szCs w:val="20"/>
          <w:color w:val="auto"/>
        </w:rPr>
      </w:pPr>
      <w:r>
        <w:rPr>
          <w:rFonts w:ascii="Times New Roman" w:cs="Times New Roman" w:eastAsia="Times New Roman" w:hAnsi="Times New Roman"/>
          <w:sz w:val="18"/>
          <w:szCs w:val="18"/>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including complications related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Infrastructure Investment and Jobs Act to January 1, 2026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80"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In September 2021, acting pursuant to an executive order signed by President Biden,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More recently, 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6" w:name="page107"/>
    <w:bookmarkEnd w:id="106"/>
    <w:p>
      <w:pPr>
        <w:ind w:right="20"/>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7" w:name="page108"/>
    <w:bookmarkEnd w:id="10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8" w:name="page109"/>
    <w:bookmarkEnd w:id="10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and other countries around the world.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In addition, these laws and regulations may impose additional costs on our business activities, including costs of contracting with vendors and other business partners and the costs of identifying appropriate patients for clinical trials or subsequent treatment.</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individually identifiable health information, we could be found to have breached our contracts. Further, if we fail to comply with applicable privacy laws, we could face civil and criminal penalties or other enforcement risks related to our business. In addition to these potential penalties,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present new risks and challenges to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information technology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continuing to seek to acquire businesses or technologies that we believe are a strategic fit with our business strategy. Future acquisitions, however, may entail numerous operational and financial risks, including:</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current financial resources;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 and in connection with future milestone payment obligations under such acquisition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development activities for those acquired or in-licensed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customer base and diversion of our management’s time and attention to develop acquired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not have sufficient resources to identify and execute the acquisition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 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10" w:name="page111"/>
    <w:bookmarkEnd w:id="110"/>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President, other key executives and to attract, retain, and motivate qualified personnel.</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highly dependent on John Evans, our Chief Executive Officer, and Dr. Giuseppe Ciaramella, our President,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growth and advancement of our pipeline,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your initial purchase price.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11" w:name="page112"/>
    <w:bookmarkEnd w:id="111"/>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genetic medicines, including those that involve gene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any future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pandemics and public health emergencies, including the ongoing COVID-19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adequate internal financial and accounting controls and procedures to ensure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 and an annual report on and attestation to such assessment by our registered public accounting firm. Notwithstanding such actions, we may not be effective in maintaining the adequacy of our internal controls, and any failure to maintain that adequacy, or consequent inability to produce accurate financial statements on a timely basis, or any disagreement with our auditors on whether we have maintained such adequacy, could increase our operating costs and harm our business. In addition, investors’ perceptions that our internal controls are inadequate or that we are unable to produce accurate financial statements on a timely basis may harm our common stock price and make it more difficult for us to effectively market and sell our service to new and existing customers.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2" w:name="page113"/>
    <w:bookmarkEnd w:id="112"/>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have increased our legal and financial compliance costs and make some activities more time-consuming and costly. For example, as a public company it is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72" w:lineRule="exact"/>
        <w:rPr>
          <w:sz w:val="20"/>
          <w:szCs w:val="20"/>
          <w:color w:val="auto"/>
        </w:rPr>
      </w:pPr>
    </w:p>
    <w:p>
      <w:pPr>
        <w:ind w:left="1020" w:right="40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authorized our board of directors to make, alter, amend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amended and restated certificate of incorporation and amended and restated by-laws.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13" w:name="page114"/>
    <w:bookmarkEnd w:id="113"/>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4"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epidemics or outbreaks, including COVID-19, could adversely impact our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Public health epidemics, such as COVID-19 or a similar pandemic, epidemic, or outbreak of an infectious disease, could materially and adversely affect our business and our financial results and could cause a disruption to the development of our product candidates.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existence and extent of travel restrictions and social distancing in the U.S. and other countries, business closures or business disruptions, the effectiveness of actions taken in the U.S. and other countries to contain and treat COVID-19, periodic spikes in infection rates, new strains of the virus that causes outbreaks of COVID-19, and the broad availability of effective vaccines and therapeutics.</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Some factors from the COVID-19 pandemic that could delay or otherwise adversely affect the completion of our preclinical and clinical activities and, depending on the duration of the outbreak, the initiation of any future clinical trials, as well as our business generally, include: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4" w:name="page115"/>
    <w:bookmarkEnd w:id="114"/>
    <w:p>
      <w:pPr>
        <w:ind w:left="1020" w:right="300" w:hanging="503"/>
        <w:spacing w:after="0" w:line="258"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preclinical and clinical trial sites, researchers and investigators, regulatory agency personnel, and materials;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operations by local, state, or the federal government that could impact our ability to conduct our preclinical and clinical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hinder our timelines;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key materials;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312" w:lineRule="auto"/>
        <w:tabs>
          <w:tab w:leader="none" w:pos="10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or delays in receiving, key materials from our CMOs due to staffing shortages, production slowdowns or stoppages, increased demand from third parties for key materials related to COVID-19 research and vaccine development and disruptions in delivery systems; and</w:t>
      </w:r>
    </w:p>
    <w:p>
      <w:pPr>
        <w:spacing w:after="0" w:line="31" w:lineRule="exact"/>
        <w:rPr>
          <w:rFonts w:ascii="Times New Roman" w:cs="Times New Roman" w:eastAsia="Times New Roman" w:hAnsi="Times New Roman"/>
          <w:sz w:val="17"/>
          <w:szCs w:val="17"/>
          <w:color w:val="auto"/>
        </w:rPr>
      </w:pPr>
    </w:p>
    <w:p>
      <w:pPr>
        <w:ind w:left="1020" w:right="1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third-party suppliers, including through the effects of facility closures, reductions in operating hours, staggered shifts and other social distancing efforts, labor shortages, decreased productivity and unavailability of materials or components.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22, 2017, the Tax Act was signed into law. The Tax Act, as amended by the CARES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for NOLs generated on or after January 1, 2021, (iv) immediate deductions for certain new investments instead of deductions for depreciation expense over time, and (v) modification or repeal of many business deductions and credits. Any federal NOL incurred in 2018 and in future years may now be carried forward indefinitely pursuant to the Tax Act. Similar rules and limitations may apply for state income tax proposes.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Tax Act, as part of Congress’ response to the COVID-19 pandemic, economic relief legislation was enacted in 2020 and 2021 containing tax provisions, including the CARES Act. Regulatory guidance under the Tax Act and such additional legislation is and continues to be forthcoming, and such guidance could ultimately increase or lessen their impact on our business and financial condition. Also, as a result of the changes in the U.S. presidential administration and control of the U.S. Senate in 2021, additional tax legislation may be enacted; any such additional legislation could have an impact on us. In addition, it is uncertain if and to what extent various states will conform to the Tax Act and additional tax legislation.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impacts of COVID-19, disruptions impacting global supply, the conflict between Russia and Ukraine and related sanctions against Russia, increasing inflation rates and interest rate changes.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5" w:name="page116"/>
    <w:bookmarkEnd w:id="11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through our information security program and relevant contractual agreements with our business partners, if such an event were to occur and cause interruptions in our operations, it could result in a disruption of our development programs and our business operations, whether due to a loss of our trade secrets or other proprietary information or other disruptions, including the possible loss of personal data. For example, the loss of clinical trial data from future clinical trials could result in delays in our regulatory approval efforts and significantly increase our costs to recover or reproduce the data, as well as subject us to obligations and risks related to the potential loss of personal data. If we were to experience a significant cybersecurity breach of our information systems or data, the costs associated with the investigation, remediation and potential notification of the breach to counterparties and data subjects could be material, in addition to potential costs related to regulatory investigations in the United States or other countries.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leased approximately 38,203 square feet of office and laboratory space in Cambridge, Massachusetts under a lease that expires in 2028 and approximately 130,258 square feet of office and laboratory space in Cambridge, Massachusetts under a lease that expires in 2034. Additionally, we entered into a lease agreement with Alexandria Real Estate Equities, Inc. to build a 100,000 square foot manufacturing facility in Research Triangle Park, North Carolina intended to support a broad range of clinical programs. The lease will expire on the fifteenth anniversary of our occupancy of the facility, which occurred in December 2022, and we have an option to extend the lease term for two five-year terms. We believe that our facilities are sufficient to meet our current needs and that suitable additional space will be available as and when needed.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16" w:name="page117"/>
    <w:bookmarkEnd w:id="11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60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“BEAM” since February 6, 2020.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February 22, 2023, there were approximately 32 holders of record of our common stock. This number does not include beneficial owners whose shares are held by nominees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0" w:right="6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shares of common stock between February 6, 2020 (the date of our initial public offering) and December 31, 2022, with the cumulative total return of (a) the Nasdaq Biotechnology Index and (b) the Nasdaq Composite Index, over the same period. This graph assumes the investment of $100 on February 6, 2020 in our common stock, the Nasdaq Biotechnology Index and the Nasdaq Composite Index and assumes the reinvestment of dividends, if any. The graph uses the closing sales price of our common stock of $18.75 per share on February 6, 2020 as the initial value of our common stock and not the initial offering price to the public of $17.00 per share.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5126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our behalf or on behalf of an affiliated purchaser made any purchases of shares of our common stock during the fourth quarter of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establishing internal manufacturing capabilities. 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 (i) a clustered regularly interspaced short palindromic repeats, or CRISPR, protein, bound to a guide RNA, that leverages the established DNA-targeting ability of CRISPR, but is modified to not cause a double-stranded break, and</w:t>
      </w:r>
    </w:p>
    <w:p>
      <w:pPr>
        <w:spacing w:after="0" w:line="2" w:lineRule="exact"/>
        <w:rPr>
          <w:sz w:val="20"/>
          <w:szCs w:val="20"/>
          <w:color w:val="auto"/>
        </w:rPr>
      </w:pPr>
    </w:p>
    <w:p>
      <w:pPr>
        <w:ind w:right="100" w:firstLine="8"/>
        <w:spacing w:after="0" w:line="253"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that can result in unwanted DNA modifications. We believe that the precision of our editors will dramatically increase the impact of gene editing for a broad range of therapeutic applications.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To unlock the full potential of our base editing technology across a wide range of therapeutic applications, we are pursuing a broad suite of both clinically validated and novel delivery modalities, depending on tissue type,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approaches in our hematology and immunology-oncology portfolios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across our programs.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elegance of the base editing approach combined with a tissue specific delivery modality provides the basis for a targeted efficient, precise, and highly versatile gene editing system, capable of gene correction, gene modification, gene silencing or gene activation, and/or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and delivery technologies may have broad therapeutic applicability and have the potential to transform the field of precision genetic medicines.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building an integrated platform combining our gene editing capabilities with advanced delivery and manufacturing capabilities will give us the flexibility to develop our own sustainable portfolio and to create a hub for partnering with other companies to unlock the full potential of precision genetic medicine across a broad array of possible applications.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realize the full potential of base editors as a differentiated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are establishing our own manufacturing facility, which will provide us the flexibility to manufacture a variety of different product modalities. We believe this investment will maximize the value of our portfolio and capabilities, the probability of technical success of our programs, and the speed at which we can provide potentially life-long cures to patients.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 100,000 square foot manufacturing facility in Research Triangle Park, North Carolina intended to support a broad range of clinical programs. The facility became operational in the first quarter of 2023, and we expect it to initiate cGMP operations in late 2023. The project is facilitated, in part, by a Job Development Investment Grant approved by the North Carolina Economic Investment Committee, which authorizes potential reimbursements based on new tax revenues generated through the project. The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oncology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diseases, with the capability to scale-up to support potential commercial supply.</w:t>
      </w:r>
    </w:p>
    <w:p>
      <w:pPr>
        <w:spacing w:after="0" w:line="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our initial waves of clinical trials, we expect to use CMOs with relevant manufacturing experience in genetic medicines alongside our internal manufacturing capabilities.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February 2021, we acquired Guide Therapeutics, Inc., or Guide, for upfront consideration in an aggregate amount of $120.0 million, excluding customary purchase price adjustments, in shares of our common stock, based upon the volume-weighted average price of the common stock over the ten trading-day period ending on February 19, 2021. In addition, Guide’s former stockholders and optionholders are eligible to receive up to an additional $100.0 million in technology milestone payments and $220.0 million in product milestone payments, payable in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 COVID-19 pandemic did not significantly impact our business or results of operations during the year ended December 31, 2022, the extent to which the COVID-19 pandemic or any other public health emergency impacts our business, our corporate development objectives, results of operations and financial condition in future periods will depend on developments that are uncertain. Disruptions to the global economy and supply chain, disruption of global healthcare systems, and other significant impacts of the COVID-19 pandemic or other health emergencies could have a material adverse effect on our business, financial condition, results of operations and growth prospects.</w:t>
      </w:r>
    </w:p>
    <w:p>
      <w:pPr>
        <w:spacing w:after="0" w:line="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For a more detailed discussion of risks related to COVID-19 and other health emergencies, please see Part II, Item 1A, </w:t>
      </w:r>
      <w:r>
        <w:rPr>
          <w:rFonts w:ascii="Times New Roman" w:cs="Times New Roman" w:eastAsia="Times New Roman" w:hAnsi="Times New Roman"/>
          <w:sz w:val="18"/>
          <w:szCs w:val="18"/>
          <w:i w:val="1"/>
          <w:iCs w:val="1"/>
          <w:color w:val="auto"/>
        </w:rPr>
        <w:t>Risk factors—General risk factors</w:t>
      </w:r>
      <w:r>
        <w:rPr>
          <w:rFonts w:ascii="Times New Roman" w:cs="Times New Roman" w:eastAsia="Times New Roman" w:hAnsi="Times New Roman"/>
          <w:sz w:val="18"/>
          <w:szCs w:val="18"/>
          <w:color w:val="auto"/>
        </w:rPr>
        <w:t>, in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proceeds from offerings of our common stock and payments received under collaboration and license agreements.</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an early-stage company, and the majority of our programs are at a preclinical or early clinical stage of development. To date, we have not generated any revenue from product sales and do not expect to generate revenue from the sale of products for the foreseeable future. Our revenue to date has been primarily derived from license and collaboration agreements with partners. Since inception we have incurred significant operating losses. Our net losses for the years ended December 31, 2022, 2021 and 2020 were $289.1 million, $370.6 million and $194.6 million, respectively. As of December 31, 2022, we had an accumulated deficit of $1.1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including the LNP technology we acquired through our acquisition of Guide;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April 2019, we entered into a collaboration and license agreement, or the Verve Agreement, with Verve Therapeutics, Inc., or Verve, a company focused on gene editing for cardiovascular disease treatments. In June 2021, we entered into a research collaboration agreement, or the Apellis Agreement, with Apellis Pharmaceuticals, Inc., or Apellis, focused on the use of certain of our base editing technology to discover new treatments for complement system-driven diseases. 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therapy programs. In December 2021, we entered into a four-year research collaboration agreement, or the Pfizer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of the liver, muscle and central nervous system. In September 2022, we entered into a License and Research Collaboration Agreement, or the Orbital Agreement, with Orbital Therapeutics, Inc., or Orbital, a newly formed entity focused on advancing non-viral delivery and RNA technologies.</w:t>
      </w:r>
    </w:p>
    <w:p>
      <w:pPr>
        <w:spacing w:after="0" w:line="1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During the years ended December 31, 2022, 2021, and 2020, we recognized $60.9 million, $51.8 million and $24,000 respectively, of revenue from our license and collaboration agreements.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and Note 11 of the notes to our audited consolidated financial statements included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which include:</w:t>
      </w:r>
    </w:p>
    <w:p>
      <w:pPr>
        <w:spacing w:after="0" w:line="117" w:lineRule="exact"/>
        <w:rPr>
          <w:sz w:val="20"/>
          <w:szCs w:val="20"/>
          <w:color w:val="auto"/>
        </w:rPr>
      </w:pPr>
    </w:p>
    <w:p>
      <w:pPr>
        <w:ind w:left="1020" w:right="28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investments in delivery technology for our base editors, including the LNP technology we acquired through our acquisition of Guide;</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clinical trials, including CRO costs and costs related to study preparation;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building of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for use in our preclinical studies, IND-enabling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through their planned preclinical and clinical development.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consist of the following items:</w:t>
      </w:r>
    </w:p>
    <w:p>
      <w:pPr>
        <w:spacing w:after="0" w:line="115" w:lineRule="exact"/>
        <w:rPr>
          <w:sz w:val="20"/>
          <w:szCs w:val="20"/>
          <w:color w:val="auto"/>
        </w:rPr>
      </w:pPr>
    </w:p>
    <w:p>
      <w:pPr>
        <w:ind w:left="1020" w:right="80" w:hanging="503"/>
        <w:spacing w:after="0" w:line="267"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consists primarily of remeasurement gains or losses associated with changes in success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associated with our license agreement with Harvard, dated as of June 27, 2017, as amended, or the Harvard License Agreement, and the license agreement with The Broad Institute, as amended, dated as of May 9, 2018, or the Broad License Agreement.</w:t>
      </w:r>
    </w:p>
    <w:p>
      <w:pPr>
        <w:spacing w:after="0" w:line="65"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non-controlling equity investments </w:t>
      </w:r>
      <w:r>
        <w:rPr>
          <w:rFonts w:ascii="Times New Roman" w:cs="Times New Roman" w:eastAsia="Times New Roman" w:hAnsi="Times New Roman"/>
          <w:sz w:val="18"/>
          <w:szCs w:val="18"/>
          <w:color w:val="auto"/>
        </w:rPr>
        <w:t>consists of mark-to-market adjustments related to our investments in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contingent consideration liabilities </w:t>
      </w:r>
      <w:r>
        <w:rPr>
          <w:rFonts w:ascii="Times New Roman" w:cs="Times New Roman" w:eastAsia="Times New Roman" w:hAnsi="Times New Roman"/>
          <w:sz w:val="18"/>
          <w:szCs w:val="18"/>
          <w:color w:val="auto"/>
        </w:rPr>
        <w:t>consists of remeasurement of the fair market value of the technology and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liabilities related to the acquisition of Guide.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other income (expense), net </w:t>
      </w:r>
      <w:r>
        <w:rPr>
          <w:rFonts w:ascii="Times New Roman" w:cs="Times New Roman" w:eastAsia="Times New Roman" w:hAnsi="Times New Roman"/>
          <w:sz w:val="18"/>
          <w:szCs w:val="18"/>
          <w:color w:val="auto"/>
        </w:rPr>
        <w:t>consists primarily of interest income as well as interest expense related to our equipment financings.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60,920</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51,844</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311,594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387,087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(75,493 )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87,805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57,222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30,583</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399,399</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444,309</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(44,910 )</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(338,479 )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53,986</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23,900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24,900</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20,200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17,690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18,904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13,758</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15,297</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15,306</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78,301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21,827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56,474</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(260,178 )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110,460</w:t>
            </w:r>
          </w:p>
        </w:tc>
        <w:tc>
          <w:tcPr>
            <w:tcW w:w="0" w:type="dxa"/>
            <w:vAlign w:val="bottom"/>
          </w:tcPr>
          <w:p>
            <w:pPr>
              <w:spacing w:after="0"/>
              <w:rPr>
                <w:sz w:val="1"/>
                <w:szCs w:val="1"/>
                <w:color w:val="auto"/>
              </w:rPr>
            </w:pPr>
          </w:p>
        </w:tc>
      </w:tr>
      <w:tr>
        <w:trPr>
          <w:trHeight w:val="237"/>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81,550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-1765300</wp:posOffset>
            </wp:positionV>
            <wp:extent cx="9461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-1765300</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-831215</wp:posOffset>
            </wp:positionV>
            <wp:extent cx="9461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-831215</wp:posOffset>
            </wp:positionV>
            <wp:extent cx="857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-505460</wp:posOffset>
            </wp:positionV>
            <wp:extent cx="9461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-505460</wp:posOffset>
            </wp:positionV>
            <wp:extent cx="8572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9461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License and collaboration revenue was approximately $60.9 million for the year ended December 31, 2022 compared to approximately $51.8 million for the year ended December 31, 2021. License and collaboration revenue recorded in 2022 represents revenue recorded under the Pfizer, Apellis, Orbital and Verve Agreements. In 2021, we recorded $50.0 million of license revenue related to the Sana Agreement as well as revenue related to the Apellis and Verve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$311.6 million and $387.1 million for the years ended December 31, 2022 and 2021, respectively. The following table summarizes our research and development expenses for the years ended December 31, 2022 and December 31, 2021, together with the changes in those items in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111,831</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78,232</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(154,953 )</w:t>
            </w: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IT related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(38,527 )</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311,594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387,087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$75.5 million was primarily due to the following:</w:t>
      </w:r>
    </w:p>
    <w:p>
      <w:pPr>
        <w:spacing w:after="0" w:line="117" w:lineRule="exact"/>
        <w:rPr>
          <w:sz w:val="20"/>
          <w:szCs w:val="20"/>
          <w:color w:val="auto"/>
        </w:rPr>
      </w:pPr>
    </w:p>
    <w:p>
      <w:pPr>
        <w:ind w:left="1020" w:right="34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$155.0 million of in-process research and development expense due to an asset acquired from Guide during the year ended December 31, 2021, that was determined to have no alternative future use;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$38.5 million in other expenses, primarily related to decreases in sublicense expenses related to the Apellis, Sana and Pfizer Agreements and related milestones, as well as a decrease in amortization expense related to intangible assets acquired from Guide.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 the following:</w:t>
      </w:r>
    </w:p>
    <w:p>
      <w:pPr>
        <w:spacing w:after="0" w:line="117" w:lineRule="exact"/>
        <w:rPr>
          <w:sz w:val="20"/>
          <w:szCs w:val="20"/>
          <w:color w:val="auto"/>
        </w:rPr>
      </w:pPr>
    </w:p>
    <w:p>
      <w:pPr>
        <w:ind w:left="1020" w:right="8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$41.7 million of employee related expenses and $17.3 million of facility and IT related costs, including depreciation. These increases were due to the growth in the number of research and development employees from 279 at December 31, 2021 to 416 at December 31, 2022, and their related activities, as well as the expense allocated to research and development related to our leased facilities;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1" w:lineRule="auto"/>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$33.6 million increase in external research and development expenses driven by a $19.7 million increase in outsourced services, due primarily to animal studies conducted to further our LNP platform, IND enabling activities for lead programs and clinical and manufacturing expenses for BEAM-101. Also contributing to the rise in external research and development expenses is an increase of $13.9 million in lab supplies due to the movement of our lead programs into IND-enabling activities and continued investment in platform and discovery efforts.</w:t>
      </w:r>
    </w:p>
    <w:p>
      <w:pPr>
        <w:spacing w:after="0" w:line="272" w:lineRule="exact"/>
        <w:rPr>
          <w:rFonts w:ascii="Times New Roman" w:cs="Times New Roman" w:eastAsia="Times New Roman" w:hAnsi="Times New Roman"/>
          <w:sz w:val="17"/>
          <w:szCs w:val="17"/>
          <w:color w:val="auto"/>
        </w:rPr>
      </w:pPr>
    </w:p>
    <w:p>
      <w:pPr>
        <w:ind w:left="1020" w:right="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$25.4 million in stock-based compensation from additional stock options and restricted stock units granted due to the increase in the number of research and development employees and additional grants given to existing employees.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expected to continue to increase as we advance clinical trials for BEAM-101 and BEAM-201, advance preclinical studies for BEAM-301 and BEAM-302, continue our current research programs, initiate new research programs, continue the preclinical and clinical development of our product candidates and conduct any future preclinical studies and begin to enroll patients in and conduct clinical trials for any of our product candidates.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$87.8 million and $57.2 million for the years ended December 31, 2022 and 2021, respectively. The increase of $30.6 million was primarily due to the following: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$15.4 million in stock-based compensation from additional stock options and restricted stock units granted due to an increase in the number of general and administrative employees from 62 employees as of December 31, 2021 to 91 employees as of December 31, 2022, and additional grants given to existing employees, offset by a decrease in the value of our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$10.9 million in personnel related costs due to the increase in the number of general and administrative employees;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$4.4 million in legal costs primarily due to a $3.4 million accrual in connection with a dispute with a research institution and legal fees incurred in connection with business development activities; see Note 6 to our consolidated financial statements for more information regarding the dispute.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recorded $23.9 million of other income related to the change in fair value of the success payment liabilities as compared to $1.0 million of expense for the year ended December 31, 2021, driven by the decline in the price of our common stock. A portion of the success payments was paid in June 2021; the remaining success payment obligations are still outstanding as of December 31, 2022 and will continue to be revalued at each reporting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we recorded other income of $20.2 million and $17.7 million, respectively, driven by changes in the value of our investments in Prime and Verve.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 liabilities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we recorded $18.9 million and $5.1 million, respectively, of other income related to the change in fair value of the Guide technology and product contingent consideration liabilities as a result of an update in project timelines and the expected probability of achievement of the milestones.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$15.3 million of other income for the year ended December 31, 2022 as compared to $9,000 of expense for the year ended December 31, 2021. The increase was primarily due to increases in interest income driven by increased market rates and growth of our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$3.4 million for the year ended December 31, 2022. The provision is primarily attributable to the recognition of revenue for tax purposes under the collaboration agreements with Apellis and Pfizer, which were deferred in 2021 for tax purposes as well as the requirement under the Tax Cuts and Jobs Act of 2017 for taxpayers to capitalize and amortize research and development expenditures over five or fifteen years. There was no income tax provision recorded during the year ended December 31,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 our share of gains or losses from Orbital on a quarterly basis. For the year ended December 31, 2022, we recorded a loss from equity method investment of $25.5 million in association with a basis difference attributable to Orbital's in-process research and development with no alternative future use, which was immediately expensed as of the date of this investment. As of December 31, 2022, the investment had been written down to zero. See Notes 2 and 8 to our consolidated financial statements for more information regarding the equity method of accounting.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1160" w:type="dxa"/>
            <w:vAlign w:val="bottom"/>
            <w:gridSpan w:val="2"/>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51,844</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387,087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444,309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132,784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(392,465 )</w:t>
            </w:r>
          </w:p>
        </w:tc>
        <w:tc>
          <w:tcPr>
            <w:tcW w:w="3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(132,760 )</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(259,705 )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(63,400 )</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(61,832 )</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(370,638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(194,592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-1285240</wp:posOffset>
            </wp:positionV>
            <wp:extent cx="7683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-1285240</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-350520</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License and collaboration revenue was approximately $51.8 million for the year ended December 31, 2021 compared to approximately $24,000 for the year ended December 31, 2020. License and collaboration revenue recorded in 2021 represents revenue recorded under the Sana, Apellis, and Verve Agreements. License and collaboration revenue recorded in 2020 represents revenue recorded under the Verve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$387.1 million and $103.2 million for the years ended December 31, 2021 and 2020, respectively. The following table summarizes our research and development expenses for the years ended December 31, 2021 and December 31, 2020, together with the changes in those items in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41,340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IT related expenses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387,087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$283.9 million was primarily due to the following:</w:t>
      </w:r>
    </w:p>
    <w:p>
      <w:pPr>
        <w:spacing w:after="0" w:line="117" w:lineRule="exact"/>
        <w:rPr>
          <w:sz w:val="20"/>
          <w:szCs w:val="20"/>
          <w:color w:val="auto"/>
        </w:rPr>
      </w:pPr>
    </w:p>
    <w:p>
      <w:pPr>
        <w:ind w:left="1020" w:right="5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$155.0 million increase of in-process research and development expense due to an asset acquired from Guide during the year ended December 31, 2021, that was determined to have no alternative future use;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$36.9 million increase in external research and development expenses due primarily to outsourced services focused on IND-enabling manufacturing activities, toxicology studies and clinical readiness spend for our lead programs as well as an increase in lab supplies driven by IND-enabling activities and continued investment in platform and discovery efforts;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$33.2 million in other expenses primarily related to increases in non-royalty sublicense income payment obligations to our licensors;</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$22.4 million and $21.0 million in employee related expenses and facility related expenses, respectively. These increases were due to the growth in the number of research and development employees from 149 at December 31, 2020 to 279 at December 31, 2021, and their related activities, as well as the expense allocated to research and development related to our leased facilities; and</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$15.4 million in stock-based compensation from additional stock options and restricted stock units granted due to the increase in the number of research and development employees, and additional grants given to existing employees, as well as an increase in the value of our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$57.2 million and $29.6 million for the years ended December 31, 2021 and 2020, respectively. The increase of $27.6 million was primarily due to the following: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$12.8 million in stock-based compensation from additional stock options and restricted stock units granted due to an increase in the number of general and administrative employees from 32 employees as of December 31, 2020 to 62 employees as of December 31, 2021, and additional grants given to existing employees, as well as an increase in the value of our common stock;</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$9.3 million in personnel related costs and $1.3 million in facility related costs, including depreciation costs, due to the increase in the number of general and administrative employees, as well as the expense allocated to general and administrative expenses related to our leased facilities;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in legal costs primarily due to legal fees incurred in connection with our acquisition of Guide, as well as legal fees incurred in connection with the Apellis, Sana and Pfizer Agreements;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in insurance costs due to increased directors and officers insurance costs as a result of our IPO in February 2020 and insurance costs related to our acquisition of Guide in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we recorded $1.0 million of expense related to the change in fair value expense related to the success payment liabilities as compared to $63.4 million of expense for the year ended December 31, 2020. We did not experience a significant change in our closing stock price at the end of 2021 as compared to the closing stock price at the end of 2020. A portion of the success payments was paid in June 2021; the remaining success payment obligations are still outstanding as of December 31, 2021 and will continue to be revalued at each reporting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and 2020, we recorded other income of $17.7 million and $0.5 million, respectively, as a result of increases in the value of our investment in Verve's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 liabilities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recorded $5.1 million of other income related to the change in fair value of the Guide technology and product contingent consideration liabilities as a result of an update in project timelines and the expected probability of achievement of the milestones.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was $9,000 of other expense for the year ended December 31, 2021 as compared to $1.1 million of income for the year ended December 31, 2020. The decrease was primarily due to interest expense on our equipment financing, which was greater than interest income, driven by a decrease in interest rates earned on our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the clinical development of our product candidates.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through equity offerings. 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offering expenses payable by us. In October 2020, we issued and sold 5,750,000 shares of our common stock, including 750,000 shares pursuant to the full exercise of the underwriters’ option to purchase additional shares, at a public offering price of $23.50 per share, for aggregate gross proceeds of $135.1 million. We received approximately $126.6 million in net proceeds after deducting applicable underwriting discounts and offering expenses. In January 2021, we issued and sold 2,795,700 shares of our common stock in a private placement at an offering price of $93.00 per share for aggregate gross proceeds of $260.0 million. We received $252.0 million in net proceeds after deducting offering expenses payable by us.</w:t>
      </w:r>
    </w:p>
    <w:p>
      <w:pPr>
        <w:spacing w:after="0" w:line="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April 2021, we filed a universal automatic shelf registration statement on Form S-3 with the SEC, or the 2021 Shelf, to register for sale an indeterminate amount of our common stock, preferred stock, debt securities, warrants and/or units in one or more offerings, which became effective upon filing with the SEC (File No. 333-254946).</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April 2021, we entered into an at the market, or ATM, sales agreement, or the Sales Agreement, with Jefferies LLC, or Jefferies, pursuant to which we were entitled to offer and sell, from time to time at prevailing market prices, shares of our common stock having aggregate gross proceeds of up to $300.0 million. We agreed to pay Jefferies a commission of up to 3.0% of the aggregate gross sale proceeds of any shares sold by Jefferies under the Sales Agreement. As of December 31, 2022, we have sold 2,908,009 shares of our common stock under the Sales Agreement at an average price of $103.16 per share for aggregate gross proceeds of $300.0 million, before deducting commissions and offering expenses payable by us.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July 2021, we and Jefferies entered into an amendment to the Sales Agreement to provide for an increase in the aggregate offering amount under the Sales Agreement, such that as of July 7, 2021, we may offer and sell shares of common stock having an aggregate offering price of an additional $500.0 million. As of December 31, 2022, we have sold 3,908,289 additional shares of our common stock under the amended Sales Agreement at an average price of $82.38 per share for aggregate gross proceeds of $322.0 million, before deducting commissions and offering expenses payable by us, resulting in an aggregate of $622.0 million in gross proceeds received under the Sales Agreement as of December 31, 2022.</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June 2021, we entered into the Apellis Agreement, which is focused on the use of certain of our base editing technology to discover new treatments for complement system-driven diseases. Pursuant to the Apellis Agreement, we received an upfront payment of $50.0 million in July 2021 and were eligible to receive an additional $25.0 million payment on the one-year anniversary of the effective date of the Apellis Agreement, or the First Anniversary Payment. In June 2022, we received the $25.0 million First Anniversary Payment.</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October 2021, we entered into the Sana Agreement, pursuant to which we granted Sana non-exclusive research and development commercial rights to our CRISPR Cas12b technology to perform nuclease editing for certain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therapy programs. Pursuant to the Sana Agreement, we received an upfront payment of $50.0 million in October 2021.</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2021, we entered into the Pfizer Agreement, which is focused on in vivo base editing programs for three targets for rare genetic diseases of the liver, muscle and central nervous system. Under the terms of the Pfizer Agreement, we will conduct all research activities through development candidate selection for three undisclosed targets, which are not included in our existing programs. Pursuant to the Pfizer Agreement, we received an upfront payment of $300.0 million in January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As of December 31, 2022, we had $1.1 billion in cash, cash equivalents, and marketable securities.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required to make success payments to Harvard and Broad Institute based on increases in the per share fair market value of our Series A-1 Preferred Stock and Series A-2 Preferred Stock or, subsequent to our IPO, our common stock. The amounts due may be settled in cash or shares of our common stock, at our discretion. In May 2021, the first success payment measurements occurred and success payments to Harvard and Broad Institute were calculated to be $15.0 million and $15.0 million, respectively. We elected to make each payment in shares of our common stock and issued 174,825 shares to each of Harvard and Broad Institute to settle these liabilities in June 2021. We may additionally owe Harvard and Broad Institute success payments of up to an additional $90.0 million each.</w:t>
      </w:r>
    </w:p>
    <w:p>
      <w:pPr>
        <w:spacing w:after="0" w:line="7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have not yet commercialized any of our product candidates, and we do not expect to generate revenue from the sale of our product candidates for the foreseeable future. We anticipate that we may need to raise additional capital in order to continue to fund our research and development, including our planned preclinical studies and clinical trials, building, maintaining and operating a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(461,336 )</w:t>
            </w:r>
          </w:p>
        </w:tc>
        <w:tc>
          <w:tcPr>
            <w:tcW w:w="30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(294,144 )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(100,123 )</w:t>
            </w: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756,141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(327,219 )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395,729</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126,458</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7747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$22.5 million, consisting primarily of the collection of collaboration receivables of $300.0 million related to the Pfizer Agreement, an increase in operating lease liabilities of $12.4 million and an increase in accounts payable of $2.4 million, as well as noncash items consisting of stock-based compensation expense of $84.3 million, a loss from an equity method investment of $25.5 million, depreciation and amortization expense of $14.1 million and changes in operating lease ROU assets of $8.4 million.</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sources of cash were offset in part by our net loss of $289.1 million, a decrease in deferred revenue of $35.9 million, net of the $25.0 million First Anniversary Payment collected from Apellis during the twelve months ended December 31, 2022, decreases in accrued expenses and other liabilities of $16.9 million, an increase in prepaid expenses and other current assets of $7.8 million and a decrease in other long-term liabilities of $2.6 million, as well as noncash items including a decrease in the fair value of derivative liabilities of $23.9 million, an increase in the fair value of non-controlling equity investments of $20.2 million, a change in the fair value of contingent consideration liabilities of $18.9 million and amortization of investment premiums of $9.4 million.</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$66.3 million, consisting primarily of our net loss of $370.6 million and an increase in collaboration receivable of $300.0 million, primarily related to the Pfizer Agreement, as well as noncash items including an increase in the fair value of a non-controlling equity investment of $17.7 million and a change in the fair value of contingent consideration liabilities of $5.1 million. These uses of cash were offset in part by cash provided by increases in deferred revenue of $348.2 million, primarily related to the Pfizer and Apellis Agreements, other accrued expenses and other liabilities of $43.9 million, operating lease liabilities of $16.0 million and accounts payable and other long-term liabilities of $2.6 million as well as noncash items consisting primarily of in-process research and development of $155.0 million, stock-based compensation expense of $43.6 million, change in operating lease ROU assets of $9.0 million, depreciation and amortization expense of $7.5 million and change in fair value of derivative liabilities of $1.0 million.</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$95.7 million, consisting primarily of our net loss of $194.6 million and an increase in prepaid expenses and other current assets of $5.7 million, offset by cash provided by increases in accrued expenses of $7.0 million, operating lease liabilities of $3.2 million and long-term liabilities of $1.0 million. Net cash used in operating activities was also offset by non-cash charges consisting primarily of a change in the fair value of derivative liabilities of $63.4 million, stock-based compensation expense of $15.4 million, non-cash license expenses of $5.7 million, depreciation of $4.7 million, and non-cash lease expense of $4.7 million, offset by a $0.5 million non-cash change in the fair value of equity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used in investing activities was primarily the net result of purchases of marketable securities partially offset by maturities of marketable securities of $412.4 million, in addition to purchases of property and equipment of $49.0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cash used in investing activities was primarily the net result of purchases of marketable securities partially offset by maturities of marketable securities of $248.0 million, in addition to purchases of property and equipment of $46.8 million. We also received $0.6 million in net cash from our acquisition of Guide, after the payment of acquisition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cash used in investing activities was primarily the net result of purchases of marketable securities partially offset by maturities of marketable securities of $83.0 million, in addition to purchases of property and equipment of $16.4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consisted primarily of proceeds from equity offerings of $108.3 million, net of sales commissions, $3.1 million of proceeds from the issuance of common stock under our Employee Stock Purchase Plan, and $2.7 million of proceeds from the exercise of stock options, offset in part by repayments of equipment financing liabilities of $2.3 million and payment of equity offering costs of $0.2 million.</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consisted primarily of proceeds from equity offerings of $757.4 million, net of sales commissions and underwriting discounts, and proceeds from the exercise of stock options of $9.6 million, offset in part by the payment of equity offering costs of $8.8 million and repayments of equipment financing liabilities of $2.1 million.</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consisted primarily of proceeds from our IPO and follow-on public offering of $319.5 million, net of underwriting discounts, net proceeds of $3.3 million from equipment financing, and proceeds from the exercise of stock options of $3.2 million, offset in part by the payment of equity offering costs of $2.1 million and repayments of equipment financing liabilities of $1.6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have increased and are expected to continue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expenses will increase if and as we:</w:t>
      </w:r>
    </w:p>
    <w:p>
      <w:pPr>
        <w:spacing w:after="0" w:line="117"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 including our BEACON trial and our trial of BEAM-201;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additional product candidates we identify and develop;</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delivery technology for our base editors, including the LNP technology we acquired through our acquisition of Guide;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129" w:name="page130"/>
    <w:bookmarkEnd w:id="129"/>
    <w:p>
      <w:pPr>
        <w:ind w:right="40"/>
        <w:spacing w:after="0" w:line="258" w:lineRule="auto"/>
        <w:rPr>
          <w:sz w:val="20"/>
          <w:szCs w:val="20"/>
          <w:color w:val="auto"/>
        </w:rPr>
      </w:pPr>
      <w:r>
        <w:rPr>
          <w:rFonts w:ascii="Times New Roman" w:cs="Times New Roman" w:eastAsia="Times New Roman" w:hAnsi="Times New Roman"/>
          <w:sz w:val="18"/>
          <w:szCs w:val="18"/>
          <w:color w:val="auto"/>
        </w:rPr>
        <w:t>We expect that our cash, cash equivalents at December 31, 2022 will enable us to fund our current and planned operating expenses and capital expenditures for at least the twelve calendar months beginning January 1, 2023, and beyond such twelve-month period.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are a party to or may become a party to, including our agreement with Guide;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building, operating and expanding our manufacturing capacity;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or other global or regional events such as the COVID-19 pandemic.</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6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We have historically relied on equity issuances to fund our capital needs and will likely rely on equity issuances in the future. Debt financing, if available, may involve agreements that include covenants limiting or restricting our ability to take specific actions, such as incurring additional debt, making capital expenditures, or declaring dividends.</w:t>
      </w:r>
    </w:p>
    <w:p>
      <w:pPr>
        <w:spacing w:after="0" w:line="75" w:lineRule="exact"/>
        <w:rPr>
          <w:sz w:val="20"/>
          <w:szCs w:val="20"/>
          <w:color w:val="auto"/>
        </w:rPr>
      </w:pPr>
    </w:p>
    <w:p>
      <w:pPr>
        <w:ind w:firstLine="4"/>
        <w:spacing w:after="0" w:line="256" w:lineRule="auto"/>
        <w:rPr>
          <w:sz w:val="20"/>
          <w:szCs w:val="20"/>
          <w:color w:val="auto"/>
        </w:rPr>
      </w:pPr>
      <w:r>
        <w:rPr>
          <w:rFonts w:ascii="Times New Roman" w:cs="Times New Roman" w:eastAsia="Times New Roman" w:hAnsi="Times New Roman"/>
          <w:sz w:val="18"/>
          <w:szCs w:val="18"/>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lease certain assets under noncancelable operating and finance leases, which expire through 2037. The leases relate primarily to office space, laboratory and manufacturing space in addition to equipment. Aggregate future minimum commitments under these office and laboratory leases and equipment leases are $268.0 million and $2.5 million, respectively, as of December 31, 2022, excluding any related common area maintenance charges or real estate taxes.</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2021, the first success payment measurements under the Harvard License Agreement and Broad License Agreement occurred and success payments to Harvard and Broad Institute were calculated to be $15.0 million and $15.0 million, respectively. We elected to make each payment in shares of our common stock and issued 174,825 shares of our common stock to each of Harvard and Broad Institute to settle these liabilities in June 2021. The remaining success payment obligations are still outstanding as of December 31, 2022. We may additionally owe Harvard and Broad Institute success payments of up to an additional $90.0 million each.</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potentially obligated to pay certain milestone and success fees, non-royalty sublicense income fees, royalty fees, licensing maintenance fees, and reimbursement of patent maintenance costs that we may be required to pay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These amounts are contingent upon the occurrence of future events and the timing and likelihood of such potential obligations are not known with certainty.</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we agreed to pay Guide’s former stockholders and optionholders up to an additional $100.0 million in technology milestone payments and $220.0 million in product milestone payments, payable in our common stock valued using the volume-weighted average price of our common stock over the ten-day trading period ending two trading days prior to the date on which the applicable milestone is received. These payments are contingent upon the occurrence of future events and the timing and likelihood of such potential obligations are not known with certainty.</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we enter into contracts in the normal course of business with CROs, CMOs and other vendors to assist in the performance of our research and development activities and other services and products for operating purposes. These contracts generally provide for termination on notice, and therefore are cancelable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described in more detail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 this Annual Report on Form 10-K, we believe that the following accounting policies are those most critical to the judgments and estimates used in the preparation of our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revenue in accordance with ASC 606.</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we determine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We only apply the five-step model to contracts when we determine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31" w:name="page132"/>
    <w:bookmarkEnd w:id="131"/>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our license and collaboration agreements in Note 11 to our consolidated financial statements in this Annual Report on Form 10-K.</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our license and collaboration agreements in Note 11.</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timing of when services are performed and the occurrence of external costs associated with the programs under the collaboration agreements could impact how revenue is recognized in a certain period.</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Licenses of intellectual property, or IP: If the license to our IP is determined to be distinct from the other performance obligations identified in the arrangement, we recognize revenues from consideration allocated to the license when the license is transferred to the customer and the customer can use and benefit from the licenses.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Determining the revenue recognition of IP licenses requires significant judgment and is discussed in further detail for each of our license and collaboration agreements in Note 10 and 11</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we evaluate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we have not recognized any milestone revenue resulting from any of our agreements.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agreements.</w:t>
      </w:r>
    </w:p>
    <w:p>
      <w:pPr>
        <w:spacing w:after="0" w:line="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When no performance obligations are required of us,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2018, we adopted ASU 2017-01,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or ASU 2017-01, which clarified the definition of a business. We measure and recognize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77" w:lineRule="exact"/>
        <w:rPr>
          <w:sz w:val="20"/>
          <w:szCs w:val="20"/>
          <w:color w:val="auto"/>
        </w:rPr>
      </w:pPr>
    </w:p>
    <w:p>
      <w:pPr>
        <w:ind w:right="1800"/>
        <w:spacing w:after="0" w:line="375" w:lineRule="auto"/>
        <w:rPr>
          <w:sz w:val="20"/>
          <w:szCs w:val="20"/>
          <w:color w:val="auto"/>
        </w:rPr>
      </w:pPr>
      <w:r>
        <w:rPr>
          <w:rFonts w:ascii="Times New Roman" w:cs="Times New Roman" w:eastAsia="Times New Roman" w:hAnsi="Times New Roman"/>
          <w:sz w:val="18"/>
          <w:szCs w:val="18"/>
          <w:color w:val="auto"/>
        </w:rPr>
        <w:t xml:space="preserve">At the time of acquisition, we determine if a transaction should be accounted for as a business combination or acquisition of assets. </w:t>
      </w:r>
      <w:r>
        <w:rPr>
          <w:rFonts w:ascii="Times New Roman" w:cs="Times New Roman" w:eastAsia="Times New Roman" w:hAnsi="Times New Roman"/>
          <w:sz w:val="18"/>
          <w:szCs w:val="18"/>
          <w:b w:val="1"/>
          <w:bCs w:val="1"/>
          <w:i w:val="1"/>
          <w:iCs w:val="1"/>
          <w:color w:val="auto"/>
        </w:rPr>
        <w:t>Equity method of accounting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circumstances where we have the ability to exercise significant influence, but not control, over the operating and financial policies of an entity in which we have an investment in common stock or in-substance common stock, we utilize the equity method of accounting for recording related investment activity. In assessing whether we exercise significant influence, we consider the nature and magnitude of the investment, participating rights we hold, and relevant factors such as the presence of a collaborative or other business relationship.</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equity method of accounting, our investments are initially recorded at cost on the consolidated balance sheets. Upon recording an equity method investment, we evaluate whether there are basis differences between the carrying value and fair value of our proportionate share of the investee’s underlying net assets. Typically, we amortize basis differences identified on a straight-line basis over the underlying asset’s or liability's estimated useful lives when calculating the attributable earnings or losses, excluding the basis differences attributable to in-process research and development, or IPR&amp;D, that has no alternative future use. To the extent a basis difference relates to IPR&amp;D and the investee is not a business as defined in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we immediately expense such basis difference related to IPR&amp;D. If we are unable to attribute all of the basis difference to specific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our memo accounts. We subsequently record in the consolidated statements of operations and comprehensive loss our share of income or loss of the other entity within the loss from equity method investment line item. If the share of losses exceeds the carrying value of our investment, we will suspend recognizing additional losses and will continue to do so unless we commit to providing additional funding or commit to guarantee investee liabilities.</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evaluate our equity method investments for impairment whenever events or changes in circumstances indicate that the carrying amounts of such investments may be impaired and consider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December 31, 2022, we accounted for our investment in Orbital under the equity method of accounting and the investment has been written down to zero as of December 31, 2022. Refer to Note 8 of our consolidated financial statements for further details.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may be required to make milestone payments to the former stockholders and optionholders of Guide in the form of our common stock based on the achievement of certain product and technology milestones. The payments are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estimated fair value is determined based on probability adjusted discounted cash flow models that include significant estimates and assumptions pertaining to technology and product development. Significant changes in any of the probabilities of success would result in a significantly higher or lower fair value measurement. Significant changes in the probabilities as to the periods in which milestones will be achieved would result in a significantly lower or higher fair value measurement.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Success payments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make success payments to Harvard and Broad Institute based on increases in the per share fair market value of our Series A-1 Preferred Stock and Series A-2 Preferred Stock or, subsequent to our IPO, our common stock. Any amounts due may be settled in cash or shares of our common stock, at our discretion. The success payments are accounted for under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 A significant change in our stock price or volatility could have a significant impact on the value of the liability.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our employees, directors, consultants or founders based upon their fair value on the date of the grant and recognize stock-based compensation expense over the requisite service period, which is generally the vesting period of the respective award. We recognize forfeitures as they occur.</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majority of our stock-based compensation awards are subject to service-based vesting conditions. We apply the straight-line method of expense recognition to all awards with service-based vesting. We also have performance-based awards, where stock-based compensation expense is recognized over the service period using the accelerated attribution method to the extent achievement of the of performance condition is probable.</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estimate the fair value of each stock option grant on the date of grant using the Black-Scholes option-pricing model, which uses inputs such as the fair value of our common stock, assumptions we make for the volatility of our common stock, the expected term of our stock options, the risk-free interest rate for a period that approximates the expected term of our stock options and our expected dividend yield. The fair value of our common stock is used to determine the fair value of restricted stock awards.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Prior to our IPO in February 2020, there was no public market for our common stock. As a result, prior to our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Following our IPO, the fair value of our common stock is determined based on the quoted market price of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On January 1, 2019, we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or ASC 842, which requires the recognition of the right-of-use assets and related operating and finance lease liabilities on the balance sheet.</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our secured incremental borrowing rate. For finance leases, we use the rate implicit in the lease or our secured incremental borrowing rate if the implicit lease rate cannot be determined.</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Leasehold improvements are not unique and are retained by the lessor at the end of the lease. However, in the case of a space designed to be suitable for our specific real estate needs and if we are responsible for cost overruns, we are the accounting owner of the leasehold improvements.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2022, we had cash, cash equivalents and marketable securities of $1.1 billion, which consisted of cash, money market funds, commercial paper, corporate notes and corporate equity securities.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believe that inflation has not had a material effect on our financial statements included elsewhere in this Annual Report on Form 10-K. However, our operations may be adversely affected by inflation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December 31, 2022,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2022, our principal executive officer and principal financial officer concluded that our disclosure controls and procedures as of such date were effective at the reasonable assurance level.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75"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our senior management has concluded that the internal control over financial reporting was effective as of December 31, 2022.</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issued an attestation report on our internal control over financial reporting. See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2022 that have materially affected, or are reasonably likely to materially affect,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36" w:name="page137"/>
    <w:bookmarkEnd w:id="136"/>
    <w:p>
      <w:pPr>
        <w:ind w:right="2500" w:firstLine="2535"/>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Beam Therapeutics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On February 27, 2023, our board of directors amended and restated our Amended and Restated By-Laws, or, as amended and restated, the Second Amended and Restated By-Laws, effective immediately. The Second Amended and Restated By-Laws include the following amendments:</w:t>
      </w:r>
    </w:p>
    <w:p>
      <w:pPr>
        <w:spacing w:after="0" w:line="32"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(Stockholders) was amended to, among other things:</w:t>
      </w:r>
    </w:p>
    <w:p>
      <w:pPr>
        <w:spacing w:after="0" w:line="117" w:lineRule="exact"/>
        <w:rPr>
          <w:rFonts w:ascii="Times New Roman" w:cs="Times New Roman" w:eastAsia="Times New Roman" w:hAnsi="Times New Roman"/>
          <w:sz w:val="18"/>
          <w:szCs w:val="18"/>
          <w:color w:val="auto"/>
        </w:rPr>
      </w:pPr>
    </w:p>
    <w:p>
      <w:pPr>
        <w:ind w:left="1540" w:right="4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oclarify the procedures governing adjournment of stockholder meetings, consistent with recent amendments to Section 222 of the Delaware General Corporation Law, or the DGCL;</w:t>
      </w:r>
    </w:p>
    <w:p>
      <w:pPr>
        <w:spacing w:after="0" w:line="53" w:lineRule="exact"/>
        <w:rPr>
          <w:rFonts w:ascii="Times New Roman" w:cs="Times New Roman" w:eastAsia="Times New Roman" w:hAnsi="Times New Roman"/>
          <w:sz w:val="18"/>
          <w:szCs w:val="18"/>
          <w:color w:val="auto"/>
        </w:rPr>
      </w:pPr>
    </w:p>
    <w:p>
      <w:pPr>
        <w:ind w:left="1540" w:right="7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oeliminate the former requirement regarding availability of the voting list during stockholder meetings, consistent with recent amendments to Section 219 of the DGCL;</w:t>
      </w:r>
    </w:p>
    <w:p>
      <w:pPr>
        <w:spacing w:after="0" w:line="53" w:lineRule="exact"/>
        <w:rPr>
          <w:rFonts w:ascii="Times New Roman" w:cs="Times New Roman" w:eastAsia="Times New Roman" w:hAnsi="Times New Roman"/>
          <w:sz w:val="18"/>
          <w:szCs w:val="18"/>
          <w:color w:val="auto"/>
        </w:rPr>
      </w:pPr>
    </w:p>
    <w:p>
      <w:pPr>
        <w:ind w:left="1540" w:right="38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oamend certain procedures governing notice of nominations for director brought by stockholders, including: (i) setting forth the circumstances under which stockholders may nominate persons for director at special stockholder meetings, (ii) clarifying the requirements for the timing and content of notices and accompanying materials, and (iii) updating certain provisions to reflect the requirements of Rule 14a-19 of the Securities Exchange Act of 1934, as amended, relating to universal proxy cards; and</w:t>
      </w:r>
    </w:p>
    <w:p>
      <w:pPr>
        <w:spacing w:after="0" w:line="7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oamend certain procedures governing notice of business to be brought before an annual meeting by stockholders, including with respect to the requirements for the timing and content of notices.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(Board of Directors) was amended to address changes to the normal rules regarding notice and quorum requirements in the event of an emergency, consistent with recent amendments to Section 110 of the DGCL.</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Second Amended and Restated By-Laws also include certain technical, conforming and clarifying changes. The foregoing description of the Second and Amended Restated By-Laws is qualified in its entirety by reference to the full text of the Second Amended and Restated By-Laws, which is attached hereto as Exhibit 3.2 and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Securities and Exchange Commission, or SEC, with respect to our 2023 Annual Meeting of Stockholders and is incorporated herein by reference.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section captioned “Executive Compensation" and "Director Compensation” in our definitive proxy statement to be filed with the SEC with respect to our 2023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“Security Ownership of Certain Beneficial Owners and Management” and “Securities Authorized for Issuance under Equity Compensation Plans” in our definitive proxy statement to be filed with the SEC with respect to our 2023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“Certain Relationship and Related Person Transactions” and “Director Independence” in our definitive proxy statement to be filed with the SEC with respect to our 2023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sections captioned “Principal Accountant Fees and Services” and “Audit Committee Pre-Approval Policy and Procedures” in our definitive proxy statement to be filed with the SEC with respect to our 2023 Annual Meeting of Stockholders and is incorporated herein by reference.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a list of the financial statements included herein, see </w:t>
      </w:r>
      <w:r>
        <w:rPr>
          <w:rFonts w:ascii="Times New Roman" w:cs="Times New Roman" w:eastAsia="Times New Roman" w:hAnsi="Times New Roman"/>
          <w:sz w:val="18"/>
          <w:szCs w:val="18"/>
          <w:i w:val="1"/>
          <w:iCs w:val="1"/>
          <w:color w:val="auto"/>
        </w:rPr>
        <w:t>Index to the Consolidated Financial Statements</w:t>
      </w:r>
      <w:r>
        <w:rPr>
          <w:rFonts w:ascii="Times New Roman" w:cs="Times New Roman" w:eastAsia="Times New Roman" w:hAnsi="Times New Roman"/>
          <w:sz w:val="18"/>
          <w:szCs w:val="18"/>
          <w:color w:val="auto"/>
        </w:rPr>
        <w:t xml:space="preserve"> on page F-1 of this Annual Report on Form 10-K, incorporated into this Item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2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2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Agreement and Plan of Merger, dated February 22, 2021, among Beam</w:t>
              </w:r>
            </w:hyperlink>
          </w:p>
        </w:tc>
        <w:tc>
          <w:tcPr>
            <w:tcW w:w="26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Therapeutics Inc., Galileo Merger Sub I, Inc., Galileo Merger Sub II, LLC,</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Guide Therapeutics, Inc. (“Guide”), Shareholder Representative Services</w:t>
              </w:r>
            </w:hyperlink>
          </w:p>
        </w:tc>
        <w:tc>
          <w:tcPr>
            <w:tcW w:w="12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LLC, and the Guide Holders Signatory thereto</w:t>
              </w:r>
            </w:hyperlink>
          </w:p>
        </w:tc>
        <w:tc>
          <w:tcPr>
            <w:tcW w:w="20" w:type="dxa"/>
            <w:vAlign w:val="bottom"/>
            <w:tcBorders>
              <w:bottom w:val="single" w:sz="8" w:color="0000EE"/>
            </w:tcBorders>
          </w:tcPr>
          <w:p>
            <w:pPr>
              <w:spacing w:after="0"/>
              <w:rPr>
                <w:sz w:val="17"/>
                <w:szCs w:val="17"/>
                <w:color w:val="auto"/>
              </w:rPr>
            </w:pPr>
          </w:p>
        </w:tc>
        <w:tc>
          <w:tcPr>
            <w:tcW w:w="206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Fourth Amended Certificate of Incorporation of Beam Therapeutics Inc.</w:t>
              </w:r>
            </w:hyperlink>
          </w:p>
        </w:tc>
        <w:tc>
          <w:tcPr>
            <w:tcW w:w="2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02/11/2020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Second Amended and Restated By-laws of Beam Therapeutics Inc.</w:t>
            </w:r>
          </w:p>
        </w:tc>
        <w:tc>
          <w:tcPr>
            <w:tcW w:w="58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Specimen stock certificate evidencing shares of common stock</w:t>
              </w:r>
            </w:hyperlink>
          </w:p>
        </w:tc>
        <w:tc>
          <w:tcPr>
            <w:tcW w:w="20" w:type="dxa"/>
            <w:vAlign w:val="bottom"/>
            <w:tcBorders>
              <w:bottom w:val="single" w:sz="8" w:color="0000EE"/>
            </w:tcBorders>
          </w:tcPr>
          <w:p>
            <w:pPr>
              <w:spacing w:after="0"/>
              <w:rPr>
                <w:sz w:val="24"/>
                <w:szCs w:val="24"/>
                <w:color w:val="auto"/>
              </w:rPr>
            </w:pPr>
          </w:p>
        </w:tc>
        <w:tc>
          <w:tcPr>
            <w:tcW w:w="8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Investors’ Rights Agreement, among Beam</w:t>
              </w:r>
            </w:hyperlink>
          </w:p>
        </w:tc>
        <w:tc>
          <w:tcPr>
            <w:tcW w:w="54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Therapeutics Inc. and the investors party thereto, dated November 8, 2018</w:t>
              </w:r>
            </w:hyperlink>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Purchase Agreement, dated as of January 16, 2021, among Beam</w:t>
              </w:r>
            </w:hyperlink>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01/19/2021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Therapeutics Inc. and each purchaser party thereto</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Description of Registered Securities</w:t>
              </w:r>
            </w:hyperlink>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6"/>
          </w:tcPr>
          <w:p>
            <w:pPr>
              <w:spacing w:after="0"/>
              <w:rPr>
                <w:sz w:val="24"/>
                <w:szCs w:val="24"/>
                <w:color w:val="auto"/>
              </w:rPr>
            </w:pPr>
          </w:p>
        </w:tc>
        <w:tc>
          <w:tcPr>
            <w:tcW w:w="1800" w:type="dxa"/>
            <w:vAlign w:val="bottom"/>
            <w:gridSpan w:val="15"/>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333-254946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Lease, between UP 26 Landsdowne, LLC and Beam Therapeutics Inc.,</w:t>
              </w:r>
            </w:hyperlink>
          </w:p>
        </w:tc>
        <w:tc>
          <w:tcPr>
            <w:tcW w:w="2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dated February 21, 2018</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Indenture of Lease, between Massachusetts Institute of Technology and</w:t>
              </w:r>
            </w:hyperlink>
          </w:p>
        </w:tc>
        <w:tc>
          <w:tcPr>
            <w:tcW w:w="2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Beam Therapeutics Inc., dated April 24, 2019</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Sales Agreement, dated April 1, 2021, by and between Beam Therapeutics</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Inc. and Jefferies LLC.</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25"/>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License Agreement, between the President and Fellows of Harvard College</w:t>
              </w:r>
            </w:hyperlink>
          </w:p>
        </w:tc>
        <w:tc>
          <w:tcPr>
            <w:tcW w:w="40" w:type="dxa"/>
            <w:vAlign w:val="bottom"/>
            <w:tcBorders>
              <w:bottom w:val="single" w:sz="8" w:color="0000FF"/>
            </w:tcBorders>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and Beam Therapeutics Inc., dated June 27, 2017</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Amendment No. 1 to License Agreement, between the President and</w:t>
              </w:r>
            </w:hyperlink>
          </w:p>
        </w:tc>
        <w:tc>
          <w:tcPr>
            <w:tcW w:w="44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Fellows of Harvard College and Beam Therapeutics Inc., dated December</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80" w:type="dxa"/>
            <w:vAlign w:val="bottom"/>
            <w:gridSpan w:val="4"/>
          </w:tcPr>
          <w:p>
            <w:pPr>
              <w:ind w:left="140"/>
              <w:spacing w:after="0" w:line="196" w:lineRule="exact"/>
              <w:rPr>
                <w:rFonts w:ascii="Times New Roman" w:cs="Times New Roman" w:eastAsia="Times New Roman" w:hAnsi="Times New Roman"/>
                <w:sz w:val="18"/>
                <w:szCs w:val="18"/>
                <w:color w:val="0000FF"/>
                <w:w w:val="95"/>
              </w:rPr>
            </w:pPr>
            <w:hyperlink r:id="rId201">
              <w:r>
                <w:rPr>
                  <w:rFonts w:ascii="Times New Roman" w:cs="Times New Roman" w:eastAsia="Times New Roman" w:hAnsi="Times New Roman"/>
                  <w:sz w:val="18"/>
                  <w:szCs w:val="18"/>
                  <w:color w:val="0000FF"/>
                  <w:w w:val="95"/>
                </w:rPr>
                <w:t>12, 2017</w:t>
              </w:r>
            </w:hyperlink>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2 to License Agreement, between the President and</w:t>
              </w:r>
            </w:hyperlink>
          </w:p>
        </w:tc>
        <w:tc>
          <w:tcPr>
            <w:tcW w:w="44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Fellows of Harvard College and Beam Therapeutics Inc., dated March 27,</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00" w:type="dxa"/>
            <w:vAlign w:val="bottom"/>
            <w:gridSpan w:val="3"/>
          </w:tcPr>
          <w:p>
            <w:pPr>
              <w:ind w:left="140"/>
              <w:spacing w:after="0" w:line="196" w:lineRule="exact"/>
              <w:rPr>
                <w:rFonts w:ascii="Times New Roman" w:cs="Times New Roman" w:eastAsia="Times New Roman" w:hAnsi="Times New Roman"/>
                <w:sz w:val="18"/>
                <w:szCs w:val="18"/>
                <w:color w:val="0000FF"/>
                <w:w w:val="94"/>
              </w:rPr>
            </w:pPr>
            <w:hyperlink r:id="rId202">
              <w:r>
                <w:rPr>
                  <w:rFonts w:ascii="Times New Roman" w:cs="Times New Roman" w:eastAsia="Times New Roman" w:hAnsi="Times New Roman"/>
                  <w:sz w:val="18"/>
                  <w:szCs w:val="18"/>
                  <w:color w:val="0000FF"/>
                  <w:w w:val="94"/>
                </w:rPr>
                <w:t>2020</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License Agreement, between The Broad Institute, Inc. and Blink</w:t>
              </w:r>
            </w:hyperlink>
          </w:p>
        </w:tc>
        <w:tc>
          <w:tcPr>
            <w:tcW w:w="74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Therapeutics Inc., dated May 9, 2018</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8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680" w:type="dxa"/>
            <w:vAlign w:val="bottom"/>
            <w:tcBorders>
              <w:top w:val="single" w:sz="8" w:color="0000FF"/>
            </w:tcBorders>
            <w:gridSpan w:val="9"/>
          </w:tcPr>
          <w:p>
            <w:pPr>
              <w:spacing w:after="0"/>
              <w:rPr>
                <w:sz w:val="24"/>
                <w:szCs w:val="24"/>
                <w:color w:val="auto"/>
              </w:rPr>
            </w:pPr>
          </w:p>
        </w:tc>
        <w:tc>
          <w:tcPr>
            <w:tcW w:w="216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544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Amendment to License Agreement, between The Broad Institute,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10.8</w:t>
            </w:r>
          </w:p>
        </w:tc>
      </w:tr>
      <w:tr>
        <w:trPr>
          <w:trHeight w:val="196"/>
        </w:trPr>
        <w:tc>
          <w:tcPr>
            <w:tcW w:w="960" w:type="dxa"/>
            <w:vAlign w:val="bottom"/>
          </w:tcPr>
          <w:p>
            <w:pPr>
              <w:spacing w:after="0"/>
              <w:rPr>
                <w:sz w:val="17"/>
                <w:szCs w:val="17"/>
                <w:color w:val="auto"/>
              </w:rPr>
            </w:pPr>
          </w:p>
        </w:tc>
        <w:tc>
          <w:tcPr>
            <w:tcW w:w="38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and Blink Therapeutics Inc., dated September 4, 2018</w:t>
              </w:r>
            </w:hyperlink>
          </w:p>
        </w:tc>
        <w:tc>
          <w:tcPr>
            <w:tcW w:w="20" w:type="dxa"/>
            <w:vAlign w:val="bottom"/>
            <w:tcBorders>
              <w:bottom w:val="single" w:sz="8" w:color="0000EE"/>
            </w:tcBorders>
          </w:tcPr>
          <w:p>
            <w:pPr>
              <w:spacing w:after="0"/>
              <w:rPr>
                <w:sz w:val="17"/>
                <w:szCs w:val="17"/>
                <w:color w:val="auto"/>
              </w:rPr>
            </w:pPr>
          </w:p>
        </w:tc>
        <w:tc>
          <w:tcPr>
            <w:tcW w:w="15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44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License Agreement, between Editas Medicine, Inc. and Beam Therapeutics</w:t>
              </w:r>
            </w:hyperlink>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10.6</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 dated May 9, 2018</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53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Letter Agreement, between Beam Therapeutics Inc., The Broad Institute,</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196"/>
        </w:trPr>
        <w:tc>
          <w:tcPr>
            <w:tcW w:w="960" w:type="dxa"/>
            <w:vAlign w:val="bottom"/>
          </w:tcPr>
          <w:p>
            <w:pPr>
              <w:spacing w:after="0"/>
              <w:rPr>
                <w:sz w:val="17"/>
                <w:szCs w:val="17"/>
                <w:color w:val="auto"/>
              </w:rPr>
            </w:pPr>
          </w:p>
        </w:tc>
        <w:tc>
          <w:tcPr>
            <w:tcW w:w="53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Inc., the President and Fellows of Harvard College, and Editas Medicine,</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Inc., dated September 26, 2018</w:t>
              </w:r>
            </w:hyperlink>
          </w:p>
        </w:tc>
        <w:tc>
          <w:tcPr>
            <w:tcW w:w="3200" w:type="dxa"/>
            <w:vAlign w:val="bottom"/>
            <w:gridSpan w:val="3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540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Letter Agreement, between the President and Fellows of Harvard College,</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03/15/22021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The Broad Institute, Inc., and Beam Therapeutics Inc., dated January 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209">
              <w:r>
                <w:rPr>
                  <w:rFonts w:ascii="Times New Roman" w:cs="Times New Roman" w:eastAsia="Times New Roman" w:hAnsi="Times New Roman"/>
                  <w:sz w:val="18"/>
                  <w:szCs w:val="18"/>
                  <w:color w:val="0000FF"/>
                  <w:w w:val="93"/>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540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License Agreement, between Bio Palette Co., Ltd. and Beam Therapeutics</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10.7</w:t>
            </w: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Inc., dated March 27, 2019</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Beam Therapeutics Inc. 2017 Stock Option and Grant Plan</w:t>
              </w:r>
            </w:hyperlink>
          </w:p>
        </w:tc>
        <w:tc>
          <w:tcPr>
            <w:tcW w:w="20" w:type="dxa"/>
            <w:vAlign w:val="bottom"/>
            <w:tcBorders>
              <w:bottom w:val="single" w:sz="8" w:color="0000EE"/>
            </w:tcBorders>
          </w:tcPr>
          <w:p>
            <w:pPr>
              <w:spacing w:after="0"/>
              <w:rPr>
                <w:sz w:val="24"/>
                <w:szCs w:val="24"/>
                <w:color w:val="auto"/>
              </w:rPr>
            </w:pPr>
          </w:p>
        </w:tc>
        <w:tc>
          <w:tcPr>
            <w:tcW w:w="11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10.8</w:t>
            </w: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51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Restricted Stock Agreement under the Beam Therapeutics Inc.</w:t>
              </w:r>
            </w:hyperlink>
          </w:p>
        </w:tc>
        <w:tc>
          <w:tcPr>
            <w:tcW w:w="2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10.9</w:t>
            </w:r>
          </w:p>
        </w:tc>
      </w:tr>
      <w:tr>
        <w:trPr>
          <w:trHeight w:val="196"/>
        </w:trPr>
        <w:tc>
          <w:tcPr>
            <w:tcW w:w="960" w:type="dxa"/>
            <w:vAlign w:val="bottom"/>
          </w:tcPr>
          <w:p>
            <w:pPr>
              <w:spacing w:after="0"/>
              <w:rPr>
                <w:sz w:val="17"/>
                <w:szCs w:val="17"/>
                <w:color w:val="auto"/>
              </w:rPr>
            </w:pPr>
          </w:p>
        </w:tc>
        <w:tc>
          <w:tcPr>
            <w:tcW w:w="2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2017 Stock Option and Grant Plan</w:t>
              </w:r>
            </w:hyperlink>
          </w:p>
        </w:tc>
        <w:tc>
          <w:tcPr>
            <w:tcW w:w="20" w:type="dxa"/>
            <w:vAlign w:val="bottom"/>
            <w:tcBorders>
              <w:bottom w:val="single" w:sz="8" w:color="0000EE"/>
            </w:tcBorders>
          </w:tcPr>
          <w:p>
            <w:pPr>
              <w:spacing w:after="0"/>
              <w:rPr>
                <w:sz w:val="17"/>
                <w:szCs w:val="17"/>
                <w:color w:val="auto"/>
              </w:rPr>
            </w:pPr>
          </w:p>
        </w:tc>
        <w:tc>
          <w:tcPr>
            <w:tcW w:w="2940" w:type="dxa"/>
            <w:vAlign w:val="bottom"/>
            <w:gridSpan w:val="3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544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Form of Incentive Stock Option Grant Notice under the Beam Therapeutics</w:t>
              </w:r>
            </w:hyperlink>
          </w:p>
        </w:tc>
        <w:tc>
          <w:tcPr>
            <w:tcW w:w="2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196"/>
        </w:trPr>
        <w:tc>
          <w:tcPr>
            <w:tcW w:w="960" w:type="dxa"/>
            <w:vAlign w:val="bottom"/>
          </w:tcPr>
          <w:p>
            <w:pPr>
              <w:spacing w:after="0"/>
              <w:rPr>
                <w:sz w:val="17"/>
                <w:szCs w:val="17"/>
                <w:color w:val="auto"/>
              </w:rPr>
            </w:pPr>
          </w:p>
        </w:tc>
        <w:tc>
          <w:tcPr>
            <w:tcW w:w="2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Inc. 2017 Stock Option and Grant Plan</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9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Non-Qualified Stock Option Grant Notice under the Beam</w:t>
              </w:r>
            </w:hyperlink>
          </w:p>
        </w:tc>
        <w:tc>
          <w:tcPr>
            <w:tcW w:w="5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196"/>
        </w:trPr>
        <w:tc>
          <w:tcPr>
            <w:tcW w:w="960" w:type="dxa"/>
            <w:vAlign w:val="bottom"/>
          </w:tcPr>
          <w:p>
            <w:pPr>
              <w:spacing w:after="0"/>
              <w:rPr>
                <w:sz w:val="17"/>
                <w:szCs w:val="17"/>
                <w:color w:val="auto"/>
              </w:rPr>
            </w:pPr>
          </w:p>
        </w:tc>
        <w:tc>
          <w:tcPr>
            <w:tcW w:w="37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Therapeutics Inc. 2017 Stock Option and Grant Plan</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536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Indemnification Agreement between Beam Therapeutics Inc. and</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10.12</w:t>
            </w:r>
          </w:p>
        </w:tc>
      </w:tr>
      <w:tr>
        <w:trPr>
          <w:trHeight w:val="196"/>
        </w:trPr>
        <w:tc>
          <w:tcPr>
            <w:tcW w:w="960" w:type="dxa"/>
            <w:vAlign w:val="bottom"/>
          </w:tcPr>
          <w:p>
            <w:pPr>
              <w:spacing w:after="0"/>
              <w:rPr>
                <w:sz w:val="17"/>
                <w:szCs w:val="17"/>
                <w:color w:val="auto"/>
              </w:rPr>
            </w:pPr>
          </w:p>
        </w:tc>
        <w:tc>
          <w:tcPr>
            <w:tcW w:w="17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15">
              <w:r>
                <w:rPr>
                  <w:rFonts w:ascii="Times New Roman" w:cs="Times New Roman" w:eastAsia="Times New Roman" w:hAnsi="Times New Roman"/>
                  <w:sz w:val="18"/>
                  <w:szCs w:val="18"/>
                  <w:color w:val="0000FF"/>
                  <w:w w:val="98"/>
                </w:rPr>
                <w:t>its directors and officers</w:t>
              </w:r>
            </w:hyperlink>
          </w:p>
        </w:tc>
        <w:tc>
          <w:tcPr>
            <w:tcW w:w="20" w:type="dxa"/>
            <w:vAlign w:val="bottom"/>
            <w:tcBorders>
              <w:bottom w:val="single" w:sz="8" w:color="0000EE"/>
            </w:tcBorders>
          </w:tcPr>
          <w:p>
            <w:pPr>
              <w:spacing w:after="0"/>
              <w:rPr>
                <w:sz w:val="17"/>
                <w:szCs w:val="17"/>
                <w:color w:val="auto"/>
              </w:rPr>
            </w:pPr>
          </w:p>
        </w:tc>
        <w:tc>
          <w:tcPr>
            <w:tcW w:w="3680" w:type="dxa"/>
            <w:vAlign w:val="bottom"/>
            <w:gridSpan w:val="4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544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Amended and Restated Letter Agreement between Beam Therapeutics Inc.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and John Evans, dated June 9,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6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Employment Agreement between Beam</w:t>
              </w:r>
            </w:hyperlink>
          </w:p>
        </w:tc>
        <w:tc>
          <w:tcPr>
            <w:tcW w:w="8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Therapeutics Inc. and Giuseppe Ciaramella, dated January 24,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542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Letter Agreement between Beam Therapeutics Inc. and Terry-Ann Burrell,</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dated January 24, 2020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7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Beam Therapeutics Inc. 2019 Equity Incentive Plan</w:t>
              </w:r>
            </w:hyperlink>
          </w:p>
        </w:tc>
        <w:tc>
          <w:tcPr>
            <w:tcW w:w="20" w:type="dxa"/>
            <w:vAlign w:val="bottom"/>
            <w:tcBorders>
              <w:bottom w:val="single" w:sz="8" w:color="0000EE"/>
            </w:tcBorders>
          </w:tcPr>
          <w:p>
            <w:pPr>
              <w:spacing w:after="0"/>
              <w:rPr>
                <w:sz w:val="24"/>
                <w:szCs w:val="24"/>
                <w:color w:val="auto"/>
              </w:rPr>
            </w:pPr>
          </w:p>
        </w:tc>
        <w:tc>
          <w:tcPr>
            <w:tcW w:w="170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5340" w:type="dxa"/>
            <w:vAlign w:val="bottom"/>
            <w:tcBorders>
              <w:bottom w:val="single" w:sz="8" w:color="0000FF"/>
            </w:tcBorders>
            <w:gridSpan w:val="41"/>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Incentive Stock Option Agreement under the Beam Therapeutics</w:t>
              </w:r>
            </w:hyperlink>
          </w:p>
        </w:tc>
        <w:tc>
          <w:tcPr>
            <w:tcW w:w="1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196"/>
        </w:trPr>
        <w:tc>
          <w:tcPr>
            <w:tcW w:w="9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20">
              <w:r>
                <w:rPr>
                  <w:rFonts w:ascii="Times New Roman" w:cs="Times New Roman" w:eastAsia="Times New Roman" w:hAnsi="Times New Roman"/>
                  <w:sz w:val="18"/>
                  <w:szCs w:val="18"/>
                  <w:color w:val="0000FF"/>
                  <w:w w:val="98"/>
                </w:rPr>
                <w:t>Inc. 2019 Equity Incentive Plan</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3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7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Non-Statutory Stock Option Agreement under the Beam</w:t>
              </w:r>
            </w:hyperlink>
          </w:p>
        </w:tc>
        <w:tc>
          <w:tcPr>
            <w:tcW w:w="72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196"/>
        </w:trPr>
        <w:tc>
          <w:tcPr>
            <w:tcW w:w="960" w:type="dxa"/>
            <w:vAlign w:val="bottom"/>
          </w:tcPr>
          <w:p>
            <w:pPr>
              <w:spacing w:after="0"/>
              <w:rPr>
                <w:sz w:val="17"/>
                <w:szCs w:val="17"/>
                <w:color w:val="auto"/>
              </w:rPr>
            </w:pPr>
          </w:p>
        </w:tc>
        <w:tc>
          <w:tcPr>
            <w:tcW w:w="32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Therapeutics Inc. 2019 Equity Incentive Plan</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7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Non-Statutory Stock Option Agreement (Non-Employee</w:t>
              </w:r>
            </w:hyperlink>
          </w:p>
        </w:tc>
        <w:tc>
          <w:tcPr>
            <w:tcW w:w="7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Directors) under the Beam Therapeutics Inc. 2019 Equity Incentive Plan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760" w:type="dxa"/>
            <w:vAlign w:val="bottom"/>
            <w:tcBorders>
              <w:top w:val="single" w:sz="8" w:color="0000FF"/>
              <w:bottom w:val="single" w:sz="8" w:color="0000FF"/>
            </w:tcBorders>
            <w:gridSpan w:val="33"/>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Form of Restricted Stock Unit Award Agreement under the Beam</w:t>
              </w:r>
            </w:hyperlink>
          </w:p>
        </w:tc>
        <w:tc>
          <w:tcPr>
            <w:tcW w:w="440" w:type="dxa"/>
            <w:vAlign w:val="bottom"/>
            <w:tcBorders>
              <w:top w:val="single" w:sz="8" w:color="0000FF"/>
            </w:tcBorders>
            <w:gridSpan w:val="5"/>
          </w:tcPr>
          <w:p>
            <w:pPr>
              <w:spacing w:after="0"/>
              <w:rPr>
                <w:sz w:val="24"/>
                <w:szCs w:val="24"/>
                <w:color w:val="auto"/>
              </w:rPr>
            </w:pPr>
          </w:p>
        </w:tc>
        <w:tc>
          <w:tcPr>
            <w:tcW w:w="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196"/>
        </w:trPr>
        <w:tc>
          <w:tcPr>
            <w:tcW w:w="960" w:type="dxa"/>
            <w:vAlign w:val="bottom"/>
          </w:tcPr>
          <w:p>
            <w:pPr>
              <w:spacing w:after="0"/>
              <w:rPr>
                <w:sz w:val="17"/>
                <w:szCs w:val="17"/>
                <w:color w:val="auto"/>
              </w:rPr>
            </w:pPr>
          </w:p>
        </w:tc>
        <w:tc>
          <w:tcPr>
            <w:tcW w:w="32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Therapeutics Inc. 2019 Equity Incentive Plan</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538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Restricted Stock Award Agreement under the Beam Therapeutics</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10.26</w:t>
            </w:r>
          </w:p>
        </w:tc>
      </w:tr>
      <w:tr>
        <w:trPr>
          <w:trHeight w:val="196"/>
        </w:trPr>
        <w:tc>
          <w:tcPr>
            <w:tcW w:w="960" w:type="dxa"/>
            <w:vAlign w:val="bottom"/>
          </w:tcPr>
          <w:p>
            <w:pPr>
              <w:spacing w:after="0"/>
              <w:rPr>
                <w:sz w:val="17"/>
                <w:szCs w:val="17"/>
                <w:color w:val="auto"/>
              </w:rPr>
            </w:pPr>
          </w:p>
        </w:tc>
        <w:tc>
          <w:tcPr>
            <w:tcW w:w="2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Inc. 2019 Equity Incentive Plan</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3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7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510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Amended and Restated Beam Therapeutics Inc. 2019 Employee Stock</w:t>
            </w:r>
          </w:p>
        </w:tc>
        <w:tc>
          <w:tcPr>
            <w:tcW w:w="3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960" w:type="dxa"/>
            <w:vAlign w:val="bottom"/>
          </w:tcPr>
          <w:p>
            <w:pPr>
              <w:spacing w:after="0"/>
              <w:rPr>
                <w:sz w:val="17"/>
                <w:szCs w:val="17"/>
                <w:color w:val="auto"/>
              </w:rPr>
            </w:pPr>
          </w:p>
        </w:tc>
        <w:tc>
          <w:tcPr>
            <w:tcW w:w="544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FF"/>
              </w:rPr>
              <w:t>Purchase Plan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2180" w:type="dxa"/>
            <w:vAlign w:val="bottom"/>
            <w:gridSpan w:val="1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1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Beam Therapeutics Inc. 2019 Cash Incentive Plan</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37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52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Beam Therapeutics Inc. Non-Employee Director</w:t>
              </w:r>
            </w:hyperlink>
          </w:p>
        </w:tc>
        <w:tc>
          <w:tcPr>
            <w:tcW w:w="1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05/09/2022</w:t>
            </w:r>
          </w:p>
        </w:tc>
        <w:tc>
          <w:tcPr>
            <w:tcW w:w="16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60" w:type="dxa"/>
            <w:vAlign w:val="bottom"/>
          </w:tcPr>
          <w:p>
            <w:pPr>
              <w:spacing w:after="0"/>
              <w:rPr>
                <w:sz w:val="17"/>
                <w:szCs w:val="17"/>
                <w:color w:val="auto"/>
              </w:rPr>
            </w:pPr>
          </w:p>
        </w:tc>
        <w:tc>
          <w:tcPr>
            <w:tcW w:w="32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8"/>
              </w:rPr>
            </w:pPr>
            <w:hyperlink r:id="rId226">
              <w:r>
                <w:rPr>
                  <w:rFonts w:ascii="Times New Roman" w:cs="Times New Roman" w:eastAsia="Times New Roman" w:hAnsi="Times New Roman"/>
                  <w:sz w:val="18"/>
                  <w:szCs w:val="18"/>
                  <w:color w:val="0000FF"/>
                  <w:w w:val="98"/>
                </w:rPr>
                <w:t>Compensation Policy, dated March 31, 2022</w:t>
              </w:r>
            </w:hyperlink>
          </w:p>
        </w:tc>
        <w:tc>
          <w:tcPr>
            <w:tcW w:w="224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14"/>
        </w:trPr>
        <w:tc>
          <w:tcPr>
            <w:tcW w:w="960" w:type="dxa"/>
            <w:vAlign w:val="bottom"/>
          </w:tcPr>
          <w:p>
            <w:pPr>
              <w:spacing w:after="0"/>
              <w:rPr>
                <w:sz w:val="24"/>
                <w:szCs w:val="24"/>
                <w:color w:val="auto"/>
              </w:rPr>
            </w:pPr>
          </w:p>
        </w:tc>
        <w:tc>
          <w:tcPr>
            <w:tcW w:w="4880" w:type="dxa"/>
            <w:vAlign w:val="bottom"/>
            <w:gridSpan w:val="34"/>
          </w:tcPr>
          <w:p>
            <w:pPr>
              <w:ind w:left="452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Lease Agreement between Beam Therapeutics Inc. and ARE-NC Region</w:t>
              </w:r>
            </w:hyperlink>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08/12/2020</w:t>
            </w:r>
          </w:p>
        </w:tc>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40" w:type="dxa"/>
            <w:vAlign w:val="bottom"/>
          </w:tcPr>
          <w:p>
            <w:pPr>
              <w:spacing w:after="0"/>
              <w:rPr>
                <w:sz w:val="17"/>
                <w:szCs w:val="17"/>
                <w:color w:val="auto"/>
              </w:rPr>
            </w:pPr>
          </w:p>
        </w:tc>
        <w:tc>
          <w:tcPr>
            <w:tcW w:w="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29">
              <w:r>
                <w:rPr>
                  <w:rFonts w:ascii="Times New Roman" w:cs="Times New Roman" w:eastAsia="Times New Roman" w:hAnsi="Times New Roman"/>
                  <w:sz w:val="18"/>
                  <w:szCs w:val="18"/>
                  <w:color w:val="0000FF"/>
                  <w:w w:val="97"/>
                </w:rPr>
                <w:t>No. 14, LLC</w:t>
              </w:r>
            </w:hyperlink>
          </w:p>
        </w:tc>
        <w:tc>
          <w:tcPr>
            <w:tcW w:w="45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Amendment No. 1 to Indenture of Lease, between Massachusetts Institute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940" w:type="dxa"/>
            <w:vAlign w:val="bottom"/>
          </w:tcPr>
          <w:p>
            <w:pPr>
              <w:spacing w:after="0"/>
              <w:rPr>
                <w:sz w:val="17"/>
                <w:szCs w:val="17"/>
                <w:color w:val="auto"/>
              </w:rPr>
            </w:pPr>
          </w:p>
        </w:tc>
        <w:tc>
          <w:tcPr>
            <w:tcW w:w="4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of Technology and Beam Therapeutics Inc., dated April 14, 2020</w:t>
            </w:r>
          </w:p>
        </w:tc>
        <w:tc>
          <w:tcPr>
            <w:tcW w:w="20" w:type="dxa"/>
            <w:vAlign w:val="bottom"/>
            <w:tcBorders>
              <w:bottom w:val="single" w:sz="8" w:color="0000EE"/>
            </w:tcBorders>
          </w:tcPr>
          <w:p>
            <w:pPr>
              <w:spacing w:after="0"/>
              <w:rPr>
                <w:sz w:val="17"/>
                <w:szCs w:val="17"/>
                <w:color w:val="auto"/>
              </w:rPr>
            </w:pPr>
          </w:p>
        </w:tc>
        <w:tc>
          <w:tcPr>
            <w:tcW w:w="7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5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Amendment No. 2 to Indenture of Lease, between Massachusetts Institute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940" w:type="dxa"/>
            <w:vAlign w:val="bottom"/>
          </w:tcPr>
          <w:p>
            <w:pPr>
              <w:spacing w:after="0"/>
              <w:rPr>
                <w:sz w:val="17"/>
                <w:szCs w:val="17"/>
                <w:color w:val="auto"/>
              </w:rPr>
            </w:pPr>
          </w:p>
        </w:tc>
        <w:tc>
          <w:tcPr>
            <w:tcW w:w="50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of Technology and Beam Therapeutics Inc., dated November 17, 2020</w:t>
            </w:r>
          </w:p>
        </w:tc>
        <w:tc>
          <w:tcPr>
            <w:tcW w:w="20" w:type="dxa"/>
            <w:vAlign w:val="bottom"/>
            <w:tcBorders>
              <w:bottom w:val="single" w:sz="8" w:color="0000EE"/>
            </w:tcBorders>
          </w:tcPr>
          <w:p>
            <w:pPr>
              <w:spacing w:after="0"/>
              <w:rPr>
                <w:sz w:val="17"/>
                <w:szCs w:val="17"/>
                <w:color w:val="auto"/>
              </w:rPr>
            </w:pPr>
          </w:p>
        </w:tc>
        <w:tc>
          <w:tcPr>
            <w:tcW w:w="3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5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Amendment No. 3 to Indenture of Lease, between Massachusetts Institute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940" w:type="dxa"/>
            <w:vAlign w:val="bottom"/>
          </w:tcPr>
          <w:p>
            <w:pPr>
              <w:spacing w:after="0"/>
              <w:rPr>
                <w:sz w:val="17"/>
                <w:szCs w:val="17"/>
                <w:color w:val="auto"/>
              </w:rPr>
            </w:pPr>
          </w:p>
        </w:tc>
        <w:tc>
          <w:tcPr>
            <w:tcW w:w="48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of Technology and Beam Therapeutics Inc., dated August 24, 2021</w:t>
            </w:r>
          </w:p>
        </w:tc>
        <w:tc>
          <w:tcPr>
            <w:tcW w:w="20" w:type="dxa"/>
            <w:vAlign w:val="bottom"/>
            <w:tcBorders>
              <w:bottom w:val="single" w:sz="8" w:color="0000EE"/>
            </w:tcBorders>
          </w:tcPr>
          <w:p>
            <w:pPr>
              <w:spacing w:after="0"/>
              <w:rPr>
                <w:sz w:val="17"/>
                <w:szCs w:val="17"/>
                <w:color w:val="auto"/>
              </w:rPr>
            </w:pPr>
          </w:p>
        </w:tc>
        <w:tc>
          <w:tcPr>
            <w:tcW w:w="6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54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Amendment No. 1 to Sales Agreement, dated July 7, 2021, by and between</w:t>
              </w:r>
            </w:hyperlink>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07/07/2021</w:t>
            </w:r>
          </w:p>
        </w:tc>
        <w:tc>
          <w:tcPr>
            <w:tcW w:w="1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1.1</w:t>
            </w:r>
          </w:p>
        </w:tc>
      </w:tr>
      <w:tr>
        <w:trPr>
          <w:trHeight w:val="196"/>
        </w:trPr>
        <w:tc>
          <w:tcPr>
            <w:tcW w:w="940" w:type="dxa"/>
            <w:vAlign w:val="bottom"/>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Beam Therapeutics Inc. and Jefferies LLC</w:t>
              </w:r>
            </w:hyperlink>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Amendment No. 4 to Indenture of Lease, between Massachusetts Institute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40" w:type="dxa"/>
            <w:vAlign w:val="bottom"/>
          </w:tcPr>
          <w:p>
            <w:pPr>
              <w:spacing w:after="0"/>
              <w:rPr>
                <w:sz w:val="17"/>
                <w:szCs w:val="17"/>
                <w:color w:val="auto"/>
              </w:rPr>
            </w:pPr>
          </w:p>
        </w:tc>
        <w:tc>
          <w:tcPr>
            <w:tcW w:w="5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of Technology and Beam Therapeutics Inc., dated December 7, 2022</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9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List of Subsidiaries of Beam Therapeutics Inc.</w:t>
            </w:r>
          </w:p>
        </w:tc>
        <w:tc>
          <w:tcPr>
            <w:tcW w:w="5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001-39208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21.1</w:t>
            </w: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212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40" w:type="dxa"/>
            <w:vAlign w:val="bottom"/>
          </w:tcPr>
          <w:p>
            <w:pPr>
              <w:spacing w:after="0"/>
              <w:rPr>
                <w:sz w:val="17"/>
                <w:szCs w:val="17"/>
                <w:color w:val="auto"/>
              </w:rPr>
            </w:pPr>
          </w:p>
        </w:tc>
        <w:tc>
          <w:tcPr>
            <w:tcW w:w="50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1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20" w:type="dxa"/>
            <w:vAlign w:val="bottom"/>
            <w:tcBorders>
              <w:bottom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40" w:type="dxa"/>
            <w:vAlign w:val="bottom"/>
          </w:tcPr>
          <w:p>
            <w:pPr>
              <w:spacing w:after="0"/>
              <w:rPr>
                <w:sz w:val="17"/>
                <w:szCs w:val="17"/>
                <w:color w:val="auto"/>
              </w:rPr>
            </w:pPr>
          </w:p>
        </w:tc>
        <w:tc>
          <w:tcPr>
            <w:tcW w:w="54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40" w:type="dxa"/>
            <w:vAlign w:val="bottom"/>
          </w:tcPr>
          <w:p>
            <w:pPr>
              <w:spacing w:after="0"/>
              <w:rPr>
                <w:sz w:val="17"/>
                <w:szCs w:val="17"/>
                <w:color w:val="auto"/>
              </w:rPr>
            </w:pPr>
          </w:p>
        </w:tc>
        <w:tc>
          <w:tcPr>
            <w:tcW w:w="5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40" w:type="dxa"/>
            <w:vAlign w:val="bottom"/>
          </w:tcPr>
          <w:p>
            <w:pPr>
              <w:spacing w:after="0"/>
              <w:rPr>
                <w:sz w:val="17"/>
                <w:szCs w:val="17"/>
                <w:color w:val="auto"/>
              </w:rPr>
            </w:pPr>
          </w:p>
        </w:tc>
        <w:tc>
          <w:tcPr>
            <w:tcW w:w="54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9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940" w:type="dxa"/>
            <w:vAlign w:val="bottom"/>
          </w:tcPr>
          <w:p>
            <w:pPr>
              <w:spacing w:after="0"/>
              <w:rPr>
                <w:sz w:val="18"/>
                <w:szCs w:val="18"/>
                <w:color w:val="auto"/>
              </w:rPr>
            </w:pP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 the</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right="140" w:firstLine="8"/>
        <w:spacing w:after="0" w:line="273" w:lineRule="auto"/>
        <w:tabs>
          <w:tab w:leader="none" w:pos="1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 Registrant has determined they are not material and are they type that the Registrant treats as private or confidential.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64" w:right="679" w:bottom="1440" w:gutter="0" w:footer="0" w:header="0"/>
        </w:sectPr>
      </w:pPr>
    </w:p>
    <w:bookmarkStart w:id="142" w:name="page143"/>
    <w:bookmarkEnd w:id="142"/>
    <w:p>
      <w:pPr>
        <w:ind w:firstLine="8"/>
        <w:spacing w:after="0" w:line="266" w:lineRule="auto"/>
        <w:tabs>
          <w:tab w:leader="none" w:pos="1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05" w:right="57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279" w:lineRule="exact"/>
        <w:rPr>
          <w:sz w:val="20"/>
          <w:szCs w:val="20"/>
          <w:color w:val="auto"/>
        </w:rPr>
      </w:pPr>
    </w:p>
    <w:p>
      <w:pPr>
        <w:ind w:left="20"/>
        <w:spacing w:after="0"/>
        <w:tabs>
          <w:tab w:leader="none" w:pos="5520" w:val="left"/>
          <w:tab w:leader="none" w:pos="80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3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6"/>
                <w:szCs w:val="16"/>
                <w:color w:val="auto"/>
              </w:rPr>
            </w:pPr>
          </w:p>
        </w:tc>
        <w:tc>
          <w:tcPr>
            <w:tcW w:w="52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Evans</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Evans</w:t>
            </w:r>
          </w:p>
        </w:tc>
        <w:tc>
          <w:tcPr>
            <w:tcW w:w="1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Terry-Ann Burrell</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Terry-Ann Burrell</w:t>
            </w:r>
          </w:p>
        </w:tc>
        <w:tc>
          <w:tcPr>
            <w:tcW w:w="1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Kristina Burow</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Kristina Burow</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Cooper</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Cooper</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Fishman</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 Fishman,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Ho</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Carole Ho,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Maraganore</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Maraganore, Ph.D.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Walsh</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Kathleen Walsh</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53"/>
        </w:trPr>
        <w:tc>
          <w:tcPr>
            <w:tcW w:w="3500" w:type="dxa"/>
            <w:vAlign w:val="bottom"/>
          </w:tcPr>
          <w:p>
            <w:pPr>
              <w:spacing w:after="0"/>
              <w:rPr>
                <w:sz w:val="24"/>
                <w:szCs w:val="24"/>
                <w:color w:val="auto"/>
              </w:rPr>
            </w:pPr>
          </w:p>
        </w:tc>
        <w:tc>
          <w:tcPr>
            <w:tcW w:w="5400" w:type="dxa"/>
            <w:vAlign w:val="bottom"/>
            <w:gridSpan w:val="2"/>
          </w:tcPr>
          <w:p>
            <w:pPr>
              <w:jc w:val="right"/>
              <w:ind w:right="305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20" w:type="dxa"/>
            <w:vAlign w:val="bottom"/>
          </w:tcPr>
          <w:p>
            <w:pPr>
              <w:spacing w:after="0"/>
              <w:rPr>
                <w:sz w:val="20"/>
                <w:szCs w:val="20"/>
                <w:color w:val="auto"/>
              </w:rPr>
            </w:pPr>
          </w:p>
        </w:tc>
      </w:tr>
      <w:tr>
        <w:trPr>
          <w:trHeight w:val="432"/>
        </w:trPr>
        <w:tc>
          <w:tcPr>
            <w:tcW w:w="9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34)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0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540" w:type="dxa"/>
            <w:vAlign w:val="bottom"/>
            <w:tcBorders>
              <w:top w:val="single" w:sz="8" w:color="0000FF"/>
            </w:tcBorders>
            <w:gridSpan w:val="6"/>
          </w:tcPr>
          <w:p>
            <w:pPr>
              <w:spacing w:after="0"/>
              <w:rPr>
                <w:sz w:val="19"/>
                <w:szCs w:val="19"/>
                <w:color w:val="auto"/>
              </w:rPr>
            </w:pPr>
          </w:p>
        </w:tc>
        <w:tc>
          <w:tcPr>
            <w:tcW w:w="3820" w:type="dxa"/>
            <w:vAlign w:val="bottom"/>
            <w:gridSpan w:val="2"/>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23"/>
        </w:trPr>
        <w:tc>
          <w:tcPr>
            <w:tcW w:w="9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other comprehensive loss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7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3"/>
        </w:trPr>
        <w:tc>
          <w:tcPr>
            <w:tcW w:w="9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23"/>
        </w:trPr>
        <w:tc>
          <w:tcPr>
            <w:tcW w:w="278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9"/>
                <w:szCs w:val="19"/>
                <w:color w:val="auto"/>
              </w:rPr>
            </w:pPr>
          </w:p>
        </w:tc>
        <w:tc>
          <w:tcPr>
            <w:tcW w:w="4460" w:type="dxa"/>
            <w:vAlign w:val="bottom"/>
            <w:tcBorders>
              <w:top w:val="single" w:sz="8" w:color="0000FF"/>
            </w:tcBorders>
            <w:gridSpan w:val="5"/>
          </w:tcPr>
          <w:p>
            <w:pPr>
              <w:spacing w:after="0"/>
              <w:rPr>
                <w:sz w:val="19"/>
                <w:szCs w:val="19"/>
                <w:color w:val="auto"/>
              </w:rPr>
            </w:pPr>
          </w:p>
        </w:tc>
        <w:tc>
          <w:tcPr>
            <w:tcW w:w="2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23"/>
        </w:trPr>
        <w:tc>
          <w:tcPr>
            <w:tcW w:w="9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466"/>
        </w:trPr>
        <w:tc>
          <w:tcPr>
            <w:tcW w:w="20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5"/>
              </w:rPr>
              <w:t>F-1</w:t>
            </w:r>
          </w:p>
        </w:tc>
        <w:tc>
          <w:tcPr>
            <w:tcW w:w="182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5" w:name="page146"/>
    <w:bookmarkEnd w:id="145"/>
    <w:p>
      <w:pPr>
        <w:ind w:right="2520" w:firstLine="2535"/>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Beam Therapeutics Inc. and subsidiaries (the "Company") as of December 31, 2022 and 2021, the related consolidated statements of operations and other comprehensive loss, redeemable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28, 2023,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6" w:name="page147"/>
    <w:bookmarkEnd w:id="146"/>
    <w:p>
      <w:pPr>
        <w:ind w:right="2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License and Collaboration Revenue – Pfizer Agreement – Refer to Notes 2 and 11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or the Pfizer Agreement, with Pfizer Inc., or Pfizer. Under the terms of the Pfizer Agreement, the Company is conducting all research activities through the selection of development candidates for three base editing programs. The Company commenced development activities in 2022. Of the total transaction price of $300.0 million, the Company recognized $48.2 million of revenue in 2022, and as of December 31, 2022, there was $96.4 million and $155.4 million of current and long-term deferred revenue, respectively, related to the Pfizer Agreement.</w:t>
      </w:r>
    </w:p>
    <w:p>
      <w:pPr>
        <w:spacing w:after="0" w:line="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The Company is accounting for the Pfizer Agreement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In their accounting analysis, the Company identified three combined performance obligations, one for each research program, consisting of the exclusive development and commercialization rights, the research and development services, and licenses. The Company concluded that an input method based on the actual costs incurred as a percentage of total budgeted costs towards satisfying each performance obligation provides the most faithful depiction of the Company’s performance in transferring control of the goods and services promised to Pfizer and represents the Company’s best estimate of the period of the obligations, with the standalone selling price of each performance obligation determined using the total estimated costs for the performance obligations.</w:t>
      </w:r>
    </w:p>
    <w:p>
      <w:pPr>
        <w:spacing w:after="0" w:line="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the Pfizer Agreement required an increased extent of effort and a high degree of auditor judgment, including the involvement of specialists, due to the complex and judgmental nature of evaluating the performance obligations included within the Pfizer Agreement and the estimated costs to satisfy each performance obligation.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Pfizer Agreement performance obligation conclusions and research cost estimates included the following, among others:</w:t>
      </w:r>
    </w:p>
    <w:p>
      <w:pPr>
        <w:spacing w:after="0" w:line="99" w:lineRule="exact"/>
        <w:rPr>
          <w:sz w:val="20"/>
          <w:szCs w:val="20"/>
          <w:color w:val="auto"/>
        </w:rPr>
      </w:pPr>
    </w:p>
    <w:p>
      <w:pPr>
        <w:ind w:left="1020" w:right="40" w:hanging="503"/>
        <w:spacing w:after="0" w:line="266"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review of the accounting conclusions reached under ASC 606 regarding the Pfizer Agreement, including the identification of performance obligations and the determination of the appropriate method to measure progress towards the completion of performance obligations.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review of the initial cost estimate by research program for the Pfizer Agreement, including significant assumptions underlying internal and external cost estimates.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contracts and other documents related to the Pfizer Agreement.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Company’s accounting analysis for conclusions reached related to the Pfizer Agreement under ASC 606, performing procedures including the following:</w:t>
      </w:r>
    </w:p>
    <w:p>
      <w:pPr>
        <w:spacing w:after="0" w:line="53" w:lineRule="exact"/>
        <w:rPr>
          <w:rFonts w:ascii="Times New Roman" w:cs="Times New Roman" w:eastAsia="Times New Roman" w:hAnsi="Times New Roman"/>
          <w:sz w:val="18"/>
          <w:szCs w:val="18"/>
          <w:color w:val="auto"/>
        </w:rPr>
      </w:pPr>
    </w:p>
    <w:p>
      <w:pPr>
        <w:ind w:left="1540" w:right="38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oWith the assistance of professionals in our firm having expertise in revenue accounting, we evaluated the Company’s conclusions regarding the identification of performance obligations and inspected relevant authoritative guidance.</w:t>
      </w:r>
    </w:p>
    <w:p>
      <w:pPr>
        <w:spacing w:after="0" w:line="53" w:lineRule="exact"/>
        <w:rPr>
          <w:rFonts w:ascii="Times New Roman" w:cs="Times New Roman" w:eastAsia="Times New Roman" w:hAnsi="Times New Roman"/>
          <w:sz w:val="18"/>
          <w:szCs w:val="18"/>
          <w:color w:val="auto"/>
        </w:rPr>
      </w:pPr>
    </w:p>
    <w:p>
      <w:pPr>
        <w:ind w:left="1540" w:right="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held corroborative inquiries with individuals involved in the negotiation of the agreement and those responsible for overseeing the agreement to confirm our understanding of the performance obligations as well as the Company’s assertions regarding whether those performance obligations are distinct or combined.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the Company’s cost estimates by research program, performing procedures including the following:</w:t>
      </w:r>
    </w:p>
    <w:p>
      <w:pPr>
        <w:spacing w:after="0" w:line="117"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held corroborative inquiries with individuals involved in overseeing the research to be performed to obtain an understanding of the Company’s responsibilities and research plan for each research program.</w:t>
      </w:r>
    </w:p>
    <w:p>
      <w:pPr>
        <w:spacing w:after="0" w:line="53" w:lineRule="exact"/>
        <w:rPr>
          <w:rFonts w:ascii="Times New Roman" w:cs="Times New Roman" w:eastAsia="Times New Roman" w:hAnsi="Times New Roman"/>
          <w:sz w:val="18"/>
          <w:szCs w:val="18"/>
          <w:color w:val="auto"/>
        </w:rPr>
      </w:pPr>
    </w:p>
    <w:p>
      <w:pPr>
        <w:ind w:left="1540" w:right="3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held corroborative inquiries with individuals involved in the forecasting of the cost estimates to obtain an understanding of the costs associated with the Company’s responsibilities and research plan for each research program.</w:t>
      </w:r>
    </w:p>
    <w:p>
      <w:pPr>
        <w:spacing w:after="0" w:line="54" w:lineRule="exact"/>
        <w:rPr>
          <w:sz w:val="20"/>
          <w:szCs w:val="20"/>
          <w:color w:val="auto"/>
        </w:rPr>
      </w:pPr>
    </w:p>
    <w:p>
      <w:pPr>
        <w:ind w:left="5500" w:right="4620" w:hanging="4474"/>
        <w:spacing w:after="0" w:line="282" w:lineRule="auto"/>
        <w:tabs>
          <w:tab w:leader="none" w:pos="15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evidence supporting internal and external cost estimates.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7" w:name="page148"/>
    <w:bookmarkEnd w:id="147"/>
    <w:p>
      <w:pPr>
        <w:ind w:right="32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 – Orbital Agreement – Refer to Notes 2, 8, and 11 to the financial statements </w:t>
      </w:r>
      <w:r>
        <w:rPr>
          <w:rFonts w:ascii="Times New Roman" w:cs="Times New Roman" w:eastAsia="Times New Roman" w:hAnsi="Times New Roman"/>
          <w:sz w:val="18"/>
          <w:szCs w:val="18"/>
          <w:i w:val="1"/>
          <w:iCs w:val="1"/>
          <w:color w:val="auto"/>
        </w:rPr>
        <w:t>Critical Audit Matter Description</w:t>
      </w:r>
    </w:p>
    <w:p>
      <w:pPr>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 License and Research Collaboration Agreement, or the Orbital Agreement, with Orbital Therapeutics, Inc., or Orbital. In exchange for the Company’s contributions under the Orbital Agreement the Company received 75.0 million shares of Orbital common stock with a fair value of $25.5 million. The Company’s ownership represented a 31.5% fully diluted equity interest and a 97.0% interest in the outstanding common stock of Orbital at the time of closing. Additionally, certain members of the Company’s executive team are providing interim management services to Orbital under separate agreements between Orbital and the executives, and certain members of the Company’s executive team and board of directors are serving on the Orbital board of directors.</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concluded that they have significant influence over, but do not control, Orbital. As a result, the Company has applied the equity method of accounting to their investment in Orbital, with the value of the Company’s investment being $25.5 million at inception. As a result of basis differences identified, the fair value of the Company’s investment in Orbital was reduced to $0.</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determination as to how the Company should treat its investment in Orbital, including whether the Company should consolidate Orbital or apply the equity method of accounting, involved especially challenging, subjective, and complex management judgments. Therefore, auditing these significant management judgments involved a high degree of auditor judgment and subjectivity, including the involvement of specialists.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Orbital Agreement accounting conclusions included the following, among others:</w:t>
      </w:r>
    </w:p>
    <w:p>
      <w:pPr>
        <w:spacing w:after="0" w:line="27" w:lineRule="exact"/>
        <w:rPr>
          <w:sz w:val="20"/>
          <w:szCs w:val="20"/>
          <w:color w:val="auto"/>
        </w:rPr>
      </w:pPr>
    </w:p>
    <w:p>
      <w:pPr>
        <w:ind w:left="1020" w:right="140" w:hanging="503"/>
        <w:spacing w:after="0" w:line="250"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 over the review of the accounting conclusions reached under the relevant authoritative guidance regarding the Company’s investment in Orbital.</w:t>
      </w: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contracts and other documents related to the Orbital Agreement.</w:t>
      </w:r>
    </w:p>
    <w:p>
      <w:pPr>
        <w:spacing w:after="0" w:line="9"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Company’s accounting analysis for conclusions reached related to the Company’s investment in Orbital, performing procedures including the following:</w:t>
      </w:r>
    </w:p>
    <w:p>
      <w:pPr>
        <w:ind w:left="1540" w:right="100" w:hanging="50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oWith the assistance of professionals in our firm having expertise in equity method and consolidation accounting, we evaluated the significant judgments associated with indicators of the Company’s ability to influence Orbital to determine that the Company has the ability to exercise significant influence over, but not control, Orbital.</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inspected relevant authoritative guidance.</w:t>
      </w:r>
    </w:p>
    <w:p>
      <w:pPr>
        <w:spacing w:after="0" w:line="9" w:lineRule="exact"/>
        <w:rPr>
          <w:rFonts w:ascii="Times New Roman" w:cs="Times New Roman" w:eastAsia="Times New Roman" w:hAnsi="Times New Roman"/>
          <w:sz w:val="18"/>
          <w:szCs w:val="18"/>
          <w:color w:val="auto"/>
        </w:rPr>
      </w:pPr>
    </w:p>
    <w:p>
      <w:pPr>
        <w:ind w:left="1540" w:right="340" w:hanging="50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held corroborative inquiries with individuals involved in the negotiation of the agreement to confirm our understanding of the agreement and other underlying documents.</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48" w:name="page149"/>
    <w:bookmarkEnd w:id="1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232,767</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559,994</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845,367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405,653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 receivable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300,000</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14,762</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7,360</w:t>
            </w: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1,092,896</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1,273,007</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115,620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84,258</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12,754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12,746</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118,513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102,718</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1,724</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1,341,714</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1,474,453</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9,029</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7,474</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48,059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28,921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sub-license fees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38,743</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18,300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42,200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135,974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86,270</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7,540</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equipment financing liability</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2,287</w:t>
            </w: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223,595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213,435</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168,625</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134,810</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equipment financing liability</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3,007</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12,463</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31,367</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202,179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262,303</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2,793</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608,240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647,715</w:t>
            </w:r>
          </w:p>
        </w:tc>
      </w:tr>
      <w:tr>
        <w:trPr>
          <w:trHeight w:val="21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(See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and Note 11,</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and no shares issued or outstanding at</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250,000,000 shares authorized, 71,277,339 and 68,581,251 issued,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71,277,339 and 68,389,425 outstanding at December 31, 2022 and December 31, 2021,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w:t>
            </w:r>
          </w:p>
        </w:tc>
      </w:tr>
      <w:tr>
        <w:trPr>
          <w:trHeight w:val="25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1,792,554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1,594,378</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(1,057,362 )</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(768,274 )</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733,474</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826,738</w:t>
            </w:r>
          </w:p>
        </w:tc>
      </w:tr>
      <w:tr>
        <w:trPr>
          <w:trHeight w:val="27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1,341,714</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1,474,453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-4653915</wp:posOffset>
            </wp:positionV>
            <wp:extent cx="10287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-3076575</wp:posOffset>
            </wp:positionV>
            <wp:extent cx="10287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-2142490</wp:posOffset>
            </wp:positionV>
            <wp:extent cx="10287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-350520</wp:posOffset>
            </wp:positionV>
            <wp:extent cx="10287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7"/>
        </w:trPr>
        <w:tc>
          <w:tcPr>
            <w:tcW w:w="7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60,920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51,844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311,594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387,087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103,179</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87,805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57,222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29,605</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399,399</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444,309</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132,784</w:t>
            </w:r>
          </w:p>
        </w:tc>
        <w:tc>
          <w:tcPr>
            <w:tcW w:w="0" w:type="dxa"/>
            <w:vAlign w:val="bottom"/>
          </w:tcPr>
          <w:p>
            <w:pPr>
              <w:spacing w:after="0"/>
              <w:rPr>
                <w:sz w:val="1"/>
                <w:szCs w:val="1"/>
                <w:color w:val="auto"/>
              </w:rPr>
            </w:pPr>
          </w:p>
        </w:tc>
      </w:tr>
      <w:tr>
        <w:trPr>
          <w:trHeight w:val="237"/>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(392,465 )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(132,760 )</w:t>
            </w:r>
          </w:p>
        </w:tc>
        <w:tc>
          <w:tcPr>
            <w:tcW w:w="0" w:type="dxa"/>
            <w:vAlign w:val="bottom"/>
          </w:tcPr>
          <w:p>
            <w:pPr>
              <w:spacing w:after="0"/>
              <w:rPr>
                <w:sz w:val="1"/>
                <w:szCs w:val="1"/>
                <w:color w:val="auto"/>
              </w:rPr>
            </w:pPr>
          </w:p>
        </w:tc>
      </w:tr>
      <w:tr>
        <w:trPr>
          <w:trHeight w:val="247"/>
        </w:trPr>
        <w:tc>
          <w:tcPr>
            <w:tcW w:w="7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(63,400 )</w:t>
            </w:r>
          </w:p>
        </w:tc>
        <w:tc>
          <w:tcPr>
            <w:tcW w:w="0" w:type="dxa"/>
            <w:vAlign w:val="bottom"/>
          </w:tcPr>
          <w:p>
            <w:pPr>
              <w:spacing w:after="0"/>
              <w:rPr>
                <w:sz w:val="1"/>
                <w:szCs w:val="1"/>
                <w:color w:val="auto"/>
              </w:rPr>
            </w:pPr>
          </w:p>
        </w:tc>
      </w:tr>
      <w:tr>
        <w:trPr>
          <w:trHeight w:val="247"/>
        </w:trPr>
        <w:tc>
          <w:tcPr>
            <w:tcW w:w="7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20,200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17,690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15,297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37"/>
        </w:trPr>
        <w:tc>
          <w:tcPr>
            <w:tcW w:w="7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78,301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21,827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(61,832 )</w:t>
            </w:r>
          </w:p>
        </w:tc>
        <w:tc>
          <w:tcPr>
            <w:tcW w:w="0" w:type="dxa"/>
            <w:vAlign w:val="bottom"/>
          </w:tcPr>
          <w:p>
            <w:pPr>
              <w:spacing w:after="0"/>
              <w:rPr>
                <w:sz w:val="1"/>
                <w:szCs w:val="1"/>
                <w:color w:val="auto"/>
              </w:rPr>
            </w:pPr>
          </w:p>
        </w:tc>
      </w:tr>
      <w:tr>
        <w:trPr>
          <w:trHeight w:val="236"/>
        </w:trPr>
        <w:tc>
          <w:tcPr>
            <w:tcW w:w="7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(260,178 )</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(194,592 )</w:t>
            </w:r>
          </w:p>
        </w:tc>
        <w:tc>
          <w:tcPr>
            <w:tcW w:w="0" w:type="dxa"/>
            <w:vAlign w:val="bottom"/>
          </w:tcPr>
          <w:p>
            <w:pPr>
              <w:spacing w:after="0"/>
              <w:rPr>
                <w:sz w:val="1"/>
                <w:szCs w:val="1"/>
                <w:color w:val="auto"/>
              </w:rPr>
            </w:pPr>
          </w:p>
        </w:tc>
      </w:tr>
      <w:tr>
        <w:trPr>
          <w:trHeight w:val="237"/>
        </w:trPr>
        <w:tc>
          <w:tcPr>
            <w:tcW w:w="7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(194,592 )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(2,380 )</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7"/>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(291,468 )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(370,679 )</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(194,617 )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loss to net loss attributable to common stockholders: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(194,592 )</w:t>
            </w:r>
          </w:p>
        </w:tc>
        <w:tc>
          <w:tcPr>
            <w:tcW w:w="0" w:type="dxa"/>
            <w:vAlign w:val="bottom"/>
          </w:tcPr>
          <w:p>
            <w:pPr>
              <w:spacing w:after="0"/>
              <w:rPr>
                <w:sz w:val="1"/>
                <w:szCs w:val="1"/>
                <w:color w:val="auto"/>
              </w:rPr>
            </w:pPr>
          </w:p>
        </w:tc>
      </w:tr>
      <w:tr>
        <w:trPr>
          <w:trHeight w:val="220"/>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 including dividends</w:t>
            </w:r>
          </w:p>
        </w:tc>
        <w:tc>
          <w:tcPr>
            <w:tcW w:w="12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(1,277 )</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 preferred stock</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(370,638 )</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(195,869 )</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 and diluted</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23"/>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70,015,305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64,227,676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46,733,221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-3248025</wp:posOffset>
            </wp:positionV>
            <wp:extent cx="8572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-3248025</wp:posOffset>
            </wp:positionV>
            <wp:extent cx="7747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-2313940</wp:posOffset>
            </wp:positionV>
            <wp:extent cx="8572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-2313940</wp:posOffset>
            </wp:positionV>
            <wp:extent cx="7747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-1988185</wp:posOffset>
            </wp:positionV>
            <wp:extent cx="85725"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-1988185</wp:posOffset>
            </wp:positionV>
            <wp:extent cx="7747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-1670685</wp:posOffset>
            </wp:positionV>
            <wp:extent cx="8572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-1670685</wp:posOffset>
            </wp:positionV>
            <wp:extent cx="7747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-1327785</wp:posOffset>
            </wp:positionV>
            <wp:extent cx="85725" cy="4972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85725" cy="4972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-1327785</wp:posOffset>
            </wp:positionV>
            <wp:extent cx="77470" cy="4972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7470" cy="4972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-548005</wp:posOffset>
            </wp:positionV>
            <wp:extent cx="85725" cy="548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85725" cy="54864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-548005</wp:posOffset>
            </wp:positionV>
            <wp:extent cx="77470" cy="548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7470" cy="54864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0" w:name="page151"/>
    <w:bookmarkEnd w:id="1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80" w:type="dxa"/>
            <w:vAlign w:val="bottom"/>
            <w:tcBorders>
              <w:right w:val="single" w:sz="8" w:color="auto"/>
            </w:tcBorders>
            <w:gridSpan w:val="5"/>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880" w:type="dxa"/>
            <w:vAlign w:val="bottom"/>
            <w:tcBorders>
              <w:right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Comprehen</w:t>
            </w:r>
          </w:p>
        </w:tc>
        <w:tc>
          <w:tcPr>
            <w:tcW w:w="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2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Stockholde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80" w:type="dxa"/>
            <w:vAlign w:val="bottom"/>
            <w:tcBorders>
              <w:right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5"/>
                <w:szCs w:val="15"/>
                <w:color w:val="auto"/>
              </w:rPr>
            </w:pPr>
          </w:p>
        </w:tc>
        <w:tc>
          <w:tcPr>
            <w:tcW w:w="1620" w:type="dxa"/>
            <w:vAlign w:val="bottom"/>
            <w:gridSpan w:val="4"/>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sive</w:t>
            </w:r>
          </w:p>
        </w:tc>
        <w:tc>
          <w:tcPr>
            <w:tcW w:w="140" w:type="dxa"/>
            <w:vAlign w:val="bottom"/>
          </w:tcPr>
          <w:p>
            <w:pPr>
              <w:spacing w:after="0"/>
              <w:rPr>
                <w:sz w:val="15"/>
                <w:szCs w:val="15"/>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rs’</w:t>
            </w: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820" w:type="dxa"/>
            <w:vAlign w:val="bottom"/>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8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2019</w:t>
            </w:r>
          </w:p>
        </w:tc>
        <w:tc>
          <w:tcPr>
            <w:tcW w:w="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130,616,78</w:t>
            </w:r>
          </w:p>
        </w:tc>
        <w:tc>
          <w:tcPr>
            <w:tcW w:w="2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302,049</w:t>
            </w:r>
          </w:p>
        </w:tc>
        <w:tc>
          <w:tcPr>
            <w:tcW w:w="1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7,326,18</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2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(203,044 )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(201,104 )</w:t>
            </w: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40" w:type="dxa"/>
            <w:vAlign w:val="bottom"/>
            <w:tcBorders>
              <w:right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gridSpan w:val="2"/>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Accretion of redeemable convertible preferred stock to</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(1,277 )</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(1,277 )</w:t>
            </w:r>
          </w:p>
        </w:tc>
        <w:tc>
          <w:tcPr>
            <w:tcW w:w="0" w:type="dxa"/>
            <w:vAlign w:val="bottom"/>
          </w:tcPr>
          <w:p>
            <w:pPr>
              <w:spacing w:after="0"/>
              <w:rPr>
                <w:sz w:val="1"/>
                <w:szCs w:val="1"/>
                <w:color w:val="auto"/>
              </w:rPr>
            </w:pPr>
          </w:p>
        </w:tc>
      </w:tr>
      <w:tr>
        <w:trPr>
          <w:trHeight w:val="18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redemption value</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Conversion of redeemable convertible preferred stock to</w:t>
            </w:r>
          </w:p>
        </w:tc>
        <w:tc>
          <w:tcPr>
            <w:tcW w:w="8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(130,616,7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(303,326 )</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29,127,5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303,035</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303,326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common stock upon closing of initial public offering</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initial public offering, net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12,176,4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188,201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188,323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issuance costs of $18.7 million</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October 2020 public</w:t>
            </w: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5,750,00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126,566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offering, net of issuance costs of $8.5 million</w:t>
            </w:r>
          </w:p>
        </w:tc>
        <w:tc>
          <w:tcPr>
            <w:tcW w:w="10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related to license agreements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1,638,96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859,724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(25 )</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(194,592 )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(194,592 )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8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57,254,1</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642,633</w:t>
            </w:r>
          </w:p>
        </w:tc>
        <w:tc>
          <w:tcPr>
            <w:tcW w:w="2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(397,636 )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245,561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2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Issuance of common stock from private placement, net of</w:t>
            </w: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3"/>
                <w:szCs w:val="13"/>
                <w:color w:val="auto"/>
              </w:rPr>
              <w:t>2,795,70</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251,977</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costs of $8.0 million</w:t>
            </w:r>
          </w:p>
        </w:tc>
        <w:tc>
          <w:tcPr>
            <w:tcW w:w="10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At-the-Market offering, net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4,907,19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496,574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issuance costs of $14.6 million</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for success payment liability</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349,650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to acquire Guide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1,087,15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1,020,88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auto"/>
            </w:tcBorders>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974,662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(41 )</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(370,638 )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(370,638 )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8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68,389,4</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1,594,37</w:t>
            </w:r>
          </w:p>
        </w:tc>
        <w:tc>
          <w:tcPr>
            <w:tcW w:w="2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(768,274 )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826,738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70,073</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3,075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3,075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At-the-Market offering, net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1,909,10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108,057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108,076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issuance costs of $2.7 million</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Vesting of restricted common stock</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424,303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484,435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(2,380 )</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(2,380 )</w:t>
            </w: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(289,088 )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(289,088 )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8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71,277,3</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1,792,55</w:t>
            </w:r>
          </w:p>
        </w:tc>
        <w:tc>
          <w:tcPr>
            <w:tcW w:w="2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(2,430 )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(1,057,36</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733,474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-2973705</wp:posOffset>
            </wp:positionV>
            <wp:extent cx="76835"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-2973705</wp:posOffset>
            </wp:positionV>
            <wp:extent cx="76835"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-2973705</wp:posOffset>
            </wp:positionV>
            <wp:extent cx="7747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-2973705</wp:posOffset>
            </wp:positionV>
            <wp:extent cx="7747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-2973705</wp:posOffset>
            </wp:positionV>
            <wp:extent cx="6858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-2973705</wp:posOffset>
            </wp:positionV>
            <wp:extent cx="6858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-2973705</wp:posOffset>
            </wp:positionV>
            <wp:extent cx="6858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-1353820</wp:posOffset>
            </wp:positionV>
            <wp:extent cx="76835"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-1353820</wp:posOffset>
            </wp:positionV>
            <wp:extent cx="76835"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-1353820</wp:posOffset>
            </wp:positionV>
            <wp:extent cx="7747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-1353820</wp:posOffset>
            </wp:positionV>
            <wp:extent cx="7747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-1353820</wp:posOffset>
            </wp:positionV>
            <wp:extent cx="6858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-1353820</wp:posOffset>
            </wp:positionV>
            <wp:extent cx="6858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-239395</wp:posOffset>
            </wp:positionV>
            <wp:extent cx="76835"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-239395</wp:posOffset>
            </wp:positionV>
            <wp:extent cx="76835"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-239395</wp:posOffset>
            </wp:positionV>
            <wp:extent cx="77470" cy="240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-239395</wp:posOffset>
            </wp:positionV>
            <wp:extent cx="77470" cy="240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-239395</wp:posOffset>
            </wp:positionV>
            <wp:extent cx="6858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-239395</wp:posOffset>
            </wp:positionV>
            <wp:extent cx="6858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-239395</wp:posOffset>
            </wp:positionV>
            <wp:extent cx="68580" cy="240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(289,088 )</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(370,638 )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(194,592 )</w:t>
            </w:r>
          </w:p>
        </w:tc>
      </w:tr>
      <w:tr>
        <w:trPr>
          <w:trHeight w:val="21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investment discount (premiums)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In-process research and development charge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operating lease right-of-use assets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research and development license expense, net</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63,400</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(5,146 )</w:t>
            </w: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(17,690 )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239"/>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(7,753 )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(5,726 )</w:t>
            </w:r>
          </w:p>
        </w:tc>
      </w:tr>
      <w:tr>
        <w:trPr>
          <w:trHeight w:val="247"/>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(197 )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9"/>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Collaboration receivable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(300,000 )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(35,920 )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(66,268 )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(95,741 )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(48,951 )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(46,811 )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(16,357 )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(1,616,999 )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(777,223 )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(281,612 )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198,596</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acquired from Guide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non-controlling equity investment</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41"/>
        </w:trPr>
        <w:tc>
          <w:tcPr>
            <w:tcW w:w="6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(461,336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(294,144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192,510</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October 2020 public offering, net of underwriting discount</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shares, net of commissions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108,258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757,449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issuances of stock under ESPP</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equity offering costs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(8,816 )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equipment financings</w:t>
            </w:r>
          </w:p>
        </w:tc>
        <w:tc>
          <w:tcPr>
            <w:tcW w:w="32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equipment financings</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(2,118 )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756,141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322,322</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(327,219 )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395,729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126,458</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-3453765</wp:posOffset>
            </wp:positionV>
            <wp:extent cx="7747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-3453765</wp:posOffset>
            </wp:positionV>
            <wp:extent cx="6858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 upon closing of the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public offering</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additions in accounts payable and accrued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Receipt of common stock in exchange for technology license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research and development licenses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issuance costs in accounts payable and accrued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common stock issued to settle success payment liability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liabilities assumed in asset acquisition</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equity instruments issued in connection with asset acquisition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120,032</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Accretion of redeemable convertible preferred stock to redemption value, including dividends</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7"/>
                <w:szCs w:val="17"/>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shd w:val="clear" w:color="auto" w:fill="CFF0FC"/>
          </w:tcPr>
          <w:p>
            <w:pPr>
              <w:spacing w:after="0"/>
              <w:rPr>
                <w:sz w:val="17"/>
                <w:szCs w:val="17"/>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on preferred stock</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contribution of intellectual property to Orbital Therapeutics,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-1757045</wp:posOffset>
            </wp:positionV>
            <wp:extent cx="179133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1791335" cy="2057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-1397000</wp:posOffset>
            </wp:positionV>
            <wp:extent cx="1791335"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1791335" cy="2057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-1036320</wp:posOffset>
            </wp:positionV>
            <wp:extent cx="179133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1791335" cy="2057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-676910</wp:posOffset>
            </wp:positionV>
            <wp:extent cx="1791335"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1791335" cy="20574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-205105</wp:posOffset>
            </wp:positionV>
            <wp:extent cx="1791335"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1791335" cy="20574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February 2021, the Company entered into an Agreement and Plan of Merger, or the Guide Merger Agreement, to acquire Guide Therapeutics, Inc., or Guide. Pursuant to the Guide Merger Agreement, the Company paid Guide’s former stockholders and optionholders upfront consideration in an aggregate amount of $120.0 million, excluding customary purchase price adjustments, in shares of its common stock, based upon the volume-weighted average price of the Company’s common stock over the ten trading-day period ending on February 19, 2021. In addition, Guide’s former stockholders and optionholders are eligible to receive up to an additional $100.0 million in technology milestone payments and $220.0 million in product milestone payments, payable in the Company’s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making arrangements to conduct manufacturing activities with contract manufacturing organizations, research and development costs including preclinical studies and IND-enabling studies, organizing and staffing the Company, maintaining its facilities and new facility build-outs, business planning, raising capital and providing general and administrative support for these operations. The Company is establishing internal manufacturing capabilities.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2020, the Company completed its initial public offering, or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the IPO, all outstanding shares of the Company’s redeemable convertible preferred stock converted into 29,127,523 shares of its common stock.</w:t>
      </w:r>
    </w:p>
    <w:p>
      <w:pPr>
        <w:spacing w:after="0" w:line="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January 16, 2021, the Company entered into a Securities Purchase Agreement with certain purchasers, pursuant to which the Company agreed to sell and issue to the purchasers, in a private placement, shares of common stock of the Company. The closing of the private placement occurred on January 21, 2021. The Company issued and sold 2,795,700 shares of its common stock at a purchase price of $93.00 per share for aggregate gross proceeds of $260.0 million, before deducting fees to the placement agents and other offering expenses payable by the Company (See Note 12, </w:t>
      </w:r>
      <w:r>
        <w:rPr>
          <w:rFonts w:ascii="Times New Roman" w:cs="Times New Roman" w:eastAsia="Times New Roman" w:hAnsi="Times New Roman"/>
          <w:sz w:val="18"/>
          <w:szCs w:val="18"/>
          <w:i w:val="1"/>
          <w:iCs w:val="1"/>
          <w:color w:val="auto"/>
        </w:rPr>
        <w:t>Preferred stock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i w:val="1"/>
          <w:iCs w:val="1"/>
          <w:color w:val="auto"/>
        </w:rPr>
        <w:t>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The Company received approximately $252.0 million in net proceeds after deducting fees to the placement agents and offering expenses payable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April 2021, the Company entered into an at the market, or ATM, sales agreement, or the Sales Agreement, with Jefferies LLC, or Jefferies, pursuant to which the Company was entitled to offer and sell, from time to time at prevailing market prices, shares of the Company’s common stock having aggregate gross proceeds of up to $300.0 million. The Company agreed to pay Jefferies a commission of up to 3.0% of the aggregate gross sale proceeds of any shares sold by Jefferies under the Sales Agreement. Between April and July 2021, the Company has sold 2,908,009 shares of its common stock under the Sales Agreement at an average price of $103.16 per share for aggregate gross proceeds of $300.0 million, before deducting commissions and offering expenses payable by the Company.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p>
      <w:pPr>
        <w:ind w:right="120"/>
        <w:spacing w:after="0" w:line="258" w:lineRule="auto"/>
        <w:rPr>
          <w:sz w:val="20"/>
          <w:szCs w:val="20"/>
          <w:color w:val="auto"/>
        </w:rPr>
      </w:pPr>
      <w:r>
        <w:rPr>
          <w:rFonts w:ascii="Times New Roman" w:cs="Times New Roman" w:eastAsia="Times New Roman" w:hAnsi="Times New Roman"/>
          <w:sz w:val="18"/>
          <w:szCs w:val="18"/>
          <w:color w:val="auto"/>
        </w:rPr>
        <w:t>In July 2021, the Company and Jefferies entered into an amendment to the Sales Agreement to provide for an increase in the aggregate offering amount under the Sales Agreement, such that as of July 7, 2021, the Company may offer and sell shares of common stock having an aggregate offering price of an additional $500.0 million. As of December 31, 2022, the Company has sold 3,908,289 additional shares of its common stock under the amended Sales Agreement at an average price of $82.38 per share for aggregate gross proceeds of $322.0 million, before deducting commissions and offering expenses payable by the Company, resulting in an aggregate of $622.0 million in gross proceeds received under the Sales Agreement as of December 31, 2022.</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which is focused on the use of certain of its base editing technology to discover new treatments for complement system-driven diseases. Pursuant to the Apellis Agreement, the Company received an upfront payment of $50.0 million in July 2021 and was eligible to receive an additional $25.0 million payment on the one-year anniversary of the effective date of the Apellis Agreement, or the First Anniversary Payment. In June 2022, the Company received the $25.0 million First Anniversary Payment.</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 October 2021, the Company entered into an option and license agreement, or the Sana Agreement, with Sana Biotechnology, Inc., or Sana, pursuant to which the Company granted Sana non-exclusive commercial rights to its CRISPR Cas12b nuclease system for certain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engineered cell therapy programs. Pursuant to this agreement, the Company received an upfront payment of $50.0 million in October 2021.</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or the Pfizer Agreement, with Pfizer Inc., or Pfizer, which is focused on in vivo base editing programs for three targets for rare genetic diseases of the liver, muscle and central nervous system. Under the terms of the Pfizer Agreement, the Company will conduct all research activities through development candidate selection for three undisclosed targets, which are not included in its existing programs. Pursuant to the Pfizer Agreement, the Company received an upfront payment of $300.0 million in January 2022.</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an accumulated deficit of $1.1 billion as of December 31, 2022. The Company expects to generate operating losses and negative operating cash flows for the foreseeable future.</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December 31, 2022 of $1.1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COVID-19-related significant risks and uncertainties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COVID-19 pandemic did not significantly impact the Company’s business or results of operations during the year ended December 31, 2022, the extent to which the COVID-19 pandemic or any other public health emergency impacts the Company’s business, its corporate development objectives, results of operations and financial condition in future periods will depend on developments that are uncertain. Disruptions to the global economy and supply chain, disruption of global healthcare systems, and other significant impacts of the COVID-19 pandemic or other health emergencies could have a material adverse effect on the Company’s business, financial condition, results of operations and growth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operations of the Company and its wholly-owned subsidiaries. All intercompany transactions and balances have been eliminated in consolidation.</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September 2021, the Company's wholly-owned subsidiary Blink Therapeutics Inc., or Blink, merged with and into Beam, such that Blink’s separate corporate existence ceased and Beam Therapeutics Inc. continued as the surviving corporation.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research and development expenses, the fair values of common stock, stock-based compensation, contingent consideration liabilities, success payments and certain judgments regarding revenue recognition. Actual results could differ from these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and manufacturing facilities.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559,994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162,171</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20"/>
                <w:szCs w:val="20"/>
                <w:color w:val="auto"/>
              </w:rPr>
            </w:pPr>
          </w:p>
        </w:tc>
      </w:tr>
      <w:tr>
        <w:trPr>
          <w:trHeight w:val="277"/>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572,740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when purchased of greater than three months as available-for-sale. Available-for-sale securities are maintained by the Company’s investment managers and consist of commercial paper, high-grade corporate notes, U.S. Treasury securities and government securities.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interest and other income (expense),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equity securities</w:t>
      </w:r>
    </w:p>
    <w:p>
      <w:pPr>
        <w:spacing w:after="0" w:line="12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Company classifies investments in equity securities that have a readily determinable fair value as marketable securities in the Company's consolidated balance sheets. The Company’s marketable securities are stated at fair value. Typically, the fair value of these securities is based on a quoted price for an identical equity security. The Company held an investment in privately issued corporate equity securities, which were accounted for as investments in equity securities. This investment did not have a readily determinable fair value and the Company valued the investment based on the cost of the equity securities adjusted for observable market transactions or impairments, if any, and records any changes in value through earnings. The Company records changes in the fair value of its equity securities in other income (expense), net in its consolidated statements of operations and other comprehensive loss.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as defined the Company.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For the twelve months ended December 31, 2022, 2021 and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 costs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as a reduction of additional paid-in-capital generated as a result of the offerings. As of December 31, 2022 and 2021, there were no deferred offering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17"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54" w:lineRule="exact"/>
        <w:rPr>
          <w:sz w:val="20"/>
          <w:szCs w:val="20"/>
          <w:color w:val="auto"/>
        </w:rPr>
      </w:pPr>
    </w:p>
    <w:p>
      <w:pPr>
        <w:ind w:left="760" w:right="140"/>
        <w:spacing w:after="0" w:line="282" w:lineRule="auto"/>
        <w:rPr>
          <w:sz w:val="20"/>
          <w:szCs w:val="20"/>
          <w:color w:val="auto"/>
        </w:rPr>
      </w:pPr>
      <w:r>
        <w:rPr>
          <w:rFonts w:ascii="Times New Roman" w:cs="Times New Roman" w:eastAsia="Times New Roman" w:hAnsi="Times New Roman"/>
          <w:sz w:val="18"/>
          <w:szCs w:val="18"/>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years ended December 31, 2022 and 2021. The Company evaluates transfers between levels at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20" w:type="dxa"/>
            <w:vAlign w:val="bottom"/>
          </w:tcPr>
          <w:p>
            <w:pPr>
              <w:spacing w:after="0"/>
              <w:rPr>
                <w:sz w:val="16"/>
                <w:szCs w:val="16"/>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 and office furniture</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useful life or remaining term</w:t>
            </w:r>
          </w:p>
        </w:tc>
      </w:tr>
    </w:tbl>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interest and other income (expense). Expenditures for repairs and maintenance are charged to expense as incurred.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operating lease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2022, 2021 and 2020.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Freestanding financial instruments and derivatives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Pursuant to a license agreement between the President and Fellows of Harvard College, or Harvard, and the Company, or the Harvard License Agreement, and a license agreement with The Broad Institute, Inc., or Broad Institute, and the Company, or the Broad License Agreement, (see Note 10, </w:t>
      </w:r>
      <w:r>
        <w:rPr>
          <w:rFonts w:ascii="Times New Roman" w:cs="Times New Roman" w:eastAsia="Times New Roman" w:hAnsi="Times New Roman"/>
          <w:sz w:val="18"/>
          <w:szCs w:val="18"/>
          <w:i w:val="1"/>
          <w:i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the Company is required to make success payments to Harvard and Broad Institute based the achievement of specified multiples of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weighted average value of the Company’s redeemable convertible Series A-1 Preferred Stock and the Company’s redeemable convertible Series A-2 Preferred Stock, or together the Series A Preferred, at specified valuation dates, payable in cash or Company common stock. Subsequent to the IPO, the amount of the success payments is based on the market value of Beam’s common stock. The success payments are accounted for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and were initially recorded at fair value with a corresponding charge to research and development expense. The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marked to market at each balance sheet date with all changes in value recognized in other income (expense), in the consolidated statement of operations and other comprehensive loss. The Company will continue to adjust the liability for changes in fair value until the earlier of the achievement or expiration of the success payment obligation.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rent expense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5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a lease arrangement. It also considers termination options and factors those into the determination of lease payments. Options to renew a lease are not included in the assessment unless there is reasonable certainty that the Company will renew.</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lease payments is recognized on a straight-line basis over the lease term.</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 and costs associated are capitalized.</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acquisition, the Company determines if a transaction should be accounted for as a business combination or acquisition of assets.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be required to make milestone payments to the former stockholders and optionholders of Guide in the form of its common stock based on the achievement of certain product and technology milestones. The payments are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estimated fair value is determined based on probability adjusted discounted cash flow model that include significant estimates and assumptions pertaining to technology and product development. Significant changes in any of the probabilities of success or in the probabilities as to the periods in which milestones would be achieved would result in a significantly higher or lower fair value measurement. The Company will continue to adjust the liabilities for changes in fair value until the earlier of the achievement or expiration of the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the Company’s license and collaboration agreements in Note 11,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the Company’s license and collaboration agreements in Note 11,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9" w:name="page160"/>
    <w:bookmarkEnd w:id="159"/>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Determining the revenue recognition of IP licenses requires significant judgment and is discussed in further detail for each of the Company’s license and collaboration agreements in Note 11,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the Company has not recognized any milestone revenue resulting from any of its agreements.</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the Company has received payment, but it has not yet satisfied the related performance obligations. Upfront payments and fees are recorded as deferred revenue upon receipt or when due and may require deferral of revenue recognition to a future period until the Company satisfies its obligations under these arrangements.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The cost of obtaining licenses for certain technology or IP is recorded to research and development expense when incurred if the licensed technology or IP has not yet reached technological feasibility and has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ASC 718 requires all stock-based payments to employees, non-employees and directors to be recognized as expense in the consolidated statements of operations and other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(i) the expected stock price volatility, (ii) the expected term of the award, (iii) the risk-free interest rate, and (iv) expected dividends. The Company bases its computation of expected volatility on the historical volatility of a representative group of public companies with similar characteristics to the Company, including stage of product development and life science industry focus, weighted with its own volatility for the period in which its stock has been publicly traded. The historical volatility is calculated based on a period of time commensurate with expected term assumption.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stockholders’ deficit which includes certain changes in equity that are excluded from net loss. The Company’s only element of other comprehensive loss is unrealized gains and losses on marketable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the dilutive net loss per share calculation, stock options and stock units for which the performance and market vesting conditions have been deemed probable, potential dilutive securities, which include redeemable convertible preferred stock, unvested restricted stock, and common stock options are considered to be common stock equivalents, while stock options and stock units with performance- or market-based vesting conditions that were not deemed probable are not considered to be common stock equivalents.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redeemable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2022, 2021 and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circumstances where the Company has the ability to exercise significant influence, but not control, over the operating and financial policies of an entity in which the Company has an investment in common stock or in-substance common stock, the Company utilizes the equity method of accounting for recording related investment activity. In assessing whether the Company exercises significant influence, the Company considers the nature and magnitude of the investment, participating rights the Company holds, and relevant factors such as the presence of a collaborative or other business relationship.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equity method of accounting, the Company’s investments are initially recorded at cost on the consolidated balance sheets. Upon recording an equity method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or liability's estimated useful lives when calculating the attributable earnings or losses, excluding the basis differences attributable to in-process research and development, or IPR&amp;D, that has no alternative future use. To the extent a basis difference relates to IPR&amp;D and the investee is not a business as defined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the Company immediately expenses such basis difference related to IPR&amp;D. If the Company is unable to attribute all of the basis difference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consolidated statements of operations and comprehensive loss its share of income or loss of the other entity within the loss from equity method investment line item. If the share of losses exceeds the carrying value of the Company’s investment, the Company will suspend recognizing additional losses and will continue to do so unless it commits to providing additional funding or commits to guarantee investee liabilities.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2" w:name="page163"/>
    <w:bookmarkEnd w:id="16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the carrying amounts of such investments may be impaired and considers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w:t>
      </w:r>
    </w:p>
    <w:p>
      <w:pPr>
        <w:spacing w:after="0" w:line="72" w:lineRule="exact"/>
        <w:rPr>
          <w:sz w:val="20"/>
          <w:szCs w:val="20"/>
          <w:color w:val="auto"/>
        </w:rPr>
      </w:pPr>
    </w:p>
    <w:p>
      <w:pPr>
        <w:ind w:right="340"/>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2022, the Company accounted for its investment in Orbital under the equity method of accounting. Refer to Note 8 for further details. </w:t>
      </w:r>
      <w:r>
        <w:rPr>
          <w:rFonts w:ascii="Times New Roman" w:cs="Times New Roman" w:eastAsia="Times New Roman" w:hAnsi="Times New Roman"/>
          <w:sz w:val="18"/>
          <w:szCs w:val="18"/>
          <w:b w:val="1"/>
          <w:bCs w:val="1"/>
          <w:i w:val="1"/>
          <w:iCs w:val="1"/>
          <w:color w:val="auto"/>
        </w:rPr>
        <w:t>Segment and geographic information</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which clarifies the guidance of measuring the fair value of equity securities subject to contractual restrictions that prohibit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The ASU amends ASC 820 to clarify that a contractual sales restriction is not considered in measuring an equity security at fair value and to introduce new disclosure requirements for equity securities subject to contractual sale restrictions that are measured at fair value. The ASU applies to both holders and issuers of equity and equity-linked securities measured at fair value. The amendments in this ASU are effective for the Company in fiscal years beginning after December 15, 2023, and interim periods within those fiscal years. Early adoption is permitted for both interim and annual financial statements that have not yet been issued or made available for issuance. The Company early adopted this standard in the fourth quarter of 2022. This new accounting standard was applicable to the Company's accounting for its investment in certain equity securities remeasured at fair value. The adoption of this standard did not have a material impact on the Company's consolidated financial statements.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(30,170 )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(16,081 )</w:t>
            </w:r>
          </w:p>
        </w:tc>
        <w:tc>
          <w:tcPr>
            <w:tcW w:w="0" w:type="dxa"/>
            <w:vAlign w:val="bottom"/>
          </w:tcPr>
          <w:p>
            <w:pPr>
              <w:spacing w:after="0"/>
              <w:rPr>
                <w:sz w:val="1"/>
                <w:szCs w:val="1"/>
                <w:color w:val="auto"/>
              </w:rPr>
            </w:pPr>
          </w:p>
        </w:tc>
      </w:tr>
      <w:tr>
        <w:trPr>
          <w:trHeight w:val="234"/>
        </w:trPr>
        <w:tc>
          <w:tcPr>
            <w:tcW w:w="5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520" w:type="dxa"/>
            <w:vAlign w:val="bottom"/>
            <w:tcBorders>
              <w:top w:val="single" w:sz="8" w:color="CFF0FC"/>
            </w:tcBorders>
            <w:gridSpan w:val="2"/>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115,620</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depreciation expense incurred (in thousands):</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-1182370</wp:posOffset>
            </wp:positionV>
            <wp:extent cx="68580" cy="16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-864870</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cash equivalents, marketable securities, equity securities of Verve Therapeutics, Inc, or Verve, and Prime Medicine, Inc., or Prime, contingent consideration liabilities related to the Guide Merger Agreement and success payment derivative liabilities pursuant to the Harvard and Broad License Agreements.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2022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378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218,794</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 included in marketable securities: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1,078,134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1,078,134</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259,261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818,873</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3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2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F-20</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-1499235</wp:posOffset>
            </wp:positionV>
            <wp:extent cx="366014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3660140" cy="17970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-548005</wp:posOffset>
            </wp:positionV>
            <wp:extent cx="7747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-548005</wp:posOffset>
            </wp:positionV>
            <wp:extent cx="76835"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-548005</wp:posOffset>
            </wp:positionV>
            <wp:extent cx="6858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6858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4" w:name="page165"/>
    <w:bookmarkEnd w:id="164"/>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2021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378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540,094</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540,094</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540,094</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securities included in marketable securities: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965,647</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965,647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560,261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405,386</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3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2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-1139190</wp:posOffset>
            </wp:positionV>
            <wp:extent cx="366014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3660140" cy="17970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7747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768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 Money market funds included within cash equivalents are classified within Level 1 of the fair value hierarchy because they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6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 Marketable securities, excluding corporate equity securities, are classified within Level 2 of the fair value hierarchy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held an investment in Verve consisting of shares of Verve’s common and preferred stock. Prior to Verve's initial public offering in June 2021, the Company valued such investment based on the cost of the equity securities adjusted for any observable market transactions. Following Verve's initial public offering, the equity securities have a readily determinable fair value. As of December 31, 2022, the Company owned 546,970 shares of Verve's common stock, the value of which is included in marketable securities in the consolidated balance sheet. The Company recorded the investment at fair value of $10.6 million as of December 31, 2022 and recognized $9.6 million of other expense during the twelve months ended December 31, 2022 associated with changes in the fair value of Verve's common stock.</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October 2022, Prime completed an initial public offering of its common stock. In connection with Prime's initial public offering, Prime effected a one-for-3.1088 reverse stock split. As of December 31, 2022 the Company owned 1,608,337 shares of Prime's common stock valued at $29.9 million as of December 31, 2022 and recognized $29.8 million of other income during the twelve months ended December 31, 2022 associated with changes in the fair value of Prime's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incurred due to changes in the fair value of corporate equity securities held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20,200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20"/>
                <w:szCs w:val="20"/>
                <w:color w:val="auto"/>
              </w:rPr>
            </w:pPr>
          </w:p>
        </w:tc>
      </w:tr>
    </w:tbl>
    <w:p>
      <w:pPr>
        <w:spacing w:after="0" w:line="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Pursuant to ASU No.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the Company records changes in the fair value of its investments in equity securities to other income (expense), in the Company’s 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5" w:name="page166"/>
    <w:bookmarkEnd w:id="165"/>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 Liability </w:t>
      </w:r>
      <w:r>
        <w:rPr>
          <w:rFonts w:ascii="Times New Roman" w:cs="Times New Roman" w:eastAsia="Times New Roman" w:hAnsi="Times New Roman"/>
          <w:sz w:val="18"/>
          <w:szCs w:val="18"/>
          <w:color w:val="auto"/>
        </w:rPr>
        <w:t>– As discussed further in Note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the Company is required to make payments to Harvard and Broad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 based upon the achievement of specified multiples of the initial weighted average value of the Company’s Series A Preferred or, subsequent to the IPO, the market value of the Company's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Harvard and Broad Institute success payment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Broad Institute</w:t>
            </w:r>
          </w:p>
        </w:tc>
      </w:tr>
      <w:tr>
        <w:trPr>
          <w:trHeight w:val="131"/>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2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0.08-6.49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0.10-7.49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0.08-7.36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0.10-8.36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9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the Company's historical volatility along with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success payment liabilities based on Level 3 inputs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300" w:type="dxa"/>
            <w:vAlign w:val="bottom"/>
          </w:tcPr>
          <w:p>
            <w:pPr>
              <w:spacing w:after="0"/>
              <w:rPr>
                <w:sz w:val="16"/>
                <w:szCs w:val="16"/>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Broad</w:t>
            </w:r>
          </w:p>
        </w:tc>
        <w:tc>
          <w:tcPr>
            <w:tcW w:w="320" w:type="dxa"/>
            <w:vAlign w:val="bottom"/>
          </w:tcPr>
          <w:p>
            <w:pPr>
              <w:spacing w:after="0"/>
              <w:rPr>
                <w:sz w:val="16"/>
                <w:szCs w:val="16"/>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00" w:type="dxa"/>
            <w:vAlign w:val="bottom"/>
          </w:tcPr>
          <w:p>
            <w:pPr>
              <w:spacing w:after="0"/>
              <w:rPr>
                <w:sz w:val="19"/>
                <w:szCs w:val="19"/>
                <w:color w:val="auto"/>
              </w:rPr>
            </w:pPr>
          </w:p>
        </w:tc>
      </w:tr>
      <w:tr>
        <w:trPr>
          <w:trHeight w:val="252"/>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(15,000 )</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(15,000 )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(30,000 )</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41"/>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(12,000 )</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(11,900 )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(23,900 )</w:t>
            </w:r>
          </w:p>
        </w:tc>
      </w:tr>
      <w:tr>
        <w:trPr>
          <w:trHeight w:val="277"/>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Contingent consideration liabilities </w:t>
      </w:r>
      <w:r>
        <w:rPr>
          <w:rFonts w:ascii="Times New Roman" w:cs="Times New Roman" w:eastAsia="Times New Roman" w:hAnsi="Times New Roman"/>
          <w:sz w:val="18"/>
          <w:szCs w:val="18"/>
          <w:color w:val="auto"/>
        </w:rPr>
        <w:t>– As discussed further in Note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Guide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cquisition</w:t>
      </w:r>
      <w:r>
        <w:rPr>
          <w:rFonts w:ascii="Times New Roman" w:cs="Times New Roman" w:eastAsia="Times New Roman" w:hAnsi="Times New Roman"/>
          <w:sz w:val="18"/>
          <w:szCs w:val="18"/>
          <w:color w:val="auto"/>
        </w:rPr>
        <w:t>, under the Guide Merger Agreement, Guide’s former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optionholders are eligible to receive up to an additional $100.0 million in technology milestone payments and $220.0 million in product milestone payments, payable in the Company’s common stock valued using the volume-weighted average price of the Company’s stock over the ten-day trading period ending two trading days prior to the date on which the applicable milestone is achieved. As these milestones are payable in the Company’s common stock, the milestone payments result in liability classification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contingent consideration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1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Technology Milestones</w:t>
            </w:r>
          </w:p>
        </w:tc>
        <w:tc>
          <w:tcPr>
            <w:tcW w:w="30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Product Milestones</w:t>
            </w:r>
          </w:p>
        </w:tc>
      </w:tr>
      <w:tr>
        <w:trPr>
          <w:trHeight w:val="131"/>
        </w:trPr>
        <w:tc>
          <w:tcPr>
            <w:tcW w:w="5080" w:type="dxa"/>
            <w:vAlign w:val="bottom"/>
          </w:tcPr>
          <w:p>
            <w:pPr>
              <w:spacing w:after="0"/>
              <w:rPr>
                <w:sz w:val="11"/>
                <w:szCs w:val="11"/>
                <w:color w:val="auto"/>
              </w:rPr>
            </w:pPr>
          </w:p>
        </w:tc>
        <w:tc>
          <w:tcPr>
            <w:tcW w:w="1720" w:type="dxa"/>
            <w:vAlign w:val="bottom"/>
            <w:tcBorders>
              <w:top w:val="single" w:sz="8" w:color="auto"/>
            </w:tcBorders>
            <w:gridSpan w:val="3"/>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top w:val="single" w:sz="8" w:color="auto"/>
            </w:tcBorders>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700" w:type="dxa"/>
            <w:vAlign w:val="bottom"/>
            <w:tcBorders>
              <w:top w:val="single" w:sz="8" w:color="auto"/>
            </w:tcBorders>
            <w:gridSpan w:val="3"/>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top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5080" w:type="dxa"/>
            <w:vAlign w:val="bottom"/>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Year of Achievement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2024-2025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2022-2023</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2025-2030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2023-2029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contingent consideration liabilities based on level 3 inputs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5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 Milestones</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7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24,359</w:t>
            </w:r>
          </w:p>
        </w:tc>
        <w:tc>
          <w:tcPr>
            <w:tcW w:w="24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(18,334 )</w:t>
            </w:r>
          </w:p>
        </w:tc>
        <w:tc>
          <w:tcPr>
            <w:tcW w:w="5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(18,904 )</w:t>
            </w:r>
          </w:p>
        </w:tc>
        <w:tc>
          <w:tcPr>
            <w:tcW w:w="0" w:type="dxa"/>
            <w:vAlign w:val="bottom"/>
          </w:tcPr>
          <w:p>
            <w:pPr>
              <w:spacing w:after="0"/>
              <w:rPr>
                <w:sz w:val="1"/>
                <w:szCs w:val="1"/>
                <w:color w:val="auto"/>
              </w:rPr>
            </w:pPr>
          </w:p>
        </w:tc>
      </w:tr>
      <w:tr>
        <w:trPr>
          <w:trHeight w:val="277"/>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7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76"/>
        </w:trPr>
        <w:tc>
          <w:tcPr>
            <w:tcW w:w="3840" w:type="dxa"/>
            <w:vAlign w:val="bottom"/>
          </w:tcPr>
          <w:p>
            <w:pPr>
              <w:spacing w:after="0"/>
              <w:rPr>
                <w:sz w:val="24"/>
                <w:szCs w:val="24"/>
                <w:color w:val="auto"/>
              </w:rPr>
            </w:pPr>
          </w:p>
        </w:tc>
        <w:tc>
          <w:tcPr>
            <w:tcW w:w="29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F-22</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-676275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-659765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-676275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-659765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2022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4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578,813</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577,728</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0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19,033</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18,996</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146,270</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145,312</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63,214</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62,864</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40,467</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40,467</w:t>
            </w: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847,797</w:t>
            </w:r>
          </w:p>
        </w:tc>
        <w:tc>
          <w:tcPr>
            <w:tcW w:w="1080" w:type="dxa"/>
            <w:vAlign w:val="bottom"/>
            <w:gridSpan w:val="2"/>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845,367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-187960</wp:posOffset>
            </wp:positionV>
            <wp:extent cx="85725"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76835"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76835"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94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368,778</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368,743</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0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16,758</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20,167</w:t>
            </w: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405,703</w:t>
            </w:r>
          </w:p>
        </w:tc>
        <w:tc>
          <w:tcPr>
            <w:tcW w:w="1080" w:type="dxa"/>
            <w:vAlign w:val="bottom"/>
            <w:gridSpan w:val="2"/>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405,653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-187960</wp:posOffset>
            </wp:positionV>
            <wp:extent cx="8572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76835"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76835"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7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At December 31, 2022, the balance in accumulated other comprehensive (loss) income was comprised solely of activity related to marketable securities. There were no realized gains or losses recognized on the sale or maturity of marketable securities for the years ended December 31, 2022, 2021 and 2020 and, as a result, the Company did not reclassify any amounts out of accumulated other comprehensive (loss) income for the same periods.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Process development and manufacturing costs</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costs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received correspondence from a research institution regarding a confidentiality agreement between such institution and the Company. The confidentiality agreement related to certain technology that the Company evaluated for development in connection with certain of its programs. The correspondence alleges that the Company breached the terms of the confidentiality agreement, misappropriated trade secret and other confidential information of such institution, engaged in unfair and deceptive trade practices, and was unjustly enriched in connection with developing its therapeutics, including BEAM-102 and the Company’s Alpha-1 Antitrypsin Deficiency therapeutic candidate (which the Company now refers to as BEAM-302). The research institution claims that it is entitled to monetary damages (including damages for the apportioned value of the Company and enhanced damages for an alleged willful violation) and certain ongoing royalty and/or milestone payments related to the technology that is the subject of the alleged breaches of contract, among other possible remedies.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has accrued a $3.4 million liability equal to an amount the Company offered to resolve the dispute. The settlement proposal was rejected by the research institution. No complaint has been filed, and the Company continues to discuss the matter with the research institution. Although it may do so, the Company has not determined to make a further offer and believes that it is unable at this time to provide any estimate of a reasonably possible loss in excess of the amount offered. The ultimate resolution of this matter could result in an outcome that is materially different from the amount accrued as of December 31,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are as follows:</w:t>
      </w:r>
    </w:p>
    <w:p>
      <w:pPr>
        <w:spacing w:after="0" w:line="117" w:lineRule="exact"/>
        <w:rPr>
          <w:sz w:val="20"/>
          <w:szCs w:val="20"/>
          <w:color w:val="auto"/>
        </w:rPr>
      </w:pPr>
    </w:p>
    <w:p>
      <w:pPr>
        <w:ind w:left="1020" w:right="100" w:hanging="503"/>
        <w:spacing w:after="0" w:line="266"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February 2018 lease for 38,203 square feet of office and laboratory space, which commenced in March 2018 and terminates in September 2028. The lease is subject to fixed-rate rent escalations and provided for $6.1 million in tenant improvements and a term extension option, which is not reasonably certain of exercise.</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October 2018 lease for laboratory space as amended, which commenced in April 2019 and terminates in December 2025. The amended lease is subject to fixed-rate rent escalations and provides an option to extend the lease for two additional two-year periods through December 31, 2029, which are not reasonably certain of being exercised. Through December 31, 2022, the Company has recorded ROU assets and lease liabilities of $14.1 million and $14.0 million related to this lease.</w:t>
      </w:r>
    </w:p>
    <w:p>
      <w:pPr>
        <w:spacing w:after="0" w:line="71"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April 2019 lease for office and laboratory space that was built over the course of 2020 and 2021. Pursuant to the terms of the original lease agreement, the first phase of the lease commenced in October 2020 (rent payments for the first phase began in August 2021) and the second phase of the lease commenced in January 2021 (rent payments for the second phase began in February 2022). The lease is subject to fixed-rate rent escalations and provides for $23.4 million in tenant improvements and the option to extend the lease for two terms of five years each, which are not reasonably certain of exercise. The Company determined that it is the accounting owner of all tenant improvements. The Company maintains a security deposit of $9.7 million in the form of a letter of credit, which is included in restricted cash as of December 31, 2022 and 2021. Upon commencement of the first phase of this lease in October 2020, the Company recorded an operating lease ROU asset of $66.8 million and a lease liability of $68.8 million and upon commencement of the second phase of this lease in January 2021, the Company recorded an operating lease ROU asset of $22.0 million and a corresponding lease liability of $23.0 million. Subsequently, during the second quarter of 2021, the Company amended the rent commencement dates of the first and second phases of this lease. Pursuant to the terms of the amendment, the lease will terminate in February 2034, which is 12 years from the amended second phase rent commencement date. As a result, the Company recorded an increase in the ROU asset of $0.5 million and lease liability of $0.5 million.</w:t>
      </w:r>
    </w:p>
    <w:p>
      <w:pPr>
        <w:spacing w:after="0" w:line="81" w:lineRule="exact"/>
        <w:rPr>
          <w:rFonts w:ascii="Times New Roman" w:cs="Times New Roman" w:eastAsia="Times New Roman" w:hAnsi="Times New Roman"/>
          <w:sz w:val="18"/>
          <w:szCs w:val="18"/>
          <w:color w:val="auto"/>
        </w:rPr>
      </w:pPr>
    </w:p>
    <w:p>
      <w:pPr>
        <w:ind w:left="1020" w:right="20" w:hanging="503"/>
        <w:spacing w:after="0" w:line="253"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August 2020 lease for a 100,000 square foot manufacturing facility in Research Triangle Park, North Carolina. Construction of the manufacturing facility began in 2020 and the Company began making rent payments in the fourth quarter of 2022. The lease will terminate 15 years from the rent commencement date, December 2022. The lease is subject to fixed-rate rent escalations and provides for $20.0 million in tenant improvements and the option to extend the lease for two terms of five years each, which were not reasonably certain of exercise as of December 31, 2022. The Company determined that it is the accounting owner of all tenant improvements under the lease. Upon executing the lease in August 2020, the Company made a security deposit of $1.5 million in the form of a letter of credit, which is included in restricted cash as of December 31, 2022 and 2021. Upon commencement of this lease in June 2022, the Company recorded an operating lease ROU asset of $13.6 million and a lease liability of $30.4 million. The variance between the ROU asset and lease liability recorded relates to $16.8 million of tenant improvement allowance completed through the lease commencement date. The $16.8 million of tenant improvement allowance is presented as an operating cash inflow and investing cash outflow within the Company’s consolidated statements of cash flows. The rent payments are subject to adjustment following the determination of the total project costs of the landlord and represent in substance fixed payments that are included in the total future minimum lease payments. During the fourth quarter of 2022, the Company substantially completed construction of the manufacturing facility.</w:t>
      </w:r>
    </w:p>
    <w:p>
      <w:pPr>
        <w:spacing w:after="0" w:line="79" w:lineRule="exact"/>
        <w:rPr>
          <w:rFonts w:ascii="Times New Roman" w:cs="Times New Roman" w:eastAsia="Times New Roman" w:hAnsi="Times New Roman"/>
          <w:sz w:val="18"/>
          <w:szCs w:val="18"/>
          <w:color w:val="auto"/>
        </w:rPr>
      </w:pPr>
    </w:p>
    <w:p>
      <w:pPr>
        <w:ind w:left="1020" w:right="80" w:hanging="503"/>
        <w:spacing w:after="0" w:line="272" w:lineRule="auto"/>
        <w:tabs>
          <w:tab w:leader="none" w:pos="10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2021, the Company executed a lease amendment to its April 2019 lease for office and laboratory space in Cambridge, Massachusetts to occupy additional space. The term of this lease runs concurrent with the term of the April 2019 lease through February 2034. The lease is subject to fixed-rate rent escalations and provides for $1.6 million in tenant improvements. The Company determined that</w:t>
      </w:r>
    </w:p>
    <w:p>
      <w:pPr>
        <w:spacing w:after="0" w:line="2" w:lineRule="exact"/>
        <w:rPr>
          <w:sz w:val="20"/>
          <w:szCs w:val="20"/>
          <w:color w:val="auto"/>
        </w:rPr>
      </w:pPr>
    </w:p>
    <w:p>
      <w:pPr>
        <w:ind w:left="1020" w:right="460"/>
        <w:spacing w:after="0" w:line="250" w:lineRule="auto"/>
        <w:rPr>
          <w:sz w:val="20"/>
          <w:szCs w:val="20"/>
          <w:color w:val="auto"/>
        </w:rPr>
      </w:pPr>
      <w:r>
        <w:rPr>
          <w:rFonts w:ascii="Times New Roman" w:cs="Times New Roman" w:eastAsia="Times New Roman" w:hAnsi="Times New Roman"/>
          <w:sz w:val="18"/>
          <w:szCs w:val="18"/>
          <w:color w:val="auto"/>
        </w:rPr>
        <w:t>it is the accounting owner of all tenant improvements. Upon commencement of this lease in December 2022, the Company recorded an operating lease ROU asset and lease liability of $5.4 million for this lease in the consolidated balance sheet.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auto"/>
        </w:rPr>
        <w:t>The Company identified and assessed the following estimates in recognizing the operating lease right-of-use asset and corresponding liability:</w:t>
      </w:r>
    </w:p>
    <w:p>
      <w:pPr>
        <w:spacing w:after="0" w:line="117" w:lineRule="exact"/>
        <w:rPr>
          <w:sz w:val="20"/>
          <w:szCs w:val="20"/>
          <w:color w:val="auto"/>
        </w:rPr>
      </w:pPr>
    </w:p>
    <w:p>
      <w:pPr>
        <w:ind w:left="1020" w:right="140" w:hanging="503"/>
        <w:spacing w:after="0" w:line="266"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lease term: The expected lease term includes noncancelable lease periods and, when applicable, periods covered by an option to extend the lease if the Company is reasonably certain to exercise that option, as well as periods covered by an option to terminate the lease if the Company is reasonably certain not to exercise that option.</w:t>
      </w:r>
    </w:p>
    <w:p>
      <w:pPr>
        <w:spacing w:after="0" w:line="67"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Incremental borrowing rate: As the discount rates in the Company’s lease are not implicit, management estimated the incremental borrowing rate based on the rate of interest the Company would have to pay to borrow a similar amount on a collateralized basis over a similar term.</w:t>
      </w:r>
    </w:p>
    <w:p>
      <w:pPr>
        <w:spacing w:after="0" w:line="31" w:lineRule="exact"/>
        <w:rPr>
          <w:rFonts w:ascii="Times New Roman" w:cs="Times New Roman" w:eastAsia="Times New Roman" w:hAnsi="Times New Roman"/>
          <w:sz w:val="17"/>
          <w:szCs w:val="17"/>
          <w:color w:val="auto"/>
        </w:rPr>
      </w:pPr>
    </w:p>
    <w:p>
      <w:pPr>
        <w:ind w:left="1020" w:right="160" w:hanging="503"/>
        <w:spacing w:after="0" w:line="261"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and non-lease components: 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lease costs as well as sublease income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67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19,536</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8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8"/>
              </w:rPr>
              <w:t>(1,319 )</w:t>
            </w:r>
          </w:p>
        </w:tc>
        <w:tc>
          <w:tcPr>
            <w:tcW w:w="120" w:type="dxa"/>
            <w:vAlign w:val="bottom"/>
          </w:tcPr>
          <w:p>
            <w:pPr>
              <w:spacing w:after="0"/>
              <w:rPr>
                <w:sz w:val="20"/>
                <w:szCs w:val="20"/>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76"/>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22,888</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1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discount rate for operating leases: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6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-919480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-902335</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-919480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-902335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-919480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-902335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measurement of lease liabilities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19,052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FF0FC"/>
          </w:tcPr>
          <w:p>
            <w:pPr>
              <w:spacing w:after="0"/>
              <w:rPr>
                <w:sz w:val="20"/>
                <w:szCs w:val="20"/>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41,050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December 31, 2022, the future minimum lease payments for the Company’s operating leases for each of the next five years and total thereafter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3"/>
        </w:trPr>
        <w:tc>
          <w:tcPr>
            <w:tcW w:w="38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00" w:type="dxa"/>
            <w:vAlign w:val="bottom"/>
          </w:tcPr>
          <w:p>
            <w:pPr>
              <w:spacing w:after="0"/>
              <w:rPr>
                <w:sz w:val="20"/>
                <w:szCs w:val="20"/>
                <w:color w:val="auto"/>
              </w:rPr>
            </w:pPr>
          </w:p>
        </w:tc>
      </w:tr>
      <w:tr>
        <w:trPr>
          <w:trHeight w:val="24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shd w:val="clear" w:color="auto" w:fill="CFF0FC"/>
          </w:tcPr>
          <w:p>
            <w:pPr>
              <w:spacing w:after="0"/>
              <w:rPr>
                <w:sz w:val="21"/>
                <w:szCs w:val="21"/>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151,828</w:t>
            </w:r>
          </w:p>
        </w:tc>
        <w:tc>
          <w:tcPr>
            <w:tcW w:w="100" w:type="dxa"/>
            <w:vAlign w:val="bottom"/>
          </w:tcPr>
          <w:p>
            <w:pPr>
              <w:spacing w:after="0"/>
              <w:rPr>
                <w:sz w:val="20"/>
                <w:szCs w:val="20"/>
                <w:color w:val="auto"/>
              </w:rPr>
            </w:pP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5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267,958</w:t>
            </w:r>
          </w:p>
        </w:tc>
        <w:tc>
          <w:tcPr>
            <w:tcW w:w="100" w:type="dxa"/>
            <w:vAlign w:val="bottom"/>
            <w:shd w:val="clear" w:color="auto" w:fill="CFF0FC"/>
          </w:tcPr>
          <w:p>
            <w:pPr>
              <w:spacing w:after="0"/>
              <w:rPr>
                <w:sz w:val="20"/>
                <w:szCs w:val="20"/>
                <w:color w:val="auto"/>
              </w:rPr>
            </w:pP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(88,953 )</w:t>
            </w:r>
          </w:p>
        </w:tc>
      </w:tr>
      <w:tr>
        <w:trPr>
          <w:trHeight w:val="277"/>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38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3840" w:type="dxa"/>
            <w:vAlign w:val="bottom"/>
          </w:tcPr>
          <w:p>
            <w:pPr>
              <w:spacing w:after="0"/>
              <w:rPr>
                <w:sz w:val="24"/>
                <w:szCs w:val="24"/>
                <w:color w:val="auto"/>
              </w:rPr>
            </w:pPr>
          </w:p>
        </w:tc>
        <w:tc>
          <w:tcPr>
            <w:tcW w:w="5760" w:type="dxa"/>
            <w:vAlign w:val="bottom"/>
            <w:gridSpan w:val="3"/>
          </w:tcPr>
          <w:p>
            <w:pPr>
              <w:jc w:val="right"/>
              <w:ind w:right="3710"/>
              <w:spacing w:after="0"/>
              <w:rPr>
                <w:sz w:val="20"/>
                <w:szCs w:val="20"/>
                <w:color w:val="auto"/>
              </w:rPr>
            </w:pPr>
            <w:r>
              <w:rPr>
                <w:rFonts w:ascii="Times New Roman" w:cs="Times New Roman" w:eastAsia="Times New Roman" w:hAnsi="Times New Roman"/>
                <w:sz w:val="18"/>
                <w:szCs w:val="18"/>
                <w:color w:val="auto"/>
              </w:rPr>
              <w:t>F-25</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July 2019, the Company sold certain equipment to a leasing company for a total of $3.8 million, and, concurrently, entered into a lease agreement with the leasing company to lease back the equipment for an annual rent of $1.0 million over a term of four years.</w:t>
      </w:r>
    </w:p>
    <w:p>
      <w:pPr>
        <w:spacing w:after="0" w:line="5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October 2019, the Company sold additional equipment to the leasing company for a total of $2.4 million and, concurrently, entered into a lease agreement with the leasing company to lease back the equipment for an annual rent of $0.7 million over a term of four years.</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December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equipment leases are being accounted for as financings as the lease terms are for substantially all the remaining economic life of the underlying equipment. The Company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payments related to the equipment financing obligations for each of the next five years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3"/>
        </w:trPr>
        <w:tc>
          <w:tcPr>
            <w:tcW w:w="9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top w:val="single" w:sz="8" w:color="CFF0FC"/>
            </w:tcBorders>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 at 8.76%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residual values</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r>
      <w:tr>
        <w:trPr>
          <w:trHeight w:val="277"/>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breakdown of the principal and interest portions of the equipment financing payments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Paydown of principal</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FF0FC"/>
          </w:tcPr>
          <w:p>
            <w:pPr>
              <w:spacing w:after="0"/>
              <w:rPr>
                <w:sz w:val="20"/>
                <w:szCs w:val="20"/>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interest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method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2022, the Company entered into a License and Research Collaboration Agreement, or the Orbital Agreement, with Orbital Therapeutics, Inc., or Orbital, a newly formed entity focused on advancing non-viral delivery and RNA technologies (See Note 11,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In exchange for contributing exclusive and non-exclusive licenses and certain services, the Company received a 31.5% fully diluted equity interest in Orbital at the time of closing pursuant to a Common Stock Issuance Agreement, or the Orbital Issuance Agreement, as well as certain exclusive and non-exclusive licenses from Orbital. As of the closing date Beam held 97.0% of the outstanding common stock of Orbital. As of December 31, 2022, Beam holds 95.8% of the outstanding common stock of Orbital. Additionally, certain members of the Company's executive team are providing interim management services to Orbital under separate agreements between Orbital and the executives. Orbital is not compensating the Company for the interim management services.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0" w:name="page171"/>
    <w:bookmarkEnd w:id="170"/>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significant influence over, but does not control, Orbital through its noncontrolling representation on Orbital’s board of directors and the Company’s equity interest in Orbital. The Company determined that Orbital is a variable interest entity because it does not have sufficient equity at risk to finance its operations without additional subordinated financial support. The Company is not the primary beneficiary as it does not have the power to direct activities that most significantly impact Orbital’s economic performance. Accordingly, the Company does not consolidate the financial statements of Orbital and accounts for its investment using the equity method of accounting.</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closing date, the fair value of the Company’s investment in Orbital was $25.5 million, which represents the fair value of the common stock received under the Orbital Issuance Agreement. The fair value of the Orbital common stock was determined by management with the assistance of a third-party valuation specialist. In determining the fair value of the Company’s investment, the valuation specialist used an option pricing model backsolve approach b</w:t>
      </w:r>
      <w:r>
        <w:rPr>
          <w:rFonts w:ascii="Times New Roman" w:cs="Times New Roman" w:eastAsia="Times New Roman" w:hAnsi="Times New Roman"/>
          <w:sz w:val="18"/>
          <w:szCs w:val="18"/>
          <w:color w:val="242424"/>
        </w:rPr>
        <w:t>ased on Orbital's most recent funding of preferred stock. The valuation requires the input of certain subjective assumptions. The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assumptions used in the option pricing model, which are level 3 inputs, include the anticipated holding period to an exit and liquidity event, the volatility of market participants (68%) and the discount for lack of marketability (43%). </w:t>
      </w:r>
      <w:r>
        <w:rPr>
          <w:rFonts w:ascii="Times New Roman" w:cs="Times New Roman" w:eastAsia="Times New Roman" w:hAnsi="Times New Roman"/>
          <w:sz w:val="18"/>
          <w:szCs w:val="18"/>
          <w:color w:val="000000"/>
        </w:rPr>
        <w:t>The Company adjusts the carrying value of its investment in Orbital by its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proportionate share of Orbital’s net loss based on the Company’s share of Orbital’s outstanding common stock and in-substance common stock.</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date of the investment, a basis difference was identified as the carrying value of the Company’s investment in Orbital exceeded the Company’s proportionate share of the underlying net assets in Orbital. The Company concluded that the basis difference was primarily attributable to Orbital’s IPR&amp;D assets. As Orbital did not meet the definition of a business due to substantially all of the estimated fair value of the gross assets being concentrated in the group of similar IPR&amp;D assets, the basis difference attributable to the IPR&amp;D with no alternative future use was immediately expensed as of the date of the investment. The Company’s proportionate share of the basis difference exceeded its carrying value of the equity method investment in Orbital and the equity investment balance was reduced to zero. There is no commitment for the Company to provide financial support to Orbital, and therefore the carrying value of the equity method investment will not be reduced below zero. For the twelve months ended December 31, 2022, the Company recognized a loss from its equity method investment of $25.5 million in association with the basis difference charge in the Company’s consolidated statements of operations.</w:t>
      </w:r>
    </w:p>
    <w:p>
      <w:pPr>
        <w:spacing w:after="0" w:line="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maximum exposure to loss is limited to the Company’s equity investment in Orbital, which has a carrying value of zero at December 31, 2022. To date the Company has not received any dividends from Orbital.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Guide acquisition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On February 23, 2021, the Company entered into the Guide Merger Agreement. Under the Guide Merger Agreement, the Company paid Guide’s former stockholders and optionholders upfront consideration in an aggregate amount of $120.0 million, excluding customary purchase price adjustments and closing costs, in shares of the Company’s common stock, based upon the volume-weighted average price of the Company’s stock over the ten trading-day period ending on February 19, 2021. Pursuant to the Guide Merger Agreement, the Company acquired all of the issued and outstanding shares of Guide. The Company issued a total of 1,087,153 shares of its common stock valued at $120.0 million in connection with the upfront payment to Guide’s former stockholders and optionholders. The Guide transaction resulted in the acquisition of certain know-how and intellectual property assets related to Guide’s proprietary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LNP screening technology and its library of lipids and lipid nanoparticle formulations identified using the screening technology. Management determined that the acquired assets do not meet the definition of a business pursuant to ASC 805, as substantially all of the fair value of the acquired assets is concentrated into one identifiable asset, the LNP screening technology and associated lipid library. As of the date of closing of the transactions contemplated by the Guide Merger Agreement, or the Guide Merger Agreement Date, the asset acquired had no alternative future use and had not reached a stage of technological feasibility. As a result, all share-based and cash payment obligations have been recorded as research and development expense in the consolidated statements of operations and other comprehensive loss in the amount of $155.0 million. The total transaction price was allocated to the assets acquired and liabilities assumed on a relative fair value basis.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Guide’s former stockholders and optionholders are eligible to receive up to an additional $100.0 million in technology milestone payments and $220.0 million in product milestone payments, payable in the Company’s common stock valued using the volume-weighted average price of the Company’s stock over the ten trading-day period ending two trading days prior to the date on which the applicable milestone is achieved.</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determined that all future technology and product milestone payments are classified as contingent consideration liabilities under ASC 480 and therefore the Company recorded a liability for these milestone payments as of the Guide Merger Agreement Date at fair value of $36.5 million. These contingent consideration liabilities are remeasured at fair value each financial reporting period, with the resulting impact reflected in the Company’s consolidated statements of operations and other comprehensive loss, presented within other income (expense).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transaction price was determined and allocated as follows (in thousands):</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22"/>
        </w:trPr>
        <w:tc>
          <w:tcPr>
            <w:tcW w:w="9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equity instruments issued</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120,032</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product contingent consideration liabilities</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320" w:type="dxa"/>
            <w:vAlign w:val="bottom"/>
          </w:tcPr>
          <w:p>
            <w:pPr>
              <w:spacing w:after="0"/>
              <w:rPr>
                <w:sz w:val="20"/>
                <w:szCs w:val="20"/>
                <w:color w:val="auto"/>
              </w:rPr>
            </w:pPr>
          </w:p>
        </w:tc>
      </w:tr>
      <w:tr>
        <w:trPr>
          <w:trHeight w:val="239"/>
        </w:trPr>
        <w:tc>
          <w:tcPr>
            <w:tcW w:w="9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transaction price</w:t>
            </w: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159,076</w:t>
            </w:r>
          </w:p>
        </w:tc>
        <w:tc>
          <w:tcPr>
            <w:tcW w:w="320" w:type="dxa"/>
            <w:vAlign w:val="bottom"/>
            <w:tcBorders>
              <w:bottom w:val="single" w:sz="8" w:color="CFF0FC"/>
            </w:tcBorders>
            <w:shd w:val="clear" w:color="auto" w:fill="CFF0FC"/>
          </w:tcPr>
          <w:p>
            <w:pPr>
              <w:spacing w:after="0"/>
              <w:rPr>
                <w:sz w:val="20"/>
                <w:szCs w:val="20"/>
                <w:color w:val="auto"/>
              </w:rPr>
            </w:pPr>
          </w:p>
        </w:tc>
      </w:tr>
      <w:tr>
        <w:trPr>
          <w:trHeight w:val="23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allocated</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5"/>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7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154,953</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2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FF0FC"/>
          </w:tcPr>
          <w:p>
            <w:pPr>
              <w:spacing w:after="0"/>
              <w:rPr>
                <w:sz w:val="21"/>
                <w:szCs w:val="21"/>
                <w:color w:val="auto"/>
              </w:rPr>
            </w:pPr>
          </w:p>
        </w:tc>
      </w:tr>
      <w:tr>
        <w:trPr>
          <w:trHeight w:val="23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(1,427 )</w:t>
            </w:r>
          </w:p>
        </w:tc>
      </w:tr>
      <w:tr>
        <w:trPr>
          <w:trHeight w:val="279"/>
        </w:trPr>
        <w:tc>
          <w:tcPr>
            <w:tcW w:w="9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transaction price</w:t>
            </w:r>
          </w:p>
        </w:tc>
        <w:tc>
          <w:tcPr>
            <w:tcW w:w="70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159,076</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-1276350</wp:posOffset>
            </wp:positionV>
            <wp:extent cx="6858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Harvard license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rights granted under the Harvard License Agreement, the Company issued to Harvard 101,363 shares of the Company’s common stock. Additional consideration under the Harvard License Agreement included an Anti-Dilution Issuance Right, which was settled during the year ended December 31, 2018, Financing Milestone Payments related to Series A Preferred and Series B Preferred financings, which were paid and settled in the year ended December 31, 2019, and Success Payments, which are further described below. The Anti-Dilution Issuance Right and Financing Milestone Payments related to Series A Preferred and Series B Preferred financings were both expensed in the year 2018 and prior.</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Harvard License Agreement, Harvard is entitled to receive success payments, in cash or shares of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IPO, the amount of success payments is based on the market value of the Company's common stock.</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Harvard (in thousands):</w:t>
      </w:r>
    </w:p>
    <w:p>
      <w:pPr>
        <w:spacing w:after="0" w:line="12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16510</wp:posOffset>
            </wp:positionV>
            <wp:extent cx="21342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9" w:lineRule="exact"/>
        <w:rPr>
          <w:sz w:val="20"/>
          <w:szCs w:val="20"/>
          <w:color w:val="auto"/>
        </w:rPr>
      </w:pPr>
    </w:p>
    <w:p>
      <w:pPr>
        <w:ind w:left="840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15875</wp:posOffset>
            </wp:positionV>
            <wp:extent cx="21342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7760" w:val="left"/>
          <w:tab w:leader="none" w:pos="8880" w:val="left"/>
          <w:tab w:leader="none" w:pos="9580" w:val="left"/>
          <w:tab w:leader="none" w:pos="10600" w:val="left"/>
        </w:tabs>
        <w:rPr>
          <w:sz w:val="20"/>
          <w:szCs w:val="20"/>
          <w:color w:val="auto"/>
        </w:rPr>
      </w:pPr>
      <w:r>
        <w:rPr>
          <w:rFonts w:ascii="Times New Roman" w:cs="Times New Roman" w:eastAsia="Times New Roman" w:hAnsi="Times New Roman"/>
          <w:sz w:val="18"/>
          <w:szCs w:val="18"/>
          <w:color w:val="auto"/>
        </w:rPr>
        <w:t>Harvard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Harvard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Harvard success payment liability</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6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shd w:val="clear" w:color="auto" w:fill="CFF0FC"/>
          </w:tcPr>
          <w:p>
            <w:pPr>
              <w:spacing w:after="0"/>
              <w:rPr>
                <w:sz w:val="20"/>
                <w:szCs w:val="20"/>
                <w:color w:val="auto"/>
              </w:rPr>
            </w:pPr>
          </w:p>
        </w:tc>
      </w:tr>
    </w:tbl>
    <w:p>
      <w:pPr>
        <w:spacing w:after="0" w:line="3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Harvard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annual maintenance fees will be recorded as an expense on an annual basis based on the stated amount for the applicable year. Annual patent costs are expensed as incurred. Upon determination that a Harvard Product Milestone is probable to occur, the amount due will be recorded as research and development expense. The Company will monitor the Harvard Product Milestone payments for this arrangement on an ongoing basis. The Company incurred $0.2 million and $0.1 million of regulatory milestone expense during the twelve months ended December 31, 2022 and 2021, respectively. No expense was recorded for these milestones for the year ended December 31, 2020.</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extent products are commercialized under the Harvard License Agreement, the Company will accrue royalty expense and sublicense nonroyalty payments, as applicable, for the amount it is obligated to pay, with adjustments as sales are made. The Company incurred $2.7 million and $33.7 million of expense related to non-royalty sublicense fees owed to Harvard for the twelve months ended December 31, 2022 and 2021, respectively. There was no expense related to Harvard non-royalty sublicense fees during the year ended December 31,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license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2018, the Broad License Agreement was entered into with Broad Institute for certain RNA base editing technology including an RNA editor platform. Under the Broad License Agreement, Broad Institute granted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 consideration under the Broad License Agreement included an Anti-Dilution Issuance Right, which was paid and settled during the year ended December 31, 2018, Financing Milestone Payments related to Series A Preferred and Series B Preferred financings, which were settled in the year ended December 31, 2019, and Success Payments, which are further described below. The Anti-Dilution Issuance Right and Financing Milestone Payments related to Series A Preferred and Series B Preferred financings were both expensed in the year 2018.</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Broad License Agreement, Broad Institute is entitled to receive success payments, in cash or shares of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February 2020 IPO, the amount of success payments is based on the market value of the Company’s common stock.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3" w:name="page174"/>
    <w:bookmarkEnd w:id="173"/>
    <w:p>
      <w:pPr>
        <w:ind w:right="20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December 31, 2022, no success payments were due to Broad Institute.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Broad Institute (in thousands):</w:t>
      </w:r>
    </w:p>
    <w:p>
      <w:pPr>
        <w:spacing w:after="0" w:line="12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16510</wp:posOffset>
            </wp:positionV>
            <wp:extent cx="21431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9" w:lineRule="exact"/>
        <w:rPr>
          <w:sz w:val="20"/>
          <w:szCs w:val="20"/>
          <w:color w:val="auto"/>
        </w:rPr>
      </w:pPr>
    </w:p>
    <w:p>
      <w:pPr>
        <w:ind w:left="838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15875</wp:posOffset>
            </wp:positionV>
            <wp:extent cx="2143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7760" w:val="left"/>
          <w:tab w:leader="none" w:pos="8860" w:val="left"/>
          <w:tab w:leader="none" w:pos="9560" w:val="left"/>
          <w:tab w:leader="none" w:pos="10600" w:val="left"/>
        </w:tabs>
        <w:rPr>
          <w:sz w:val="20"/>
          <w:szCs w:val="20"/>
          <w:color w:val="auto"/>
        </w:rPr>
      </w:pPr>
      <w:r>
        <w:rPr>
          <w:rFonts w:ascii="Times New Roman" w:cs="Times New Roman" w:eastAsia="Times New Roman" w:hAnsi="Times New Roman"/>
          <w:sz w:val="18"/>
          <w:szCs w:val="18"/>
          <w:color w:val="auto"/>
        </w:rPr>
        <w:t>Broad Institute success payment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9,300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expense resulting from the change in the fair value of the success payment liability for Broad Institute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Broad Institute success payment liability</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6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Broad Institute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annual maintenance fees will be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will monitor the Broad Product Milestone payments for this arrangement on an ongoing basis. The triggering of these milestone payments was not considered probable as of the acquisition date, and no expense has been recorded for these milestones during the years ended December 31, 2022, 2021 and 2020.</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the extent products are commercialized under the Broad License Agreement, the Company will accrue royalty expense and sublicense nonroyalty payments, as applicable, for the amount it is obligated to pay, with adjustments as sales are made. The Company paid $6.1 million of non-royalty sublicense fees to Broad Institute during the twelve months ended December 31, 2022 related to non-royalty sublicense fee expense incurred during the second half of 2021. The Company recorded no expense related to non-royalty sublicense fees owed to the Broad Institute during the twelve months ended December 31, 2022 or 2020.</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i w:val="1"/>
          <w:iCs w:val="1"/>
          <w:color w:val="auto"/>
        </w:rPr>
        <w:t>Editas license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1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the Editas License Agreement in its entirety or on a group-by-group of intellectual property basis, upon ninety days written notice to Editas. Upon termination of the Editas License Agreement, all rights and licenses granted by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During each of the years ended December 31, 2022 and 2021, the Company recognized $0.1 million of expense as it determined that it owed a regulatory milestone payment to Editas under the License Agreement. The Company did not recognize any expense under the Editas License Agreement during the year ended December 31, 2020. To the extent applicable, sublicense income payments will be accrued for the amount the Company is obligated to pay under each applicable in-license as amounts are due to Editas. Lastly, to the extent products are commercialized under the Editas License agreement, the Company will accrue royalty expense for the amount it is obligated to pay, with adjustments as sales are made.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i w:val="1"/>
          <w:iCs w:val="1"/>
          <w:color w:val="auto"/>
        </w:rPr>
        <w:t>Bio Palette license agreement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license agreement with Bio Palette pursuant to which the Company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(the “Bio Palette License Agreement”). In addition, the Company granted Bio Palette an exclusive (even as to the Company)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 Unless earlier terminated, the Bio Palette License Agreement will expire on a licensed product-by-licensed product and country-by-country basis upon the expiration of the applicable royalty term for each such licensed product and country. To the extent products are commercialized under the Bio Palette License Agreement, the Company will accrue royalty expense for the amount it is obligated to pay, with adjustments as sales are made.</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agreed to pay a royalty at a fraction of a percent on net sales of products that are covered by the patents licensed by Bio Palette to the Company, and Bio Palette agreed to pay a royalty at a fraction of a percent on net sales of products that are covered by the patents licensed by the Company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year ended December 31, 2019. Upon the issuance of a certain Bio Palette patent in the United States in June 2020, the Company made a milestone payment of $2.0 million and, in July 2020, issued to Bio Palette 175,000 shares of its common stock valued at $0.3 million, which were recognized as research and development expense. The fair value of the common stock issued to Bio Palette under the Bio Palette License Agreement was measured at the inception of arrangement and expensed when the issuance of shares became probable.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Management concluded that the licenses acquired from each transaction above did not meet the accounting definition of a business as inputs, but no processes or outputs were acquired with the licenses, and the licensed technology had not achieved technological feasibility. As the inputs that were acquired along with the licenses do not constitute a “business,” the transactions have been accounted as asset acquisitions. As of the date of each License Agreement, the assets acquired had no alternative future use and the assets had not reached a stage of technological feasibility. As a result, all share-based and cash payment obligations have been recorded as research and development expense in the accompanying consolidated statements of operations and other comprehensive loss.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11.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September 2022, the Company entered into the Orbital Agreement and the Orbital Issuance Agreement with Orbital. Under the terms of the Orbital Agreement, the Company will collaborate with Orbital to advance nonviral delivery and RNA technology by providing Orbital with certain proprietary materials, a non-exclusive research license to certain RNA technology and nonviral delivery technology controlled by the Company, and by performing research and development support services as outlined in a research plan. The Company also granted Orbital an exploitation license to certain RNA technology and nonviral delivery technology controlled by the Company. The exploitation license is exclusive in the fields of vaccines and certain protein therapeutics and nonexclusive in all other fields other than gene editing and conditioning. The collaboration is managed on an overall basis by a Joint Steering Committee, or JSC, comprised of an equal number of representatives from the Company and Orbital.</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exchange for the licenses and services provided by the Company under the Orbital Agreement, the Company received a non-exclusive research license to certain RNA technology and nonviral delivery technology controlled by Orbital, and research and development support services as outlined in a research plan. Orbital also granted Beam an exploitation license to certain RNA technology and nonviral delivery technology controlled by Orbital. The exploitation license is exclusive in the fields of gene editing and conditioning and nonexclusive in all other fields other than vaccines and certain protein therapeutics. The Company also received 75 million shares of Orbital’s common stock at closing, which represented a 31.5% fully diluted equity interest in Orbital. The Company accounts for its investment in Orbital under the equity method of accounting. Refer to Note 8 for further details.</w:t>
      </w:r>
    </w:p>
    <w:p>
      <w:pPr>
        <w:spacing w:after="0" w:line="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research plan has a term of three years and can be extended for unspecified periods upon mutual agreement between the Company and Orbital. The exploitation licenses are exclusive for an initial research term of three years, which may be extended for up to two successive one-year periods by mutual agreement between the Company and Orbital. Either party may terminate the licenses granted to it under the Orbital Agreement for convenience on a product-by-product basis at any time by providing 90 days’ prior written notice.</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accounts for the Orbital Agreement under ASC 606 as it includes a customer-vendor relationship as defined under ASC 606 and meets the criteria to be considered a contract.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$25.5 million, which represents the fair value of the Company’s equity interest in Orbital’s common stock at inception. See Note 8 for the determination of the fair value of the Company’s investment. There is no variable consideration included in the transaction price at inception.</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concluded that the research and exploitation licenses are not distinct from the other promises in the Orbital Agreement, and as such the Company has determined that the licenses combined with the research and development services, know-how transfers, committee participation and materials transfer represent a performance obligation. The Company recognizes revenue associated with the Orbital performance obligation over time as it is satisfied during the term of the agreement, which is three years. The Company recognized $2.1 million of revenue during the year ended December 31, 2022. As of December 31, 2022, there was $8.5 million and $14.9 million of current and long-term deferred revenue, respectively, related to the Orbital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or the Pfizer Agreement, with Pfizer Inc., or Pfizer, focused on the use of certain of the Company’s base editing technology to develop in vivo therapies for rare genetic diseases of the liver, muscle, and central nervous system. Under the terms of the Pfizer Agreement, the Company will conduct all research activities through development candidate selection for three base editing programs that target specific genes corresponding to specific diseases that are the subject of such programs. Pfizer will have exclusive rights to license each of the three programs at no additional cost, each an Opt-In Right, and will assume responsibility for subsequent development and commercialization. At the end of the Phase 1/2 clinical trials, the Company may elect to enter into a global co-development and co-commercialization agreement with Pfizer with respect to one program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is managed on an overall basis by a Joint Research Committee, or JRC, formed by an equal number of representatives from the Company and Pfizer.</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inception of the Pfizer Agreement, the Company was entitled to receive a nonrefundable upfront payment of $300.0 million in consideration for the rights granted to Pfizer under the collaboration. Should Pfizer exercise its Opt-In Right for any of the three programs, the Company would be eligible to receive development, regulatory, and commercial milestones of up to $350.0 million per program, for potential total consideration of up to $1.35 billion, plus royalty payments on global net sales for each licensed program, if any. If Pfizer does not exercise its Opt-In Right for a program, the Company’s rights in such program revert to the Company and the Company will be required to pay Pfizer earn-out payments equal to a low single digit percentage of net sales earned on such program for a ten-year period, if any. As the $300.0 million upfront fee was not received by the Company as of December 31, 2021, the Company recorded a collaboration receivable for $300.0 million with a corresponding deferred revenue liability. The Company received the $300.0 million upfront payment in January 2022.</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7" w:name="page178"/>
    <w:bookmarkEnd w:id="177"/>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collaboration term, Pfizer has a one-time option to substitute a disease that is the subject of a specific program with one pre-defined substitute disease. The collaboration has an initial term of four years and may be extended for an additional year on a program-by-program basis. Pfizer may terminate the Pfizer Agreement for convenience on any or all of the programs by providing 90 days’ prior written notice.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accounts for the Pfizer Agreement under ASC 606, as it includes a customer-vendor relationship as defined under ASC 606 and meets the criteria to be considered a contract.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Pfizer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during the term of the agreement using an input method. The Company allocated the transaction price of $300.0 million to each of the three performance obligations, which includes each of the three base editing programs combined with the research and development services, licenses, and exclusive development and commercialization rights. Revenue is recognized using an input method based on the actual costs incurred as a percentage of total budgeted costs towards satisfying the performance obligation as this method provides the most faithful depiction of the entity’s performance in transferring control of the goods and services promised to Pfizer and represents the Company’s best estimate of the period of the obligation. During the twelve months ended December 31, 2022, the Company recognized $48.2 million of revenue related to the Pfizer Agreement. As of December 31, 2022, there was $96.4 million and $155.4 million of current and long-term deferred revenue, respectively, related to the Pfizer Agreement. There was no revenue recognized related to the Pfizer Agreement during the years ended December 31, 2021 or 2020.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Sana Biotechnology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an option and license agreement, or the Sana Agreement, with Sana Biotechnology, Inc., or Sana, under which the Company granted Sana a license for non-exclusive rights to its CRISPR Cas12b nuclease system for the development and commercialization of certain engineered cellular therapy programs. In addition to the license, the Company performed an initial technology transfer following the effective date of the Sana Agreement providing Sana with certain know-how, as required under the Sana Agreement. This technology transfer occurred in 2021. Following the license transfer and completion of the initial technology transfer, Sana is responsible, at its sole expense, for the development and commercialization of therapeutic products which must contain either specified CAR antigen targets or pluripotent stem cell, or PSC, product types.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consideration for the license, the Company received an upfront payment of $50.0 million from Sana in October 2021. In addition, the Company may be eligible to receive development, regulatory, and commercial milestones of up to $65.0 million from Sana on any product candidate or product. The Company will also be entitled to receive royalties equal to a low single digit percentage of net sales on any product.</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up to eighteen months following the effective date of the Sana Agreement, Sana has the option to select up to a cumulative total of two additional CAR antigen targets or PSC product types for an additional fee of $10.0 million per additional CAR antigen target and additional PSC product type, or the Option Rights, for an aggregate potential additional consideration of $20.0 million. Further, at any time prior to the third anniversary of the effective date of the Sana Agreement, Sana has a one-time right to substitute, in the aggregate, either one CAR antigen target or one PSC product type at no additional cost, or the Replacement Right. Sana may also select a specified number of additional or replacement genetic targets for each PSC product type at any time prior to the third anniversary of the effective date at no additional cost, or the Genetic Target Nomination Rights. Sana may terminate the Sana Agreement for convenience prior to the first commercial sale of any licensed product by providing 90 days’ prior written notice or upon 180 days’ prior written notice after first commercial sale.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8" w:name="page179"/>
    <w:bookmarkEnd w:id="178"/>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the Sana Agreement under ASC 606 as it includes a customer-vendor relationship as defined under ASC 606 and meets the criteria to be considered a contract. The overall transaction price as of the inception of the contract was determined to be $50.0 million, which is composed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identified a single performance obligation, which includes (i) the non-exclusive license granted to Sana under the Company’s patent rights and know-how and (ii) the initial technology transfer following the effective date, which occurred in 2021. The Company further concluded that the Option Rights, Replacement Right, and Genetic Target Nomination Rights did not grant Sana a material right. As the Company only identified one performance obligation, no allocation of the transaction price is required.</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$50.0 million of revenue associated with the single performance obligation at a point in time upon the transfer of the license to Sana and completion of the initial technology transfer. The Company did not recognize revenue under the Sana Agreement for the twelve-month period ended December 31, 2022 or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up to six base editing programs that target specific genes within the complement system in various organs, including the eye, liver, and brain. Apellis has an exclusive option to license any or all of the six programs, or in each case, an Opt-In Right, and will assume responsibility for subsequent development. The Company may elect to enter into a 50-50 U.S. co-development and co-commercialization agreement with Apellis with respect to one program instead of a license. The collaboration is managed on an overall basis by an alliance steering committee formed by an equal number of representatives from the Company and Apellis.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collaboration, the Company is eligible to receive a total of $75.0 million in upfront and near-term milestones from Apellis, which is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 The Company received the $50.0 million upfront payment from Apellis in July 2021 and the $25.0 million First Anniversary Payment in June 2022.</w:t>
      </w:r>
    </w:p>
    <w:p>
      <w:pPr>
        <w:spacing w:after="0" w:line="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accounts for the Apellis Agreement under ASC 606 as it includes a customer-vendor relationship as defined under ASC 606 and meets the criteria to be considered a contract.</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$75.0 million, which is composed of the upfront payment of $50.0 million and the First Anniversary Payment of $25.0 million. The Company will re-evaluate the transaction price in each reporting period.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Therefore, the Company did not recognize any upfront revenue related to the license.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9" w:name="page180"/>
    <w:bookmarkEnd w:id="179"/>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budgeted costs towards satisfying the performance obligation as this method provides the most faithful depiction of the entity’s performance in transferring control of the goods and services promised to Apellis and represents the Company’s best estimate of the period of the obligation. The Company recognized $10.6 million and $1.8 million of revenue related to the Apellis Agreement for the twelve months ended December 31, 2022 and 2021, respectively. As of December 31, 2022, there is $31.1 million and $31.5 million of current and long-term deferred revenue, respectively, related to the Apellis Agreement. The Company did not recognize any revenue under the Apellis Agreement during the year ended December 31, 2020.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2019, the Company entered into a collaboration and license agreement with Prime Medicine to research and develop a novel gene editing technology developed by one of the Company’s founders. Under the terms of the agreement, the Company granted Prime Medicine a non-exclusive license to certain of its CRISPR technology (including Cas12b), delivery technology and certain other technology controlled by the Company to develop and commercialize gene editing products for the treatment of human diseases. Prime Medicine granted the Company an exclusive license to develop and commercialize prime gene editing technology for the creation or modification of any single base transition mutations, as well as any edits made for the treatment of sickle cell disease. The Company is not currently using the intellectual property licensed from Prime Medicine in any of its current programs, but it is required to use commercially reasonable efforts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products that use technology licensed from Prime Medicine, the Company is required to make milestone payments to Prime Medicine upon the achievement of certain clinical, regulatory and commercial events. It is also required to use commercially reasonable efforts to develop and seek regulatory approval for two products that use licensed technology from Prime Medicine in certain specified countries and to commercialize any such product(s) for which approval has been obtained in certain specified countries. Prime Medicine and the Company are each required to use commercially reasonable efforts to conduct the activities for which they are responsible under any development plan(s) under the agreement. Prime Medicine has an option to jointly develop and commercialize, and share expenses and revenue for, certain products that use technology licensed from Prime Medicine in the United States. Royalty payments may become due by either party to the other based on the net sales of commercialized products under the agreement. In addition, certain of the rights licensed under the agreement are sublicensed from third parties, and the Company or Prime Medicine may be required to make certain payments to such third parties to the extent the Company or Prime Medicine develop and commercialize products under such rights.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had an obligation to issue $5.0 million in shares of its common stock to Prime Medicine, and Prime Medicine had an obligation to issue 5,000,000 shares of its common stock to the Company, should the Company elect to extend the collaboration beyond one year. In September 2020, the Company elected to continue the collaboration and, in October 2020, issued 200,307 shares of the Company’s common stock to Prime Medicine. The Company recognized $5.5 million, which represented the fair value of the Company's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 In October 2022, Prime completed an initial public offering of its common stock. In connection with Prime's initial public offering, Prime effected a one-for-3.1088 reverse stock split. As of December 31, 2022 the Company owned 1,608,337 shares of Prime's common stock valued at $29.9 million.</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the Company provided immaterial interim management and startup services to Prime Medicine through March 2021 but did not provide any such services during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determined that future milestones and royalties under the agreement were not probable of recognition.</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i w:val="1"/>
          <w:iCs w:val="1"/>
          <w:color w:val="auto"/>
        </w:rPr>
        <w:t>Verve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2019, the Company entered into a collaboration and license agreement with Verve, or the Verve Agreement, to investigate gene editing strategies to modify genes associated with an increased risk of coronary diseases and in July 2022, the Company and Verve amended the Verve Agreement. Under the terms of the Verve Agreement, as amended, the Company granted Verve an exclusive license to certain base editor technology and improvements and Verve granted the Company a non-exclusive license under certain know-how and patents controlled by Verve, an interest in joint collaboration technology and a non-exclusive license under certain delivery technology. Verve is responsible for all costs associated with the research and development activities under the Verve License agreement. The Company has the option to share in the future development of certain products, with no associated fee at the time the right is exercised. Upon exercise of the Company’s option, the profits and expenses of such product will be shared, as defined in the agreement. To date, the Company has not exercised its option.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Verve License Agreement, Verve issued the Company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are met with respect to licensed products, Verve will be required to pay to the Company certain amounts, as defined in the agreement. Either party may owe the other party other milestone payments for certain clinical and regulatory events related to the delivery technology products. Royalty payments may become due by either party to the other based on the net sales of any delivery technology products under the agreement. Lastly, to the extent there are sales of a licensed product, Verve is obligated to pay the Company royalties, as defined in the agreement. The term of the agreement commenced in April 2019 and, unless earlier terminated in accordance with the terms of the agreement, will continue until the last to expire royalty term for any licensed product.</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also purchased shares of Verve's Series A preferred stock during the twelve months ended December 31, 2020. During June 2021, Verve completed an initial public offering of its common stock. In connection with Verve’s initial public offering, Verve effected a one-for-9.2592 reverse stock split and also converted all shares of its preferred stock into shares of common stock. As of December 31, 2022, the Company owned 546,970 shares of Verve's common stock valued at $10.6 million.</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 determined that the performance obligations associated with the Verve License Agreement are the combined licenses and improvements related to the licensed technology. All other items promised to Verve are immaterial in the context of the agreement. The fair value of the shares issued by Verve to the Company were considered a fixed upfront payment of $0.5 million in the form of non-cash consideration. The Company determined that its performance obligations associated with the Verve License Agreement at contract inception were not distinct and represented a single performance obligation, and that the obligations would be completed over the performance period of the agreement. Accordingly, the upfront payment will be recognized as revenue using a time-based proportional performance model over the contract term (April 2019 through 2038) of the collaboration, as license revenue. For each of the years ended December 31, 2022, 2021, and 2020, the Company recognized approximately $24,000 of license revenue and has approximately $0.4 million of deferred revenue as of December 31, 2022. To date, no commercial milestone payments or royalties are due. The remaining fees that may be paid under the agreement are considered variable consideration and will be constrained until it is probable that a significant revenue reversal would not occur. To date, the Company has not exercised its option to opt-in to a licensed product and no milestones or royalties have been achieved.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Preferred stock and common stock</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In January 2020, the Company authorized the designation of 25,000,000 shares of preferred stock and increased its authorized common stock to 250,000,000 shares, each with a par value of $0.01 per share.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the IPO, all outstanding shares of the Company’s redeemable convertible preferred stock converted into 29,127,523 shares of the Company’s common stock.</w:t>
      </w:r>
    </w:p>
    <w:p>
      <w:pPr>
        <w:spacing w:after="0" w:line="7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2020, due to its election to continue the Prime Agreement, the Company issued 200,307 shares of its common stock to Prime Medicine.</w:t>
      </w:r>
    </w:p>
    <w:p>
      <w:pPr>
        <w:spacing w:after="0" w:line="11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and sold 2,795,700 shares of its common stock in a private placement at an offering price of $93.00 per share for aggregate gross proceeds of $260.0 million. The Company received $252.0 million in net proceeds after deducting fees to the placement agents and offering expenses payable by the Company.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1" w:name="page182"/>
    <w:bookmarkEnd w:id="181"/>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the Sales Agreement with Jefferies, pursuant to which the Company was entitled to offer and sell, from time to time at prevailing market prices, shares of the Company’s common stock having aggregate gross proceeds of up to $300.0 million. The Company agreed to pay Jefferies a commission of up to 3.0% of the aggregate gross sale proceeds of any shares sold by Jefferies under the Sales Agreement. As of December 31, 2022, the Company has sold 2,908,009 shares of its common stock under the Sales Agreement at an average price of $103.16 per share for aggregate gross proceeds of $300.0 million, before deducting commissions and offering expenses payable by the Company.</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July 2021, the Company and Jefferies entered into an amendment to the Sales Agreement to provide for an increase in the aggregate offering amount under the Sales Agreement, such that as of July 7, 2021, the Company may offer and sell shares of common stock having an aggregate offering price of an additional $500.0 million. As of December 31, 2022, the Company has sold 3,908,289 additional shares of its common stock under the amended Sales Agreement at an average price of $82.38 per share for aggregate gross proceeds of $322.0 million, before deducting commissions and offering expenses payable by the Company, resulting in an aggregate of $622.0 million in gross proceeds received under the Sales Agreement, as amended, as of December 31, 2022.</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measurements under each of the Harvard and Broad License Agreements occurred and success payments to Harvard and Broad Institute were calculated to be $15.0 million and $15.0 million, respectively. The Company elected to make each payment in shares of the Company’s common stock and issued 174,825 shares of the Company’s common stock to each of Harvard and Broad Institute to settle these liabilities in June 2021.</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Subject to the payment in full of all preferential dividends to which the holders of the Company’s preferred stock are entitled, the holders of the Company’s common stock shall be entitled to receive ratably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Company’s preferred stock are entitled with respect to the distribution of assets in liquidation, the holders of common stock shall be entitled to share ratably in the remaining assets of the Company available for distribution.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and grant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 In May 2019, the 2017 Plan was amended to provide up to 8,078,681 shares of common stock for the issuance of stock options and restricted stock.</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2017 Plan is administered by the board of directors. The exercise prices, vesting and other restrictions are determined at the discretion of the board of directors, except that the exercise price per share of stock options may not be less than 100% of the fair market value of the common stock on the date of grant. Stock options awarded under the 2017 Plan expire 10 years after the grant date, unless the board of directors sets a shorter term. Vesting periods for awards under the 2017 Plan are determined at the discretion of the board of directors. Incentive stock options granted to employees and shares of restricted stock granted to officers, founders and consultants of the Company typically vest over four years. Certain options provide for accelerated vesting if there is a change in control, as defined in the 2017 Plan. Non-statutory options granted to employees, officers, members of the board of directors and consultants of the Company typically vest over four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plan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October 2019, the Company’s board of directors adopted the Beam Therapeutics Inc. 2019 Equity Incentive Plan, or the 2019 Plan, and, following the IPO, all equity-based awards are granted under the 2019 Plan. The 2019 Plan provides for the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number of shares of the Company’s common stock that may be issued under the 2019 Plan was initially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had 10,797,126 shares reserved and 1,555,915 shares available for future issuance under the 2019 Plan.</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82" w:name="page183"/>
    <w:bookmarkEnd w:id="182"/>
    <w:p>
      <w:pPr>
        <w:ind w:right="6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52,004</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32,317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20"/>
                <w:szCs w:val="20"/>
                <w:color w:val="auto"/>
              </w:rPr>
            </w:pPr>
          </w:p>
        </w:tc>
      </w:tr>
      <w:tr>
        <w:trPr>
          <w:trHeight w:val="277"/>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84,321</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6"/>
        </w:trPr>
        <w:tc>
          <w:tcPr>
            <w:tcW w:w="558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9"/>
                <w:szCs w:val="19"/>
                <w:color w:val="auto"/>
              </w:rPr>
            </w:pPr>
          </w:p>
        </w:tc>
        <w:tc>
          <w:tcPr>
            <w:tcW w:w="206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74.8-77.3%</w:t>
            </w:r>
          </w:p>
        </w:tc>
        <w:tc>
          <w:tcPr>
            <w:tcW w:w="280" w:type="dxa"/>
            <w:vAlign w:val="bottom"/>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7"/>
              </w:rPr>
              <w:t>71.4-76.7%</w:t>
            </w:r>
          </w:p>
        </w:tc>
        <w:tc>
          <w:tcPr>
            <w:tcW w:w="280" w:type="dxa"/>
            <w:vAlign w:val="bottom"/>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2.27 %</w:t>
            </w:r>
          </w:p>
        </w:tc>
        <w:tc>
          <w:tcPr>
            <w:tcW w:w="2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1.11 %</w:t>
            </w:r>
          </w:p>
        </w:tc>
        <w:tc>
          <w:tcPr>
            <w:tcW w:w="22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w w:val="94"/>
              </w:rPr>
              <w:t>1.07 %</w:t>
            </w:r>
          </w:p>
        </w:tc>
      </w:tr>
      <w:tr>
        <w:trPr>
          <w:trHeight w:val="23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0.00 %</w:t>
            </w:r>
          </w:p>
        </w:tc>
        <w:tc>
          <w:tcPr>
            <w:tcW w:w="2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0.00 %</w:t>
            </w:r>
          </w:p>
        </w:tc>
        <w:tc>
          <w:tcPr>
            <w:tcW w:w="222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w w:val="94"/>
              </w:rPr>
              <w:t>0.00 %</w:t>
            </w: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6.08</w:t>
            </w:r>
          </w:p>
        </w:tc>
        <w:tc>
          <w:tcPr>
            <w:tcW w:w="280" w:type="dxa"/>
            <w:vAlign w:val="bottom"/>
          </w:tcPr>
          <w:p>
            <w:pPr>
              <w:spacing w:after="0"/>
              <w:rPr>
                <w:sz w:val="21"/>
                <w:szCs w:val="21"/>
                <w:color w:val="auto"/>
              </w:rPr>
            </w:pPr>
          </w:p>
        </w:tc>
        <w:tc>
          <w:tcPr>
            <w:tcW w:w="206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6.12</w:t>
            </w:r>
          </w:p>
        </w:tc>
        <w:tc>
          <w:tcPr>
            <w:tcW w:w="280" w:type="dxa"/>
            <w:vAlign w:val="bottom"/>
          </w:tcPr>
          <w:p>
            <w:pPr>
              <w:spacing w:after="0"/>
              <w:rPr>
                <w:sz w:val="21"/>
                <w:szCs w:val="21"/>
                <w:color w:val="auto"/>
              </w:rPr>
            </w:pP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option activity under the Company’s equity award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6,034,192</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(484,435 )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(216,611 )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7,548,392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3,790,249</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205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124" w:lineRule="exact"/>
        <w:rPr>
          <w:sz w:val="20"/>
          <w:szCs w:val="20"/>
          <w:color w:val="auto"/>
        </w:rPr>
      </w:pPr>
    </w:p>
    <w:p>
      <w:pPr>
        <w:ind w:left="520" w:right="220" w:hanging="512"/>
        <w:spacing w:after="0" w:line="282" w:lineRule="auto"/>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estimated fair value of the common stock for the options that were in the money as of December 31, 2022 and 2021.</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granted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expense related to performance-based stock options was immaterial for the years ended December 31, 2022 and 2021 and no expense was recognized for the year ended December 31, 2020.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during the years ended December 31, 2022, 2021 and 2020, was $40.86,</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$58.56 and $15.32, respectively. The aggregate intrinsic value of stock options exercised during the years ended December 31, 2022, 2021 and 2020 was $23.4 million, $85.1 million and $29.9 million, respectively. The weighted-average exercise price of stock options exercised for the years ended December 31, 2022, 2021 and 2020 was $5.64, $9.88 and $3.67, respectively.</w:t>
      </w:r>
    </w:p>
    <w:p>
      <w:pPr>
        <w:spacing w:after="0" w:line="7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$135.3 million of unrecognized compensation cost related to unvested stock options, which is expected to be recognized over a weighted-average period of approximately 2.4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issued shares of restricted common stock during the years ended December 31, 2022 and 2021, which consisted only of restricted stock units. The company issued shares of restricted common stock during the year ended December 31, 2020, which consisted restricted stock units and awards. Restricted common stock issued generally vests over a period of two to four years.</w:t>
      </w:r>
    </w:p>
    <w:p>
      <w:pPr>
        <w:spacing w:after="0" w:line="6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Under the 2017 Plan, the Company granted restricted common stock awards with service conditions. In 2018, the Company issued shares of restricted common stock to certain of the Company’s scientific founders and a portion of these issued shares were subject to vesting over a period of four years, with the commencement of vesting of the remaining shares upon the achievement of certain financing milestones, and in certain instances continued service after the milestones were achieved.</w:t>
      </w:r>
    </w:p>
    <w:p>
      <w:pPr>
        <w:spacing w:after="0" w:line="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183" w:name="page184"/>
    <w:bookmarkEnd w:id="183"/>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Generally, if the holders of restricted common stock cease to have a business relationship with the Company, the Company may reacquire any unvested shares of common stock held by these individuals for the original purchase price, and in certain instances for no consideration. The amounts received to date for the purchase price of restricted stock are immaterial. The unvested shares of restricted common stock are not considered outstanding shares for accounting purposes until the shares vest.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restricted stock activity: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3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1,126,206</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(424,303 )</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(81,009 )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shares that vested during the years ended December 31, 2022, 2021 and 2020 was $53.1 million, $6.4 million and $6.9 million,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2022, there was approximately $92.6 million of unrecognized stock-based compensation expense related to restricted stock that is expected to vest. These costs are expected to be recognized over a weighted-average remaining vesting period of approximately 3.0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2020, the Company’s board of directors adopted the Beam Therapeutics Inc. 2019 Employee Stock Purchase Plan, or ESPP, which was approved by the Company’s stockholders. Pursuant to the ESPP, certain employees of the Company, excluding consultants and non-employee directors, are eligible to purchase common stock of the Company at a reduced rate during offering periods. The ESPP permits participants to purchase common stock using funds contributed through payroll deductions, subject to a calendar year limit of $25,000 and at a purchase price of 85% of the lower of the fair market value of the Company’s common stock on the first trading day of the offering period or on the applicable purchase date, which will be the final trading day of the applicable purchase period.</w:t>
      </w:r>
    </w:p>
    <w:p>
      <w:pPr>
        <w:spacing w:after="0" w:line="29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used the Black-Scholes option valuation model to estimate the fair value of the purchase right under the ESPP on the date of grant. The expected volatility is based on the historical volatility of the Company's common stock for a period of years corresponding with the expected life of the option. The risk-free interest rate is based on the U.S. Treasury yield curve at the time of grant for securities with a maturity period similar to the expected life of the option. The expected life is based on the term of the purchase period for the grants made under the ESPP. The Company uses the straight-line attribution approach to record the expense over the offering period.</w:t>
      </w:r>
    </w:p>
    <w:p>
      <w:pPr>
        <w:spacing w:after="0" w:line="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attribution approach to record the expense over the offering period. Stock-based compensation expense related to the ESPP for the year ended December 31, 2022 and 2021 was $1.5 million and $0.3 million, respectively. There was no stock-based compensation expense incurred related to the ESPP for the year ended December 31, 2020.</w:t>
      </w:r>
    </w:p>
    <w:p>
      <w:pPr>
        <w:spacing w:after="0" w:line="68"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Company issued 70,073 shares under the ESPP during the twelve months ended December 31, 2022. There were no shares issued under the ESPP during the twelve months ended December 31, 2021. As of December 31, 2022, the Company had 1,665,199 shares available for issuance under the ESPP.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 attributable to common stockholders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440" w:type="dxa"/>
            <w:vAlign w:val="bottom"/>
          </w:tcPr>
          <w:p>
            <w:pPr>
              <w:spacing w:after="0"/>
              <w:rPr>
                <w:sz w:val="16"/>
                <w:szCs w:val="16"/>
                <w:color w:val="auto"/>
              </w:rPr>
            </w:pPr>
          </w:p>
        </w:tc>
        <w:tc>
          <w:tcPr>
            <w:tcW w:w="36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30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1,692,819</w:t>
            </w: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1,126,206</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1,275,338</w:t>
            </w:r>
          </w:p>
        </w:tc>
        <w:tc>
          <w:tcPr>
            <w:tcW w:w="100" w:type="dxa"/>
            <w:vAlign w:val="bottom"/>
            <w:shd w:val="clear" w:color="auto" w:fill="CFF0FC"/>
          </w:tcPr>
          <w:p>
            <w:pPr>
              <w:spacing w:after="0"/>
              <w:rPr>
                <w:sz w:val="20"/>
                <w:szCs w:val="20"/>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7,548,392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6,034,192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5,336,441</w:t>
            </w:r>
          </w:p>
        </w:tc>
        <w:tc>
          <w:tcPr>
            <w:tcW w:w="100" w:type="dxa"/>
            <w:vAlign w:val="bottom"/>
          </w:tcPr>
          <w:p>
            <w:pPr>
              <w:spacing w:after="0"/>
              <w:rPr>
                <w:sz w:val="20"/>
                <w:szCs w:val="20"/>
                <w:color w:val="auto"/>
              </w:rPr>
            </w:pPr>
          </w:p>
        </w:tc>
      </w:tr>
      <w:tr>
        <w:trPr>
          <w:trHeight w:val="243"/>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45,906</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9,287,117</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7,179,777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6,611,779</w:t>
            </w:r>
          </w:p>
        </w:tc>
        <w:tc>
          <w:tcPr>
            <w:tcW w:w="1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4440" w:type="dxa"/>
            <w:vAlign w:val="bottom"/>
          </w:tcPr>
          <w:p>
            <w:pPr>
              <w:spacing w:after="0"/>
              <w:rPr>
                <w:sz w:val="24"/>
                <w:szCs w:val="24"/>
                <w:color w:val="auto"/>
              </w:rPr>
            </w:pPr>
          </w:p>
        </w:tc>
        <w:tc>
          <w:tcPr>
            <w:tcW w:w="362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rPr>
              <w:t>F-40</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-548005</wp:posOffset>
            </wp:positionV>
            <wp:extent cx="7747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-548005</wp:posOffset>
            </wp:positionV>
            <wp:extent cx="6858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4" w:name="page185"/>
    <w:bookmarkEnd w:id="184"/>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(289,088 )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(370,638 )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(194,592 )</w:t>
            </w:r>
          </w:p>
        </w:tc>
        <w:tc>
          <w:tcPr>
            <w:tcW w:w="0" w:type="dxa"/>
            <w:vAlign w:val="bottom"/>
          </w:tcPr>
          <w:p>
            <w:pPr>
              <w:spacing w:after="0"/>
              <w:rPr>
                <w:sz w:val="1"/>
                <w:szCs w:val="1"/>
                <w:color w:val="auto"/>
              </w:rPr>
            </w:pPr>
          </w:p>
        </w:tc>
      </w:tr>
      <w:tr>
        <w:trPr>
          <w:trHeight w:val="215"/>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w:t>
            </w: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(1,277 )</w:t>
            </w:r>
          </w:p>
        </w:tc>
        <w:tc>
          <w:tcPr>
            <w:tcW w:w="0" w:type="dxa"/>
            <w:vAlign w:val="bottom"/>
          </w:tcPr>
          <w:p>
            <w:pPr>
              <w:spacing w:after="0"/>
              <w:rPr>
                <w:sz w:val="1"/>
                <w:szCs w:val="1"/>
                <w:color w:val="auto"/>
              </w:rPr>
            </w:pPr>
          </w:p>
        </w:tc>
      </w:tr>
      <w:tr>
        <w:trPr>
          <w:trHeight w:val="234"/>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including dividends on preferred stock</w:t>
            </w:r>
          </w:p>
        </w:tc>
        <w:tc>
          <w:tcPr>
            <w:tcW w:w="36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(289,088 )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(370,638 )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(195,869 )</w:t>
            </w:r>
          </w:p>
        </w:tc>
        <w:tc>
          <w:tcPr>
            <w:tcW w:w="0" w:type="dxa"/>
            <w:vAlign w:val="bottom"/>
          </w:tcPr>
          <w:p>
            <w:pPr>
              <w:spacing w:after="0"/>
              <w:rPr>
                <w:sz w:val="1"/>
                <w:szCs w:val="1"/>
                <w:color w:val="auto"/>
              </w:rPr>
            </w:pPr>
          </w:p>
        </w:tc>
      </w:tr>
      <w:tr>
        <w:trPr>
          <w:trHeight w:val="24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70,015,305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64,227,676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46,733,221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 and</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(4.13 )</w:t>
            </w:r>
          </w:p>
        </w:tc>
        <w:tc>
          <w:tcPr>
            <w:tcW w:w="5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(5.77 )</w:t>
            </w:r>
          </w:p>
        </w:tc>
        <w:tc>
          <w:tcPr>
            <w:tcW w:w="36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27"/>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500" w:type="dxa"/>
            <w:vAlign w:val="bottom"/>
            <w:gridSpan w:val="2"/>
            <w:vMerge w:val="continue"/>
            <w:shd w:val="clear" w:color="auto" w:fill="CFF0FC"/>
          </w:tcPr>
          <w:p>
            <w:pPr>
              <w:spacing w:after="0"/>
              <w:rPr>
                <w:sz w:val="19"/>
                <w:szCs w:val="19"/>
                <w:color w:val="auto"/>
              </w:rPr>
            </w:pPr>
          </w:p>
        </w:tc>
        <w:tc>
          <w:tcPr>
            <w:tcW w:w="142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-770890</wp:posOffset>
            </wp:positionV>
            <wp:extent cx="77470" cy="1631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-770890</wp:posOffset>
            </wp:positionV>
            <wp:extent cx="68580" cy="163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63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income tax expense computed using the federal statutory income tax rate to the Company’s effective income tax rate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540" w:type="dxa"/>
            <w:vAlign w:val="bottom"/>
            <w:gridSpan w:val="2"/>
          </w:tcPr>
          <w:p>
            <w:pPr>
              <w:ind w:left="7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Nondeductible/ nontaxable permanent items</w:t>
            </w:r>
          </w:p>
        </w:tc>
        <w:tc>
          <w:tcPr>
            <w:tcW w:w="6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(1.8 )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IPR&amp;D Guide Acquisition</w:t>
            </w: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(32.0 )</w:t>
            </w:r>
          </w:p>
        </w:tc>
        <w:tc>
          <w:tcPr>
            <w:tcW w:w="15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(20.6 )</w:t>
            </w: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taxes are as follows (in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26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84,622</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63,816</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297,100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ROU asset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(31,860 )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(27,950 )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(508 )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(10,325 )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(254,407 )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(172,111 )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F-41</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-4500245</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1797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-548005</wp:posOffset>
            </wp:positionV>
            <wp:extent cx="6858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72" w:right="279" w:bottom="1440" w:gutter="0" w:footer="0" w:header="0"/>
        </w:sectPr>
      </w:pPr>
    </w:p>
    <w:bookmarkStart w:id="185" w:name="page186"/>
    <w:bookmarkEnd w:id="185"/>
    <w:p>
      <w:pPr>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the Company recorded $3.4 million of income tax expense, primarily as a result of the adoption of Section 174 of the Tax Cuts and Jobs Act of 2017, or TCJA, and full recognition of the Apellis and Pfizer license and collaboration revenue that was deferred in 2021 for tax purposes. The TCJA requires taxpayers to capitalize and amortize research and development expenditures for tax years beginning after December 31, 2021. This rule became effective for the Company during 2022 and resulted in capitalized research and development costs of $237.4 million as of December 31, 2022. The Company will amortize these costs for tax purposes over five years for research and development performed in the United States and over 15 years for research and development performed outside the United States. The Company had no income tax expense during the years ended 2021 or 2020. Management has evaluated the positive and negative evidence bearing upon the realizability of the Company’s net deferred tax assets and has determined that it is more likely than not that the Company will not recognize the benefits of the net deferred tax assets, except to the extent NOLs, or net operating losses, have been used to reduce taxable income. As a result, the Company has recorded a full valuation allowance at December 31, 2022 and 2021. The valuation allowance increased by $82.3 million in 2022 due to the increase in deferred tax assets, primarily due to increased capitalization of R&amp;D expenditures in 2022 as required by changes to the tax laws from the TCJA as described above. The valuation allowance increased by $77.1 million in 2021.</w:t>
      </w:r>
    </w:p>
    <w:p>
      <w:pPr>
        <w:spacing w:after="0" w:line="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Utilization of the NOL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The Company has completed a Section 382 study as of December 31, 2021. As of December 31, 2021 the Company had $374.4 million of federal NOLs available, $371.0 million of which are subject to an 80% limitation.</w:t>
      </w:r>
    </w:p>
    <w:p>
      <w:pPr>
        <w:spacing w:after="0" w:line="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$120.3 million of federal NOL carryforwards. The federal NOLs generated in 2021 will not expire. Additionally, as of December 31, 2022, the Company had $18.9 million of federal and $11.3 million of Massachusetts tax credits that expire starting in 2042.</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filed income tax returns in the United States and the Commonwealth of Massachusetts in all tax years since inception. Tax years beginning in 2018 remain open to examination in these jurisdictions, as carryforward attributes generated in past years may be adjusted in a future period. The IRS has not made any assessments as of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described in Note 8, the Company has significant influence over, but does not control, Orbital through its noncontrolling representation on Orbital's board of directors and the Company’s equity interest in Orbital. The Company and Orbital are also parties to a collaboration and license agreement and have multiple common board members. The Company has a 31.5% equity interest in Orbital as of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made payments of $0.4 million, $0.5 million and $0.5 million, respectively, to its three founder shareholders for scientific consulting and other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Verve are parties to a collaboration and license agreement and had a common board member through the first half of 2022.</w:t>
      </w:r>
    </w:p>
    <w:p>
      <w:pPr>
        <w:spacing w:after="0" w:line="1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Prior to Verve’s initial public offering in June 2021, the Company owned both common and preferred shares of Verve and valued such investment based on the cost of the equity securities adjusted for any observable market transactions. Following the initial public offering, and the conversion to common stock and the stock split, the equity securities have a readily determinable fair value and the Company owned 546,970 shares of Verve's common stock, the value of which is included in marketable securities in the consolidated balance sheet. The Company recorded the investment as fair value, which resulted in the recognition of $9.6 million of other expense, $17.7 million of other income and $0.5 million of other income for the twelve months ended December 31, 2022, 2021 and 2020, respectively. The value of this investment as of December 31, 2022 and 2021 is $10.6 million and $20.2 million, respectively.</w:t>
      </w:r>
    </w:p>
    <w:p>
      <w:pPr>
        <w:spacing w:after="0" w:line="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purchased shares of Verve series A preferred stock valued at $0.8 million. These shares were converted into shares of Verve common stock in connection with Verve’s initial public offering.</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4" w:right="399" w:bottom="1440" w:gutter="0" w:footer="0" w:header="0"/>
        </w:sectPr>
      </w:pPr>
    </w:p>
    <w:bookmarkStart w:id="186" w:name="page187"/>
    <w:bookmarkEnd w:id="186"/>
    <w:p>
      <w:pPr>
        <w:spacing w:after="0" w:line="258" w:lineRule="auto"/>
        <w:rPr>
          <w:sz w:val="20"/>
          <w:szCs w:val="20"/>
          <w:color w:val="auto"/>
        </w:rPr>
      </w:pPr>
      <w:r>
        <w:rPr>
          <w:rFonts w:ascii="Times New Roman" w:cs="Times New Roman" w:eastAsia="Times New Roman" w:hAnsi="Times New Roman"/>
          <w:sz w:val="18"/>
          <w:szCs w:val="18"/>
          <w:color w:val="auto"/>
        </w:rPr>
        <w:t>The Company purchased certain materials from Verve amounting to $0.4 million, $0.2 million and $0.4 million, which is recorded as research and development expenses within the accompanying consolidated statements of operations and other comprehensive loss for the years ended December 31, 2022, 2021, and 2020 respectively. The Company also sold certain materials to Verve amounting to $0.2 million, which is recorded as interest and other income (expense), net within the accompanying consolidated statements of operations and other comprehensive loss for the year ended December 31, 2020. The Company did not sell any materials to Verve during the years ended December 31, 2022 and 2021.</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2021, the Company entered into an agreement pursuant to which Verve subleased 12,000 square feet of the Company’s existing office and laboratory space for a term of one year which began in December 2021. The Company recorded $1.3 million and $0.1 million of sublease income related to this sublease within the accompanying consolidated statements of operations and other comprehensive loss for the years ended December 31, 2022 and 2021, respectively, as well as its proportionate costs for the landlord’s operating expense, insurance, property taxes, and utilities. As of December 31, 2022, the Verve sublease agreement had expired.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and Prime Medicine are parties to a collaboration and license agreement and have a common founder and had a common board member into the third quarter of 2022.</w:t>
      </w:r>
    </w:p>
    <w:p>
      <w:pPr>
        <w:spacing w:after="0" w:line="8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September 2020, the Company elected to continue its collaboration with Prime Medicine and, in October 2020, as required by the terms under its collaboration and license agreement with Prime Medicine, issued 200,307 shares of the Company’s common stock to Prime Medicine. The Company recognized $5.5 million, which represents the fair value of the Company's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2022, Prime completed an initial public offering of its common stock. In connection with Prime's initial public offering, Prime effected a one-for-3.1088 reverse stock split. As of December 31, 2022 the Company owned 1,608,337 shares of Prime's common stock valued at $29.9 million and recognized $29.8 million of other income during the twelve months ended December 31, 2022 associated with changes in the fair value of Prime's common stock.</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services provided to the Company by Prime Medicine were immaterial for the year ended December 31, 2022. Additionally, in September 2019, in connection with the Company’s collaboration and license agreement with Prime Medicine, the Company executed a letter agreement, as amended, to provide certain interim management and startup services to Prime Medicine through March 2021. Prime Medicine was obligated to reimburse the Company’s out-of-pocket costs incurred in connection with performing the services and, beginning in October 2020 and ending March 2021, paid the Company a $30,000 monthly service fee. The Company recognized $0.1 million for performing such services in interest and other income (expense), net, during each of the years ended December 31, 2021 and 2020. The Company did not perform any such services during the twelve months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$2.0 million, $1.1 million, and $0.6 million for the years ended December 31, 2022, 2021, and 2020 respectively.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BEAM THERAPEUTICS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 BYLAWS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 —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color w:val="auto"/>
        </w:rPr>
        <w:t>An annual meeting of the stockholders of Beam Therapeutics Inc., a Delaware corporation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for the election of directors to succeed those whose terms expire and for the transaction of such other business as may properly come before the meeting shall be held at the place, if any, within or without the State of Delaware, on the date and at the hour that the Board of Directors of the Corporation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shall each year fix. Unless stated otherwise in the notice of the annual meeting of the stockholders of the Corporation, such annual meeting shall be at the principal office of the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22"/>
          <w:szCs w:val="22"/>
          <w:u w:val="single" w:color="auto"/>
          <w:color w:val="auto"/>
        </w:rPr>
        <w:t>Special Meetings;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Special meetings of the stockholders of the Corporation may be called only to the extent and in the manner set forth in the Certificate of Incorporation. Notice of every special meeting of the stockholders of the Corporation shall state the purpose or purposes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Notice of the place, if any, date and hour of all meetings of stockholders of the Corporation, the record date for determining the stockholders entitled to vote at the meeting (if such date is different from the record date for stockholders entitled to notice of the meeting) and the means of remote communications, if any, by which stockholders and proxy holders may be deemed present and vote at such meeting, and, in the case of all special meetings of stockholders, the purpose or purposes of the meeting, shall be given, not less than ten (10) nor more than sixty (60) days before the date on which such meeting is to be held (unless a different time is specified by law), to each stockholder entitled to notice of the meeting.</w:t>
      </w:r>
    </w:p>
    <w:p>
      <w:pPr>
        <w:spacing w:after="0" w:line="181"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The Corporation may postpone or cancel any previously called annual or special meeting of stockholders of the Corporation by making a public announcement (as defined in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of such postponement or cancellation prior to the meeting. When a previously called annual or special meeting is postponed to another hour, date or place (including an adjournment taken to address a technical failure to convene or continue a meeting using remote communication), if any, notice of the place (if any), date and hour of the postponed meeting, the record date for determining the stockholders entitled to vote at the meeting (if such date is different from the record date for stockholders entitled to notice of the meeting) and the means of remote communications, if any, by which stockholders and proxy holders may be deemed present and vote at such postponed meeting, shall be given in conformity with this </w:t>
      </w:r>
      <w:r>
        <w:rPr>
          <w:rFonts w:ascii="Times New Roman" w:cs="Times New Roman" w:eastAsia="Times New Roman" w:hAnsi="Times New Roman"/>
          <w:sz w:val="22"/>
          <w:szCs w:val="22"/>
          <w:u w:val="single" w:color="auto"/>
          <w:color w:val="auto"/>
        </w:rPr>
        <w:t>Section 1.3</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88" w:name="page189"/>
    <w:bookmarkEnd w:id="188"/>
    <w:p>
      <w:pPr>
        <w:ind w:right="20" w:firstLine="54"/>
        <w:spacing w:after="0" w:line="258" w:lineRule="auto"/>
        <w:rPr>
          <w:sz w:val="20"/>
          <w:szCs w:val="20"/>
          <w:color w:val="auto"/>
        </w:rPr>
      </w:pPr>
      <w:r>
        <w:rPr>
          <w:rFonts w:ascii="Times New Roman" w:cs="Times New Roman" w:eastAsia="Times New Roman" w:hAnsi="Times New Roman"/>
          <w:sz w:val="22"/>
          <w:szCs w:val="22"/>
          <w:color w:val="auto"/>
        </w:rPr>
        <w:t xml:space="preserve">unless such meeting is postponed to a date that is not more than sixty (60) days after the date that the initial notice of the meeting was provided in conformity with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When a meeting is adjourned to another hour or place, notice need not be given of the adjourned meeting if the hour and place, if any, thereof and the means of remote communication, if any, by which stockholders and proxy holders may be deemed to be present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1.3; provided, however, that if the adjournment is for more than thirty (30) days, a notice of the adjourned meeting shall be given to each stockholder of record entitled to vote at the meeting, or if after the adjournment a new record date for stockholders entitled to vote is fixed for the adjourned meeting the Board of Directors shall fix a new record date for notice of such adjourned meeting in conformity herewith and such notice shall be given to each stockholder of record entitled to vote at such adjourned meeting as of the record date for notice of such adjourned meeting. At any adjourned meeting, any business may be transacted that may have been transacted at the original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At any meeting of the stockholders, the holders of shares of stock of the Corporation entitled to cast a majority of the total votes entitled to be cast by the holders of all outstanding shares of capital stock of the Corporation entitled to vote generally in the election of directors, present in person or by proxy, shall constitute a quorum for all purposes, unless or except to the extent that the presence of a larger number is required by applicable law or the Certificate of Incorporation. If a separate vote by one or more classes or series is required, the holders of shares entitled to cast a majority of the total votes entitled to be cast by the holders of the shares of the class or classes or series, present in person or represented by proxy, shall constitute a quorum entitled to take action with respect to that vote on that matter. A quorum, once established, shall not be broken by the subsequent withdrawal of enough votes to leave less than a quorum.</w:t>
      </w:r>
    </w:p>
    <w:p>
      <w:pPr>
        <w:spacing w:after="0" w:line="178"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If a quorum shall fail to attend any meeting, the chairperson of the meeting may adjourn the meeting to another place, if any, date and hour. At any such adjourned meeting at which there is a quorum, any business may be transacted that might have been transacted at the meeting originally called.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The Chairperson of the Board of Directors or, in his or her absence, the person whom the Board of Directors designates or, in the absence of that person or the failure of the Board of Directors to designate a person, the Chief Executive Officer of the Corporation or, in his or her absence, the person chosen by the holders of a majority of the shares of capital stock entitled to vote who are present, in person or by proxy, shall call to order any meeting of the stockholders of the Corporation and act as chairperson of the meeting. In the absence of the Secretary or 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Assistant Secretary of the Corporation, the secretary of the meeting shall be the person the chairperson appoints.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1.6.</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The chairperson of any meeting of stockholders of the Corporation shall determine the order of business and the rules of procedure for the conduct of such meeting, including the manner of voting and the conduct of discussion as he or she determines to be in order. The chairperson shall have the power to adjourn the meeting to another place, if any, date and hour. The date and hour of the opening and closing of the polls for each matter upon which the stockholders will vote at the meeting shall be announced at the meeting. Except to the extent inconsistent with such rules and regulations as adopted by the Board of Directors, the chairperson of the meeting shall have the right and authority to convene and (for any or no reason) to adjourn the meeting,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chairperson of the meeting shall determine; (d) restrictions on entry to the meeting after the hour fixed for the commencement thereof; and (e) limitations on the time allotted to questions or comments by participants. The chairperson of the meeting of stockholders, in addition to making any other determinations that may be appropriate to the conduct of the meeting, shall, if the facts warrant, determine and declare to the meeting that a nomination or matter of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of Directors or the chairperson of the meeting, meetings of stockholders shall not be required to be held in accordance with the rules of parliamentary procedure.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1.7.</w:t>
      </w:r>
      <w:r>
        <w:rPr>
          <w:rFonts w:ascii="Times New Roman" w:cs="Times New Roman" w:eastAsia="Times New Roman" w:hAnsi="Times New Roman"/>
          <w:sz w:val="22"/>
          <w:szCs w:val="22"/>
          <w:u w:val="single" w:color="auto"/>
          <w:color w:val="auto"/>
        </w:rPr>
        <w:t>Proxies; Inspectors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57"/>
        <w:spacing w:after="0" w:line="236" w:lineRule="auto"/>
        <w:tabs>
          <w:tab w:leader="none" w:pos="149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meeting of the stockholders, every stockholder entitled to vote may vote in person or by proxy authorized by an instrument in writing or by a transmission permitted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81" w:lineRule="exact"/>
        <w:rPr>
          <w:rFonts w:ascii="Times New Roman" w:cs="Times New Roman" w:eastAsia="Times New Roman" w:hAnsi="Times New Roman"/>
          <w:sz w:val="22"/>
          <w:szCs w:val="22"/>
          <w:color w:val="auto"/>
        </w:rPr>
      </w:pPr>
    </w:p>
    <w:p>
      <w:pPr>
        <w:ind w:right="120" w:firstLine="757"/>
        <w:spacing w:after="0" w:line="261" w:lineRule="auto"/>
        <w:tabs>
          <w:tab w:leader="none" w:pos="149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 meeting of the stockholders of the Corporation, the Corporation shall appoint one or more inspectors, who may be employees of the Corporation, to act at a meeting of stockholders of the Corporation and make a written report thereof. The Corporation may designate one or more persons as alternate inspectors to replace any inspector who fails to act. If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0" w:name="page191"/>
    <w:bookmarkEnd w:id="190"/>
    <w:p>
      <w:pPr>
        <w:ind w:right="20"/>
        <w:spacing w:after="0" w:line="233" w:lineRule="auto"/>
        <w:rPr>
          <w:sz w:val="20"/>
          <w:szCs w:val="20"/>
          <w:color w:val="auto"/>
        </w:rPr>
      </w:pPr>
      <w:r>
        <w:rPr>
          <w:rFonts w:ascii="Times New Roman" w:cs="Times New Roman" w:eastAsia="Times New Roman" w:hAnsi="Times New Roman"/>
          <w:sz w:val="22"/>
          <w:szCs w:val="22"/>
          <w:color w:val="auto"/>
        </w:rPr>
        <w:t>no inspector or alternate is able to act at a meeting of stockholders, the person presiding at the meeting may, and to the extent required by applicable law, shall, appoint one or more inspectors to act at the meeting. Each inspector, before beginning the discharge of his or her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 The inspectors shall have the duties prescribed by applicable law. Unless otherwise provided by the Board of Directors, the date and hour of the opening and the closing of the polls for each matter upon which the stockholders will vote at a meeting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1.8.</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Except as otherwise required by the rules or regulations of any stock exchange applicable to the Corporation, any law or regulation applicable to the Corporation or the Certificate of Incorporation, all matters other than the election of directors shall be determined by a majority of the votes cast on the matter affirmatively or negatively. When a quorum is present at any meeting of stockholders, a nominee for director shall be elected to the Board of Directors if the votes properly cast for such nominee’s election exceed the votes properly cast against such nominee’s election (with “abstentions” and “broker non-votes” not counted as votes cast either “for” or “against” any director’s election); provided, however, that directors shall be elected by a plurality of the votes properly cast at any meeting of stockholders at which there is a contested election of directors. An election shall be considered contested if as of the record date of any meeting of stockholders there are more nominees for election than positions on the Board of Directors to be filled by election at that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1.9.</w:t>
      </w:r>
      <w:r>
        <w:rPr>
          <w:rFonts w:ascii="Times New Roman" w:cs="Times New Roman" w:eastAsia="Times New Roman" w:hAnsi="Times New Roman"/>
          <w:sz w:val="22"/>
          <w:szCs w:val="22"/>
          <w:u w:val="single" w:color="auto"/>
          <w:color w:val="auto"/>
        </w:rPr>
        <w:t>Stock List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1"/>
          <w:szCs w:val="21"/>
          <w:color w:val="auto"/>
        </w:rPr>
        <w:t>A complete list of stockholders of the Corporation entitled to vote at any meeting of stockholders of the Corporation, arranged in alphabetical order for each class of stock and showing the address of each such stockholder and the number of shares registered in the name of such stockholder, shall be open to the examination of any such stockholder, for any purpose germane to a meeting of the stockholders of the Corporation, no later than the tenth day before the meeting (a) on a reasonably accessible electronic network, provided that the information required to gain access to such list is provided with the notice of the meeting or</w:t>
      </w:r>
    </w:p>
    <w:p>
      <w:pPr>
        <w:spacing w:after="0" w:line="1" w:lineRule="exact"/>
        <w:rPr>
          <w:sz w:val="20"/>
          <w:szCs w:val="20"/>
          <w:color w:val="auto"/>
        </w:rPr>
      </w:pPr>
    </w:p>
    <w:p>
      <w:pPr>
        <w:ind w:firstLine="8"/>
        <w:spacing w:after="0" w:line="247" w:lineRule="auto"/>
        <w:tabs>
          <w:tab w:leader="none" w:pos="30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ordinary business hours at the principal place of business of the Corporation; provided, however, if the record date for determining the stockholders entitled to vote is less than ten (10) days before the meeting date, the list shall reflect the stockholders entitled to vote as of the tenth (10th) day before such meeting date. The Corporation may look to this list as the sole evidence of the identity of the stockholders entitled to vote at a meeting and the number of shares held by each stockholder.</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Section 1.10.</w:t>
      </w:r>
      <w:r>
        <w:rPr>
          <w:rFonts w:ascii="Times New Roman" w:cs="Times New Roman" w:eastAsia="Times New Roman" w:hAnsi="Times New Roman"/>
          <w:sz w:val="22"/>
          <w:szCs w:val="22"/>
          <w:u w:val="single" w:color="auto"/>
          <w:color w:val="auto"/>
        </w:rPr>
        <w:t>Notice of Stockholder Nominations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57"/>
        <w:spacing w:after="0" w:line="233" w:lineRule="auto"/>
        <w:tabs>
          <w:tab w:leader="none" w:pos="149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directors entitled to be elected by the holders of preferred stock, only persons who are nominated in accordance with the procedures in this Section 1.10 shall be eligible for election as directors at any meeting of stockholders. Nomination for election to the Board of Directors at a meeting of stockholders may be made only (i) by or at the direction of the Board of Directors or (ii) by any stockholder of the Corporation who (x) has given timely notice thereof in writing to the Secretary in accordance with the procedures in, and otherwise complies with, Section 1.10(b), (y) is a stockholder of record who is entitled to vote for the election of such nominee on the date of the giving of such notice and on the record date for the determination of stockholders entitled to vote at such meeting and (z) is entitled to vote at such meeting. Notwithstanding the foregoing or anything herein to the contrary, a stockholder of the Corporation may make nominations for election to the Board of Directors at a special meeting of stockholders pursuant to the foregoing clause (ii) only if the Board of Directors has determined, in accordance with Section 1.10 that directors shall be elected at such special meeting and at such time that the stockholders are not prohibited from filling vacancies or newly created directorships on the Board of Directors. The number of nominees a stockholder may nominate for election at a meeting (or in the case of a stockholder giving the notice on behalf of a beneficial owner, the number of nominees a stockholder may nominate for election at the meeting on behalf of such beneficial owner) shall not exceed the number of directors to be elected at such meeting.</w:t>
      </w:r>
    </w:p>
    <w:p>
      <w:pPr>
        <w:spacing w:after="0" w:line="179" w:lineRule="exact"/>
        <w:rPr>
          <w:rFonts w:ascii="Times New Roman" w:cs="Times New Roman" w:eastAsia="Times New Roman" w:hAnsi="Times New Roman"/>
          <w:sz w:val="22"/>
          <w:szCs w:val="22"/>
          <w:color w:val="auto"/>
        </w:rPr>
      </w:pPr>
    </w:p>
    <w:p>
      <w:pPr>
        <w:ind w:firstLine="757"/>
        <w:spacing w:after="0" w:line="244" w:lineRule="auto"/>
        <w:tabs>
          <w:tab w:leader="none" w:pos="149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a stockholder’s notice must be received in writing by the Secretary at the principal executive office of the Corporation as follows: (1) in the case of an election of directors at an annual meeting,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given or public announcement of the date of such annual meeting was made, whichever first occurs; or (2) in the case of an election of directors at a special meeting of stockholders, provided that the Board of Directors has determined, in accordance with Section 1.10, that directors shall be elected at such special meeting and the stockholders are not then prohibited from filling vacancies or newly created directorships on the Board of Directors, and provided further that the nomination made by the stockholder is for one of the director positions that the Board of Directors has determined will be filled at such special meeting, not earlier than the 120th day prior to such special meeting and not later than the close of business on the later of (x) the 90th day prior to such special meeting and (y) the tenth day following the day on which notice of the date of such special meeting was given or public announcement of the date of such special meeting was made, whichever first occurs. In no event shall the adjournment or postponement of a meeting (or the public announcement thereof) commence a new time period (or extend any time period) for the giving of a stockholder’s notice.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2" w:name="page193"/>
    <w:bookmarkEnd w:id="192"/>
    <w:p>
      <w:pPr>
        <w:ind w:right="60" w:firstLine="749"/>
        <w:spacing w:after="0" w:line="249" w:lineRule="auto"/>
        <w:rPr>
          <w:sz w:val="20"/>
          <w:szCs w:val="20"/>
          <w:color w:val="auto"/>
        </w:rPr>
      </w:pPr>
      <w:r>
        <w:rPr>
          <w:rFonts w:ascii="Times New Roman" w:cs="Times New Roman" w:eastAsia="Times New Roman" w:hAnsi="Times New Roman"/>
          <w:sz w:val="21"/>
          <w:szCs w:val="21"/>
          <w:color w:val="auto"/>
        </w:rPr>
        <w:t>The stockholder’s notice to the Secretary shall set forth: (A) 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w:t>
      </w:r>
    </w:p>
    <w:p>
      <w:pPr>
        <w:spacing w:after="0" w:line="1" w:lineRule="exact"/>
        <w:rPr>
          <w:sz w:val="20"/>
          <w:szCs w:val="20"/>
          <w:color w:val="auto"/>
        </w:rPr>
      </w:pPr>
    </w:p>
    <w:p>
      <w:pPr>
        <w:ind w:firstLine="8"/>
        <w:spacing w:after="0" w:line="242" w:lineRule="auto"/>
        <w:tabs>
          <w:tab w:leader="none" w:pos="30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(each, a “</w:t>
      </w:r>
      <w:r>
        <w:rPr>
          <w:rFonts w:ascii="Times New Roman" w:cs="Times New Roman" w:eastAsia="Times New Roman" w:hAnsi="Times New Roman"/>
          <w:sz w:val="21"/>
          <w:szCs w:val="21"/>
          <w:u w:val="single" w:color="auto"/>
          <w:color w:val="auto"/>
        </w:rPr>
        <w:t>Stockholder Associated Person</w:t>
      </w:r>
      <w:r>
        <w:rPr>
          <w:rFonts w:ascii="Times New Roman" w:cs="Times New Roman" w:eastAsia="Times New Roman" w:hAnsi="Times New Roman"/>
          <w:sz w:val="21"/>
          <w:szCs w:val="21"/>
          <w:color w:val="auto"/>
        </w:rPr>
        <w:t>”),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Stockholder Associated Person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(B) as to the stockholder giving the notice and the beneficial owner, if any, on whose behalf the nomination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related to the nomination of such stockholder, such beneficial owner and/or any Stockholder Associated Person, (4) 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or votes in favor of electing such nominee(s),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the Corporation, (6) any other information relating to such stockholder, such beneficial owner and/or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(7) a representation that such stockholder intends to appear in person or by proxy at the meeting to nominate the person(s) named in its notice, (8) a representation that such stockholder, such beneficial owner and/or any Stockholder Associated Person has complied, and will comply, with all applicable requirements of state law and the Exchange Act with respect to matters set forth in this Section 1.10, and (9) a representation whether such stockholder, such beneficial owner and/or any Stockholder Associated Person intends or is part of a group that intends (x) to deliver a proxy statement and/or form of proxy to holders of at least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3" w:name="page194"/>
    <w:bookmarkEnd w:id="193"/>
    <w:p>
      <w:pPr>
        <w:spacing w:after="0" w:line="232" w:lineRule="auto"/>
        <w:rPr>
          <w:sz w:val="20"/>
          <w:szCs w:val="20"/>
          <w:color w:val="auto"/>
        </w:rPr>
      </w:pPr>
      <w:r>
        <w:rPr>
          <w:rFonts w:ascii="Times New Roman" w:cs="Times New Roman" w:eastAsia="Times New Roman" w:hAnsi="Times New Roman"/>
          <w:sz w:val="22"/>
          <w:szCs w:val="22"/>
          <w:color w:val="auto"/>
        </w:rPr>
        <w:t>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10 days after the record date for the meeting, the information required by Items (A)(1)-(5) and (B)(1)-(6) of the prior sentence shall be supplemented by the stockholder giving the notice to provide updated information as of the record date. In addition, to be effective, the stockholder’s notice must also be accompanied by the written consent of the proposed nominee to being named in the Corporation’s proxy statement and accompanying proxy card as a nominee and to serve as a director if elected. In addition, to be in proper form, such notice must be accompanied by (1) a written questionnaire with respect to the background and qualification of each proposed nominee completed by such proposed nominee in the form required by the Corporation (which form the stockholder shall request in writing from the Secretary of the Corporation and which the Secretary shall provide to such stockholder within 10 days of receiving such request) and (2) each such proposed nominee’s written representation and agreement in the form required by the Corporation (which form the stockholder shall request in writing from the Secretary of the Corporation and which the Secretary shall provide to such stockholder within 10 days of receiving such request) that: (A) such proposed nominee is not and will not become party to any agreement, arrangement or understanding with, and has not given any commitment or assurance to, any person or entity as to how such proposed nominee, if elected as a director of the corporation, will act or vote on any issue or question that has not been disclosed to the corporation;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such proposed nominee will, if elected as a director of the Corporation, comply with all of the Corporation’s corporate governance, conflict of interest, confidentiality and stock ownership and trading policies and guidelines, and any other Corporation policies and guidelines applicable to directors. Notwithstanding anything herein to the contrary, a stockholder shall not have complied with this Section 1.10(b) if the stockholder, beneficial owner and/or any Stockholder Associated Person solicits or does not solicit, as the case may be, proxies or votes in support of such stockholder’s nominee in contravention of the representations with respect thereto required by this Section 1.10.</w:t>
      </w:r>
    </w:p>
    <w:p>
      <w:pPr>
        <w:spacing w:after="0" w:line="177" w:lineRule="exact"/>
        <w:rPr>
          <w:sz w:val="20"/>
          <w:szCs w:val="20"/>
          <w:color w:val="auto"/>
        </w:rPr>
      </w:pPr>
    </w:p>
    <w:p>
      <w:pPr>
        <w:ind w:right="100" w:firstLine="757"/>
        <w:spacing w:after="0" w:line="246" w:lineRule="auto"/>
        <w:tabs>
          <w:tab w:leader="none" w:pos="149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notice must also be accompanied by a representation as to whether or not such stockholder, beneficial owner and/or any Stockholder Associated Person intends to solicit proxies in support of any director nominees other than the Corporation’s nominees in accordance with Rule 14a-19 under the Exchange Act, and, where such stockholder, beneficial owner and/or Stockholder Associated Person intends to so solicit proxies, the notice and information required by Rule 14a-19(b) under the Exchange Act. Notwithstanding anything to the contrary in these bylaws, unless otherwise required by law, if any stockholder, beneficial owner and/or Stockholder Associated Person (i) provides notice pursuant to Rule 14a-19(b) under the Exchange Act and (ii) subsequently fails to comply with the requirements of Rule 14a-19(a)(2) and Rule 14a-19(a)(3) under the Exchange Act (or fails to timely provide reasonable evidence sufficient to satisfy the Corporation that such stockholder, beneficial owner and/or Stockholder Associated Person has met the requirements of Rule 14a-19(a)(3) promulgated under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4" w:name="page195"/>
    <w:bookmarkEnd w:id="194"/>
    <w:p>
      <w:pPr>
        <w:spacing w:after="0" w:line="235" w:lineRule="auto"/>
        <w:rPr>
          <w:sz w:val="20"/>
          <w:szCs w:val="20"/>
          <w:color w:val="auto"/>
        </w:rPr>
      </w:pPr>
      <w:r>
        <w:rPr>
          <w:rFonts w:ascii="Times New Roman" w:cs="Times New Roman" w:eastAsia="Times New Roman" w:hAnsi="Times New Roman"/>
          <w:sz w:val="22"/>
          <w:szCs w:val="22"/>
          <w:color w:val="auto"/>
        </w:rPr>
        <w:t>Exchange Act in accordance with the following sentence), then the nomination of each of the director nominees proposed by such stockholder, beneficial owner and/or Stockholder Associated Person shall be disregarded, notwithstanding that proxies or votes in respect of the election of such proposed nominees may have been received by the Corporation (which proxies and votes shall be disregarded). Upon request by the Corporation, if any stockholder, beneficial owner and/or Stockholder Associated Person provides notice pursuant to Rule 14a-19(b) under the Exchange Act, such stockholder, beneficial owner and/or Stockholder Associated Person shall deliver to the Corporation, no later than five business days prior to the applicable meeting, reasonable evidence that it has met the requirements of Rule 14a-19(a)(3) under the Exchange Act.</w:t>
      </w:r>
    </w:p>
    <w:p>
      <w:pPr>
        <w:spacing w:after="0" w:line="183" w:lineRule="exact"/>
        <w:rPr>
          <w:sz w:val="20"/>
          <w:szCs w:val="20"/>
          <w:color w:val="auto"/>
        </w:rPr>
      </w:pPr>
    </w:p>
    <w:p>
      <w:pPr>
        <w:ind w:right="100" w:firstLine="757"/>
        <w:spacing w:after="0" w:line="235"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any meeting (and, in advance of any meeting, the Board of Directors) shall have the power and duty to determine whether a nomination was made in accordance with the provisions of this Section 1.10 (including whether the stockholder, beneficial owner and/or any Stockholder Associated Person did or did not so solicit, as the case may be, proxies or votes in support of such stockholder’s nominee in compliance with the representations with respect thereto required by this Section 1.10), and if the chairperson (or the Board of Directors) should determine that a nomination was not made in accordance with the provisions of this Section 1.10, the chairperson shall so declare to the meeting and such nomination shall not be brought before the meeting.</w:t>
      </w:r>
    </w:p>
    <w:p>
      <w:pPr>
        <w:spacing w:after="0" w:line="183" w:lineRule="exact"/>
        <w:rPr>
          <w:rFonts w:ascii="Times New Roman" w:cs="Times New Roman" w:eastAsia="Times New Roman" w:hAnsi="Times New Roman"/>
          <w:sz w:val="22"/>
          <w:szCs w:val="22"/>
          <w:color w:val="auto"/>
        </w:rPr>
      </w:pPr>
    </w:p>
    <w:p>
      <w:pPr>
        <w:jc w:val="both"/>
        <w:ind w:right="220" w:firstLine="757"/>
        <w:spacing w:after="0" w:line="239"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(including Rule 14a-19 under the Exchange Act), nothing in this Section 1.10 of Article I shall obligate the Corporation or the Board of Directors to include in any proxy statement, proxy card or other stockholder communication distributed on behalf of the Corporation or the Board of Directors the name of or other information with respect to any nominee for director submitted by a stockholder.</w:t>
      </w:r>
    </w:p>
    <w:p>
      <w:pPr>
        <w:spacing w:after="0" w:line="180" w:lineRule="exact"/>
        <w:rPr>
          <w:rFonts w:ascii="Times New Roman" w:cs="Times New Roman" w:eastAsia="Times New Roman" w:hAnsi="Times New Roman"/>
          <w:sz w:val="22"/>
          <w:szCs w:val="22"/>
          <w:color w:val="auto"/>
        </w:rPr>
      </w:pPr>
    </w:p>
    <w:p>
      <w:pPr>
        <w:ind w:right="20" w:firstLine="757"/>
        <w:spacing w:after="0" w:line="235"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 duly authorized officer, manager or partner of such stockholder or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78" w:lineRule="exact"/>
        <w:rPr>
          <w:rFonts w:ascii="Times New Roman" w:cs="Times New Roman" w:eastAsia="Times New Roman" w:hAnsi="Times New Roman"/>
          <w:sz w:val="22"/>
          <w:szCs w:val="22"/>
          <w:color w:val="auto"/>
        </w:rPr>
      </w:pPr>
    </w:p>
    <w:p>
      <w:pPr>
        <w:ind w:right="80" w:firstLine="757"/>
        <w:spacing w:after="0" w:line="244"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1.10, “public announcement”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3" w:lineRule="exact"/>
        <w:rPr>
          <w:rFonts w:ascii="Times New Roman" w:cs="Times New Roman" w:eastAsia="Times New Roman" w:hAnsi="Times New Roman"/>
          <w:sz w:val="22"/>
          <w:szCs w:val="22"/>
          <w:color w:val="auto"/>
        </w:rPr>
      </w:pPr>
    </w:p>
    <w:p>
      <w:pPr>
        <w:ind w:right="360" w:firstLine="757"/>
        <w:spacing w:after="0" w:line="244" w:lineRule="auto"/>
        <w:tabs>
          <w:tab w:leader="none" w:pos="149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elects otherwise, a stockholder’s notice to the Corporation of nominations shall be in writing exclusively (and not in an electronic transmission) and shall be delivered exclusively by hand (including, without limitation, overnight courier service) or by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5" w:name="page196"/>
    <w:bookmarkEnd w:id="195"/>
    <w:p>
      <w:pPr>
        <w:ind w:right="40"/>
        <w:spacing w:after="0" w:line="258" w:lineRule="auto"/>
        <w:rPr>
          <w:sz w:val="20"/>
          <w:szCs w:val="20"/>
          <w:color w:val="auto"/>
        </w:rPr>
      </w:pPr>
      <w:r>
        <w:rPr>
          <w:rFonts w:ascii="Times New Roman" w:cs="Times New Roman" w:eastAsia="Times New Roman" w:hAnsi="Times New Roman"/>
          <w:sz w:val="22"/>
          <w:szCs w:val="22"/>
          <w:color w:val="auto"/>
        </w:rPr>
        <w:t>certified or registered mail, return receipt requested, and the Corporation shall not be required to accept delivery of any document not in such written form or so delivered.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1.11.</w:t>
      </w:r>
      <w:r>
        <w:rPr>
          <w:rFonts w:ascii="Times New Roman" w:cs="Times New Roman" w:eastAsia="Times New Roman" w:hAnsi="Times New Roman"/>
          <w:sz w:val="22"/>
          <w:szCs w:val="22"/>
          <w:u w:val="single" w:color="auto"/>
          <w:color w:val="auto"/>
        </w:rPr>
        <w:t>Notice of Business at Annual Meetings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57"/>
        <w:spacing w:after="0" w:line="233" w:lineRule="auto"/>
        <w:tabs>
          <w:tab w:leader="none" w:pos="14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annual meeting,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and otherwise complied with, Section 1.11(b), (y) be a stockholder of record who is entitled to vote on such business on the date of the giving of such notice and on the record date for the determination of stockholders entitled to vote at such annual meeting and (z) be entitled to vote at such annual meeting.</w:t>
      </w:r>
    </w:p>
    <w:p>
      <w:pPr>
        <w:spacing w:after="0" w:line="187" w:lineRule="exact"/>
        <w:rPr>
          <w:rFonts w:ascii="Times New Roman" w:cs="Times New Roman" w:eastAsia="Times New Roman" w:hAnsi="Times New Roman"/>
          <w:sz w:val="22"/>
          <w:szCs w:val="22"/>
          <w:color w:val="auto"/>
        </w:rPr>
      </w:pPr>
    </w:p>
    <w:p>
      <w:pPr>
        <w:ind w:firstLine="757"/>
        <w:spacing w:after="0" w:line="234" w:lineRule="auto"/>
        <w:tabs>
          <w:tab w:leader="none" w:pos="14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a stockholder’s notice must be received in writing by the Secretary at the principal executive office of the Corporation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(x) the 90th day prior to such annual meeting and (y) the tenth day following the day on which notice of the date of such annual meeting was given or public announcement of the date of such annual meeting was made, whichever first occurs. In no event shall the adjournment or postponement of an annual meeting (or the public announcement thereof) commence a new time period (or extend any time period) for the giving of a stockholder’s notice.</w:t>
      </w:r>
    </w:p>
    <w:p>
      <w:pPr>
        <w:spacing w:after="0" w:line="179"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The stockholder’s notice to the Secretary shall set forth: (A) 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 (B) as to the stockholder giving the notice and the beneficial owner, if any, on whose behalf the proposal is being made (1) the name and address of such stockholder, as they appear on the Corporation’s books, and of such beneficial owner, (2) the class and series and number of shares of stock of the Corporation that are, directly or indirectly, owned, beneficially or of record, by such stockholder and such beneficial owner, (3) a description of any material interest of such stockholder, such beneficial owner and/or any Stockholder Associated Person in the business proposed to be brought before the annual meeting, (4) a description of any agreement, arrangement or understanding between or among such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6" w:name="page197"/>
    <w:bookmarkEnd w:id="196"/>
    <w:p>
      <w:pPr>
        <w:jc w:val="both"/>
        <w:ind w:right="180"/>
        <w:spacing w:after="0" w:line="253" w:lineRule="auto"/>
        <w:rPr>
          <w:sz w:val="20"/>
          <w:szCs w:val="20"/>
          <w:color w:val="auto"/>
        </w:rPr>
      </w:pPr>
      <w:r>
        <w:rPr>
          <w:rFonts w:ascii="Times New Roman" w:cs="Times New Roman" w:eastAsia="Times New Roman" w:hAnsi="Times New Roman"/>
          <w:sz w:val="21"/>
          <w:szCs w:val="21"/>
          <w:color w:val="auto"/>
        </w:rPr>
        <w:t>stockholder, such beneficial owner, any Stockholder Associated Person and any other person or persons (including their names) in connection with the proposal of such business or who may participate in the solicitation of proxies in favor of such proposal,</w:t>
      </w:r>
    </w:p>
    <w:p>
      <w:pPr>
        <w:spacing w:after="0" w:line="1" w:lineRule="exact"/>
        <w:rPr>
          <w:sz w:val="20"/>
          <w:szCs w:val="20"/>
          <w:color w:val="auto"/>
        </w:rPr>
      </w:pPr>
    </w:p>
    <w:p>
      <w:pPr>
        <w:ind w:firstLine="8"/>
        <w:spacing w:after="0" w:line="241" w:lineRule="auto"/>
        <w:tabs>
          <w:tab w:leader="none" w:pos="30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the corporation, (6) any other information relating to such stockholder, such beneficial owner and/or any Stockholder Associated Person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(8) a representation that such stockholder, such beneficial owner and/or any Stockholder Associated Person has complied, and will comply, with all applicable requirements of state law and the Exchange Act with respect to matters set forth in this Section 1.11, and (9) a representation whether such stockholder, such beneficial owner and/or any Stockholder Associated Person intends or is part of a group that intends (x) to deliver a proxy statement and/or form of proxy to holders of at least the percentage of the Corporation’s outstanding capital stock required to approve or adopt the proposal (and such representation shall be included in any such proxy statement and form of proxy) and/or</w:t>
      </w:r>
    </w:p>
    <w:p>
      <w:pPr>
        <w:spacing w:after="0" w:line="7" w:lineRule="exact"/>
        <w:rPr>
          <w:rFonts w:ascii="Times New Roman" w:cs="Times New Roman" w:eastAsia="Times New Roman" w:hAnsi="Times New Roman"/>
          <w:sz w:val="21"/>
          <w:szCs w:val="21"/>
          <w:color w:val="auto"/>
        </w:rPr>
      </w:pPr>
    </w:p>
    <w:p>
      <w:pPr>
        <w:ind w:right="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otherwise to solicit proxies or votes from stockholders in support of such proposal (and such representation shall be included in any such solicitation materials). Not later than 10 days after the record date for the meeting, the information required by Items (A)(3) and (B)(1)-(6) of the prior sentence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that complies with Rule 14a-8 of the proxy rules (or any successor provision) promulgated under the Exchange Act and is to be included in the Corporation’s proxy statement for an annual meeting shall be deemed to comply with the notice requirements of this Section 1.11. Notwithstanding anything herein to the contrary, a stockholder shall not have complied with this Section 1.11(b) if the stockholder, beneficial owner and/or any Stockholder Associated Person solicits or does not solicit, as the case may be, proxies or votes in support of such stockholder’s proposal in contravention of the representations with respect thereto required by this Section 1.11.</w:t>
      </w:r>
    </w:p>
    <w:p>
      <w:pPr>
        <w:spacing w:after="0" w:line="186" w:lineRule="exact"/>
        <w:rPr>
          <w:rFonts w:ascii="Times New Roman" w:cs="Times New Roman" w:eastAsia="Times New Roman" w:hAnsi="Times New Roman"/>
          <w:sz w:val="21"/>
          <w:szCs w:val="21"/>
          <w:color w:val="auto"/>
        </w:rPr>
      </w:pPr>
    </w:p>
    <w:p>
      <w:pPr>
        <w:ind w:right="200" w:firstLine="757"/>
        <w:spacing w:after="0" w:line="249" w:lineRule="auto"/>
        <w:tabs>
          <w:tab w:leader="none" w:pos="149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chairperson of any annual meeting (and, in advance of any annual meeting, the Board of Directors) shall have the power and duty to determine whether business was properly brought before the annual meeting in accordance with the provisions of this Section 1.11 (including whether the stockholder, beneficial owner and/or any Stockholder Associated Person did or did not so solicit, as the case may be, proxies or votes in support of such stockholder’s proposal in compliance with the representation with respect thereto required by this Section 1.11), and if the chairperson (or the Board of Directors) should determine that business was not properly brought before the annual meeting in accordance with the provisions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7" w:name="page198"/>
    <w:bookmarkEnd w:id="197"/>
    <w:p>
      <w:pPr>
        <w:ind w:right="480"/>
        <w:spacing w:after="0" w:line="258" w:lineRule="auto"/>
        <w:rPr>
          <w:sz w:val="20"/>
          <w:szCs w:val="20"/>
          <w:color w:val="auto"/>
        </w:rPr>
      </w:pPr>
      <w:r>
        <w:rPr>
          <w:rFonts w:ascii="Times New Roman" w:cs="Times New Roman" w:eastAsia="Times New Roman" w:hAnsi="Times New Roman"/>
          <w:sz w:val="22"/>
          <w:szCs w:val="22"/>
          <w:color w:val="auto"/>
        </w:rPr>
        <w:t>of this Section 1.11, the chairperson shall so declare to the meeting and such business shall not be brought before the annual meeting.</w:t>
      </w:r>
    </w:p>
    <w:p>
      <w:pPr>
        <w:spacing w:after="0" w:line="158" w:lineRule="exact"/>
        <w:rPr>
          <w:sz w:val="20"/>
          <w:szCs w:val="20"/>
          <w:color w:val="auto"/>
        </w:rPr>
      </w:pPr>
    </w:p>
    <w:p>
      <w:pPr>
        <w:ind w:right="100" w:firstLine="757"/>
        <w:spacing w:after="0" w:line="244" w:lineRule="auto"/>
        <w:tabs>
          <w:tab w:leader="none" w:pos="149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73" w:lineRule="exact"/>
        <w:rPr>
          <w:rFonts w:ascii="Times New Roman" w:cs="Times New Roman" w:eastAsia="Times New Roman" w:hAnsi="Times New Roman"/>
          <w:sz w:val="22"/>
          <w:szCs w:val="22"/>
          <w:color w:val="auto"/>
        </w:rPr>
      </w:pPr>
    </w:p>
    <w:p>
      <w:pPr>
        <w:ind w:right="440" w:firstLine="757"/>
        <w:spacing w:after="0" w:line="239" w:lineRule="auto"/>
        <w:tabs>
          <w:tab w:leader="none" w:pos="149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80" w:lineRule="exact"/>
        <w:rPr>
          <w:rFonts w:ascii="Times New Roman" w:cs="Times New Roman" w:eastAsia="Times New Roman" w:hAnsi="Times New Roman"/>
          <w:sz w:val="22"/>
          <w:szCs w:val="22"/>
          <w:color w:val="auto"/>
        </w:rPr>
      </w:pPr>
    </w:p>
    <w:p>
      <w:pPr>
        <w:ind w:right="1000" w:firstLine="757"/>
        <w:spacing w:after="0" w:line="258" w:lineRule="auto"/>
        <w:tabs>
          <w:tab w:leader="none" w:pos="149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1.11, the terms “qualified representative of the stockholder” and “public announcement” shall have the same meaning as in Section 1.10.</w:t>
      </w:r>
    </w:p>
    <w:p>
      <w:pPr>
        <w:spacing w:after="0" w:line="158" w:lineRule="exact"/>
        <w:rPr>
          <w:rFonts w:ascii="Times New Roman" w:cs="Times New Roman" w:eastAsia="Times New Roman" w:hAnsi="Times New Roman"/>
          <w:sz w:val="22"/>
          <w:szCs w:val="22"/>
          <w:color w:val="auto"/>
        </w:rPr>
      </w:pPr>
    </w:p>
    <w:p>
      <w:pPr>
        <w:ind w:right="120" w:firstLine="757"/>
        <w:spacing w:after="0" w:line="239" w:lineRule="auto"/>
        <w:tabs>
          <w:tab w:leader="none" w:pos="149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Corporation elects otherwise, a stockholder’s notice to the Corporation of other business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76" w:lineRule="exact"/>
        <w:rPr>
          <w:sz w:val="20"/>
          <w:szCs w:val="20"/>
          <w:color w:val="auto"/>
        </w:rPr>
      </w:pPr>
    </w:p>
    <w:p>
      <w:pPr>
        <w:ind w:right="3620" w:firstLine="3653"/>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SECTION 2 — BOARD OF DIRECTORS </w:t>
      </w:r>
      <w:r>
        <w:rPr>
          <w:rFonts w:ascii="Times New Roman" w:cs="Times New Roman" w:eastAsia="Times New Roman" w:hAnsi="Times New Roman"/>
          <w:sz w:val="22"/>
          <w:szCs w:val="22"/>
          <w:color w:val="auto"/>
        </w:rPr>
        <w:t>Section 2.1.</w:t>
      </w:r>
      <w:r>
        <w:rPr>
          <w:rFonts w:ascii="Times New Roman" w:cs="Times New Roman" w:eastAsia="Times New Roman" w:hAnsi="Times New Roman"/>
          <w:sz w:val="22"/>
          <w:szCs w:val="22"/>
          <w:u w:val="single" w:color="auto"/>
          <w:color w:val="auto"/>
        </w:rPr>
        <w:t>General Powers and Qualifications of Directors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business and affairs of the Corporation shall be managed by or under the direction of the Board of Directors. In addition to the powers and authorities that these bylaws expressly confer upon them, the Board of Directors may exercise all such powers of the Corporation and do all such lawful acts and things as are not by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or by the Certificate of Incorporation or by these bylaws required to be exercised or done by the stockholders. Directors need not be stockholders of the Corporation to be qualified for election or service as a director of the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22"/>
          <w:szCs w:val="22"/>
          <w:u w:val="single" w:color="auto"/>
          <w:color w:val="auto"/>
        </w:rPr>
        <w:t>Removal; Resignation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directors of the Corporation may be removed in accordance with the Certificate of Incorporation and the DGCL.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director may resign at any time upon notice given in writing, including by electronic transmission, to the Corporation.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2.3.</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Regular meetings of the Board of Directors shall be held at the place, if any, on the date and at the hour as shall have been established by the Board of Directors and publicized among all directors. A notice of a regular meeting, the date of which has been so publicized, shall not be required.</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Section 2.4.</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Special meetings of the Board of Directors may be called by (a) the Chairperson of the Board of Directors, (b) the Chief Executive Officer of the Corporation or (c) two or more directors then in office, and shall be held at the place, if any, on the date and at the hour as he, she or they shall fix. Notice of the place, if any, date and hour of each special meeting shall be given to each director either (a) by mailing written notice thereof not less than five days before the meeting, or (b) by telephone, facsimile or other means of electronic transmission providing notice thereof not less than twenty-four hours before the meeting. Any and all business may be transacted at a special meeting of the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2.5.</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749"/>
        <w:spacing w:after="0" w:line="244" w:lineRule="auto"/>
        <w:rPr>
          <w:sz w:val="20"/>
          <w:szCs w:val="20"/>
          <w:color w:val="auto"/>
        </w:rPr>
      </w:pPr>
      <w:r>
        <w:rPr>
          <w:rFonts w:ascii="Times New Roman" w:cs="Times New Roman" w:eastAsia="Times New Roman" w:hAnsi="Times New Roman"/>
          <w:sz w:val="22"/>
          <w:szCs w:val="22"/>
          <w:color w:val="auto"/>
        </w:rPr>
        <w:t>At any meeting of the Board of Directors, a majority of the total number of directors then in office shall constitute a quorum for all purposes. If a quorum shall fail to attend any meeting, a majority of those present may adjourn the meeting to another place, if any, date or hour, without further notice or waiver thereof.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2.6.</w:t>
      </w:r>
      <w:r>
        <w:rPr>
          <w:rFonts w:ascii="Times New Roman" w:cs="Times New Roman" w:eastAsia="Times New Roman" w:hAnsi="Times New Roman"/>
          <w:sz w:val="22"/>
          <w:szCs w:val="22"/>
          <w:u w:val="single" w:color="auto"/>
          <w:color w:val="auto"/>
        </w:rPr>
        <w:t>Participation in Meetings by Conference Telephone or Other Communications Equipment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auto"/>
        </w:rPr>
        <w:t>Members of the Board of Directors, or of any committee thereof, may participate in a meeting of the Board of Directors or committee thereof by means of conference telephone or other communications equipment by means of which all directors participating in the meeting can hear each other director, and such participation shall constitute presence in person at the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2.7.</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At any meeting of the Board of Directors, business shall be transacted in the order and manner that the Board of Directors may from time to time determine, and all matters shall be determined by the vote of a majority of the directors present, provided a quorum is present at the time such matter is acted upon, except as otherwise provided in the Certificate of Incorporation or these bylaws or required by applicable law. The Board of Directors or any committee thereof may take action without a meeting if all members thereof consent thereto in writing or by electronic transmission, and the writing or writings, or electronic transmission or electronic transmissions, are filed with the minutes of proceedings of the Board of Directors or any committee thereof. Such filing shall be in paper form if the minutes are maintained in paper form and shall be in electronic form if the minutes are maintained in electronic form.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2.8.</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The Board of Directors shall be authorized to fix the compensation of directors. The directors of the Corporation shall be paid their expenses, if any, of attendance at each meeting of the Board of Directors and may be reimbursed a fixed sum for attendance at each meeting of the Board of Directors, paid an annual retainer or paid other compensation, including equity compensation, as the Board of Directors determines. No such payment shall preclude any director from serving the Corporation in any other capacity and receiving compensation therefor.</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9" w:name="page200"/>
    <w:bookmarkEnd w:id="199"/>
    <w:p>
      <w:pPr>
        <w:jc w:val="both"/>
        <w:ind w:right="120"/>
        <w:spacing w:after="0" w:line="258" w:lineRule="auto"/>
        <w:rPr>
          <w:sz w:val="20"/>
          <w:szCs w:val="20"/>
          <w:color w:val="auto"/>
        </w:rPr>
      </w:pPr>
      <w:r>
        <w:rPr>
          <w:rFonts w:ascii="Times New Roman" w:cs="Times New Roman" w:eastAsia="Times New Roman" w:hAnsi="Times New Roman"/>
          <w:sz w:val="22"/>
          <w:szCs w:val="22"/>
          <w:color w:val="auto"/>
        </w:rPr>
        <w:t>Members of committees shall have their expenses, if any, of attendance of each meeting of such committee reimbursed and may be paid compensation for attending committee meetings or being a member of a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2.9.</w:t>
      </w:r>
      <w:r>
        <w:rPr>
          <w:rFonts w:ascii="Times New Roman" w:cs="Times New Roman" w:eastAsia="Times New Roman" w:hAnsi="Times New Roman"/>
          <w:sz w:val="22"/>
          <w:szCs w:val="22"/>
          <w:u w:val="single" w:color="auto"/>
          <w:color w:val="auto"/>
        </w:rPr>
        <w:t>Emergency Bylaws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In the event of any emergency, disaster, catastrophe or other similar emergency condition of a type described in Section 110(a) of the DGCL (an “</w:t>
      </w:r>
      <w:r>
        <w:rPr>
          <w:rFonts w:ascii="Times New Roman" w:cs="Times New Roman" w:eastAsia="Times New Roman" w:hAnsi="Times New Roman"/>
          <w:sz w:val="22"/>
          <w:szCs w:val="22"/>
          <w:u w:val="single" w:color="auto"/>
          <w:color w:val="auto"/>
        </w:rPr>
        <w:t>Emergency</w:t>
      </w:r>
      <w:r>
        <w:rPr>
          <w:rFonts w:ascii="Times New Roman" w:cs="Times New Roman" w:eastAsia="Times New Roman" w:hAnsi="Times New Roman"/>
          <w:sz w:val="22"/>
          <w:szCs w:val="22"/>
          <w:color w:val="auto"/>
        </w:rPr>
        <w:t>”), notwithstanding any different or conflicting provisions in the DGCL, the Certificate of Incorporation or these bylaws, during such Emergency:</w:t>
      </w:r>
    </w:p>
    <w:p>
      <w:pPr>
        <w:spacing w:after="0" w:line="173" w:lineRule="exact"/>
        <w:rPr>
          <w:sz w:val="20"/>
          <w:szCs w:val="20"/>
          <w:color w:val="auto"/>
        </w:rPr>
      </w:pPr>
    </w:p>
    <w:p>
      <w:pPr>
        <w:ind w:left="120" w:right="40" w:firstLine="756"/>
        <w:spacing w:after="0" w:line="236" w:lineRule="auto"/>
        <w:tabs>
          <w:tab w:leader="none" w:pos="160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 meeting of the Board of Directors or a committee thereof may be called by any director, the Chairman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81" w:lineRule="exact"/>
        <w:rPr>
          <w:rFonts w:ascii="Times New Roman" w:cs="Times New Roman" w:eastAsia="Times New Roman" w:hAnsi="Times New Roman"/>
          <w:sz w:val="22"/>
          <w:szCs w:val="22"/>
          <w:color w:val="auto"/>
        </w:rPr>
      </w:pPr>
    </w:p>
    <w:p>
      <w:pPr>
        <w:ind w:right="420" w:firstLine="757"/>
        <w:spacing w:after="0" w:line="258" w:lineRule="auto"/>
        <w:tabs>
          <w:tab w:leader="none" w:pos="149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The director or directors in attendance at a meeting called in accordance with Section 2.9(a) shall constitute a quorum.</w:t>
      </w:r>
    </w:p>
    <w:p>
      <w:pPr>
        <w:spacing w:after="0" w:line="158" w:lineRule="exact"/>
        <w:rPr>
          <w:rFonts w:ascii="Times New Roman" w:cs="Times New Roman" w:eastAsia="Times New Roman" w:hAnsi="Times New Roman"/>
          <w:sz w:val="22"/>
          <w:szCs w:val="22"/>
          <w:color w:val="auto"/>
        </w:rPr>
      </w:pPr>
    </w:p>
    <w:p>
      <w:pPr>
        <w:ind w:right="160" w:firstLine="757"/>
        <w:spacing w:after="0" w:line="244" w:lineRule="auto"/>
        <w:tabs>
          <w:tab w:leader="none" w:pos="149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No officer, director or employee acting in accordance with this Section 2.9 shall be liable except for willful misconduct. No amendment, repeal or change to this Section 2.9 shall modify the prior sentence with regard to actions taken prior to the time of such amendment, repeal or change.</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3— COMMITTEES</w:t>
      </w:r>
    </w:p>
    <w:p>
      <w:pPr>
        <w:spacing w:after="0" w:line="21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The Board of Directors may designate committees of the Board of Directors, with such lawfully delegable powers and duties as it thereby confers, to serve at the pleasure of the Board of Directors and shall, for those committees, appoint a director or directors to serve as the member or members, designating, if it desires, other directors as alternate members who may replace any absent or disqualified member at any meeting of such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All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are subject to, and nothing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in any way limit the exercise, or method or timing of the exercise of, the rights of any person granted by the Corporation with respect to the existence, duties, composition or conduct of any committee of the Board of Directors.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SECTION 4 — OFFICERS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00" w:name="page201"/>
    <w:bookmarkEnd w:id="200"/>
    <w:p>
      <w:pPr>
        <w:ind w:right="340" w:firstLine="749"/>
        <w:spacing w:after="0" w:line="251" w:lineRule="auto"/>
        <w:rPr>
          <w:sz w:val="20"/>
          <w:szCs w:val="20"/>
          <w:color w:val="auto"/>
        </w:rPr>
      </w:pPr>
      <w:r>
        <w:rPr>
          <w:rFonts w:ascii="Times New Roman" w:cs="Times New Roman" w:eastAsia="Times New Roman" w:hAnsi="Times New Roman"/>
          <w:sz w:val="21"/>
          <w:szCs w:val="21"/>
          <w:color w:val="auto"/>
        </w:rPr>
        <w:t>The officers of the Corporation shall consist of a President, one or more Vice Presidents, a Secretary, a Treasurer and other officers as may from time to time be appointed by the Board of Directors. Each officer shall hold office until his or her successor is elected and qualified or until his or her earlier resignation or removal. Any number of offices may be held by the same person. The salaries of officers appointed by the Board of Directors shall be fixed from time to time by the Board of Directors or a committee thereof or by the officers as may be designated by resolution of the Board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Unless otherwise determined by the Board of Directors, the President shall be the Chief Executive Officer of the Corporation. Subject to the provisions of these bylaws and to the direction of the Board of Directors, he or she shall have the responsibility for the general management and control of the business and affairs of the Corporation and shall perform all duties and have all powers that are commonly incident to the office of chief executive or which are delegated to him or her by the Board of Directors. He or she shall have the power to sign all stock certificates, contracts and other instruments of the Corporation that are authorized and shall have general supervision and direction of all of the other officers, employees and agents of the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4.3.</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Vice President shall have the powers and duties delegated to him or her by the Board of Directors or the President. One Vice President may be designated by the Board of Directors to perform the duties and exercise the powers of the President in the event of the President’s absence or disability.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4.4.</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The Treasurer shall have the responsibility for maintaining the financial records of the Corporation. He or she shall make such disbursements of the funds of the Corporation as are authorized and shall render from time to time an account to the Board of Directors of all such transactions and of the financial condition of the Corporation. The Treasurer shall also perform other duties as the Board of Directors may from time to time prescribe.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The Secretary shall issue all authorized notices for, and shall keep minutes of, all meetings of the stockholders and the Board of Directors. He or she shall have charge of the corporate books and shall perform other duties as the Board of Directors may from time to time prescribe.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The Board of Directors may from time to time delegate the powers or duties of any officer to any other officer or agent, notwithstanding any provision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01" w:name="page202"/>
    <w:bookmarkEnd w:id="201"/>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The Board of Directors may remove any officer of the Corporation at any time, with or without cause, without prejudice to the rights, if any, of such officer under any contract to which it is a party. Any officer may resign at any time upon written notice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chosen and qualified.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22"/>
          <w:szCs w:val="22"/>
          <w:u w:val="single" w:color="auto"/>
          <w:color w:val="auto"/>
        </w:rPr>
        <w:t>Action with Respect to Securities of Other Companies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Unless otherwise directed by the Board of Directors, the President, or any officer of the Corporation authorized by the President, shall have power to vote and otherwise act on behalf of the Corporation, in person or by proxy, at any meeting of stockholders or equityholders of, or with respect to any action of, stockholders or equityholders of any other entity in which the Corporation may hold securities and otherwise to exercise any and all rights and powers which the Corporation may possess by reason of its ownership of securities in such other entity.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5 —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22"/>
          <w:szCs w:val="22"/>
          <w:u w:val="single" w:color="auto"/>
          <w:color w:val="auto"/>
        </w:rPr>
        <w:t>Certificates of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Shares of the capital stock of the Corporation may be certificated or uncertificated, as provided in the DGCL. Stock certificates shall be signed by, or in the name of the Corporation by any two authorized officers of the Corporation, certifying the number of shares owned by such stockholder. Any signatures on a certificate may be by facsimile.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22"/>
          <w:szCs w:val="22"/>
          <w:u w:val="single" w:color="auto"/>
          <w:color w:val="auto"/>
        </w:rPr>
        <w:t>Transfers of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21"/>
          <w:szCs w:val="21"/>
          <w:color w:val="auto"/>
        </w:rPr>
        <w:t>Transfers of stock shall be made only upon the transfer books of the Corporation kept at an office of the Corporation (within or without the State of Delaware) or by transfer agents designated to transfer shares of the stock of the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In the event of the loss, theft or destruction of any certificate of stock or uncertificated shares, another may be issued in its place pursuant to regulations as the Board of Directors may establish concerning proof of the loss, theft or destruction and concerning the giving of a satisfactory bond or indemnity.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The issue, transfer, conversion and registration of certificates of stock of the Corporation shall be governed by other regulations as the Board of Directors may establish.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33" w:lineRule="auto"/>
        <w:tabs>
          <w:tab w:leader="none" w:pos="149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preceding the day on which notice is given, or, if notice is waived, at the close of business on the day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9" w:lineRule="exact"/>
        <w:rPr>
          <w:rFonts w:ascii="Times New Roman" w:cs="Times New Roman" w:eastAsia="Times New Roman" w:hAnsi="Times New Roman"/>
          <w:sz w:val="22"/>
          <w:szCs w:val="22"/>
          <w:color w:val="auto"/>
        </w:rPr>
      </w:pPr>
    </w:p>
    <w:p>
      <w:pPr>
        <w:ind w:right="40" w:firstLine="757"/>
        <w:spacing w:after="0" w:line="251" w:lineRule="auto"/>
        <w:tabs>
          <w:tab w:leader="none" w:pos="149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6 — INDEMNIFICATION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Corporation shall indemnify, defend and hold harmless, to the fullest extent permitted by applicable law as 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presently exists or may hereafter be amended, any person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who was or is made, or is threatened to be made, a</w:t>
      </w:r>
    </w:p>
    <w:p>
      <w:pPr>
        <w:spacing w:after="0" w:line="230" w:lineRule="auto"/>
        <w:rPr>
          <w:sz w:val="20"/>
          <w:szCs w:val="20"/>
          <w:color w:val="auto"/>
        </w:rPr>
      </w:pPr>
      <w:r>
        <w:rPr>
          <w:rFonts w:ascii="Times New Roman" w:cs="Times New Roman" w:eastAsia="Times New Roman" w:hAnsi="Times New Roman"/>
          <w:sz w:val="22"/>
          <w:szCs w:val="22"/>
          <w:color w:val="auto"/>
        </w:rPr>
        <w:t>party or is otherwise involved in any action, suit or proceeding, whether civil, criminal, administrative or investigative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by reason of the fact that he or she, or a person for whom he or she is the legal representative, is or was a director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Corporation or an officer of the Corporation elected by the Board of Directors or, while a director of the Corporation or an</w:t>
      </w:r>
    </w:p>
    <w:p>
      <w:pPr>
        <w:spacing w:after="0" w:line="231" w:lineRule="auto"/>
        <w:rPr>
          <w:sz w:val="20"/>
          <w:szCs w:val="20"/>
          <w:color w:val="auto"/>
        </w:rPr>
      </w:pPr>
      <w:r>
        <w:rPr>
          <w:rFonts w:ascii="Times New Roman" w:cs="Times New Roman" w:eastAsia="Times New Roman" w:hAnsi="Times New Roman"/>
          <w:sz w:val="22"/>
          <w:szCs w:val="22"/>
          <w:color w:val="auto"/>
        </w:rPr>
        <w:t>officer of the Corporation elected by the Board of Directors, is or was serving at the request of the Corporation as a director,</w:t>
      </w:r>
    </w:p>
    <w:p>
      <w:pPr>
        <w:spacing w:after="0" w:line="231" w:lineRule="auto"/>
        <w:rPr>
          <w:sz w:val="20"/>
          <w:szCs w:val="20"/>
          <w:color w:val="auto"/>
        </w:rPr>
      </w:pPr>
      <w:r>
        <w:rPr>
          <w:rFonts w:ascii="Times New Roman" w:cs="Times New Roman" w:eastAsia="Times New Roman" w:hAnsi="Times New Roman"/>
          <w:sz w:val="22"/>
          <w:szCs w:val="22"/>
          <w:color w:val="auto"/>
        </w:rPr>
        <w:t>officer, employee, member, trustee or agent of another corporation or of a partnership, joint venture, trust, nonprofit entity or</w:t>
      </w:r>
    </w:p>
    <w:p>
      <w:pPr>
        <w:spacing w:after="0" w:line="231" w:lineRule="auto"/>
        <w:rPr>
          <w:sz w:val="20"/>
          <w:szCs w:val="20"/>
          <w:color w:val="auto"/>
        </w:rPr>
      </w:pPr>
      <w:r>
        <w:rPr>
          <w:rFonts w:ascii="Times New Roman" w:cs="Times New Roman" w:eastAsia="Times New Roman" w:hAnsi="Times New Roman"/>
          <w:sz w:val="22"/>
          <w:szCs w:val="22"/>
          <w:color w:val="auto"/>
        </w:rPr>
        <w:t>other enterprise (including service with respect to employee benefit plans) (any such entity, an “</w:t>
      </w:r>
      <w:r>
        <w:rPr>
          <w:rFonts w:ascii="Times New Roman" w:cs="Times New Roman" w:eastAsia="Times New Roman" w:hAnsi="Times New Roman"/>
          <w:sz w:val="22"/>
          <w:szCs w:val="22"/>
          <w:u w:val="single" w:color="auto"/>
          <w:color w:val="auto"/>
        </w:rPr>
        <w:t>Other Entity</w:t>
      </w:r>
      <w:r>
        <w:rPr>
          <w:rFonts w:ascii="Times New Roman" w:cs="Times New Roman" w:eastAsia="Times New Roman" w:hAnsi="Times New Roman"/>
          <w:sz w:val="22"/>
          <w:szCs w:val="22"/>
          <w:color w:val="auto"/>
        </w:rPr>
        <w:t>”), against all</w:t>
      </w:r>
    </w:p>
    <w:p>
      <w:pPr>
        <w:spacing w:after="0" w:line="230" w:lineRule="auto"/>
        <w:rPr>
          <w:sz w:val="20"/>
          <w:szCs w:val="20"/>
          <w:color w:val="auto"/>
        </w:rPr>
      </w:pPr>
      <w:r>
        <w:rPr>
          <w:rFonts w:ascii="Times New Roman" w:cs="Times New Roman" w:eastAsia="Times New Roman" w:hAnsi="Times New Roman"/>
          <w:sz w:val="22"/>
          <w:szCs w:val="22"/>
          <w:color w:val="auto"/>
        </w:rPr>
        <w:t>liability and loss suffered (including expenses (including attorneys’ fees and expenses), judgments, fines and amounts paid in</w:t>
      </w:r>
    </w:p>
    <w:p>
      <w:pPr>
        <w:spacing w:after="0" w:line="231" w:lineRule="auto"/>
        <w:rPr>
          <w:sz w:val="20"/>
          <w:szCs w:val="20"/>
          <w:color w:val="auto"/>
        </w:rPr>
      </w:pPr>
      <w:r>
        <w:rPr>
          <w:rFonts w:ascii="Times New Roman" w:cs="Times New Roman" w:eastAsia="Times New Roman" w:hAnsi="Times New Roman"/>
          <w:sz w:val="22"/>
          <w:szCs w:val="22"/>
          <w:color w:val="auto"/>
        </w:rPr>
        <w:t>settlement actually and reasonably incurred by such Indemnitee in connection with such Proceeding). Notwithstanding the</w:t>
      </w:r>
    </w:p>
    <w:p>
      <w:pPr>
        <w:spacing w:after="0"/>
        <w:rPr>
          <w:sz w:val="20"/>
          <w:szCs w:val="20"/>
          <w:color w:val="auto"/>
        </w:rPr>
      </w:pPr>
      <w:r>
        <w:rPr>
          <w:rFonts w:ascii="Times New Roman" w:cs="Times New Roman" w:eastAsia="Times New Roman" w:hAnsi="Times New Roman"/>
          <w:sz w:val="22"/>
          <w:szCs w:val="22"/>
          <w:color w:val="auto"/>
        </w:rPr>
        <w:t>preceding sentence, the Corporation shall be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03" w:name="page204"/>
    <w:bookmarkEnd w:id="203"/>
    <w:p>
      <w:pPr>
        <w:spacing w:after="0" w:line="244" w:lineRule="auto"/>
        <w:rPr>
          <w:sz w:val="20"/>
          <w:szCs w:val="20"/>
          <w:color w:val="auto"/>
        </w:rPr>
      </w:pPr>
      <w:r>
        <w:rPr>
          <w:rFonts w:ascii="Times New Roman" w:cs="Times New Roman" w:eastAsia="Times New Roman" w:hAnsi="Times New Roman"/>
          <w:sz w:val="22"/>
          <w:szCs w:val="22"/>
          <w:color w:val="auto"/>
        </w:rPr>
        <w:t xml:space="preserve">required to indemnify an Indemnitee in connection with a Proceeding (or part thereof) commenced by such Indemnitee only if the commencement of such Proceeding (or part thereof) by the Indemnitee was authorized by the Board of Directors or the Proceeding (or part thereof) relates to the enforcement of the Corporation’s obligations under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6.2.</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21"/>
          <w:szCs w:val="21"/>
          <w:color w:val="auto"/>
        </w:rPr>
        <w:t xml:space="preserve">The Corporation shall to the fullest extent permitted by applicable law pay, on an as-incurred basis, all expenses (including attorneys’ fees and expenses) actually and reasonably incurred by an Indemnitee in defending any proceeding, which may be indemnifiable pursuant to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in advance of its final disposition. Such advancement shall be unconditional, unsecured and interest free and shall be made without regard to Indemnitee’s ability to repay any expenses advanced; provided, however, that, to the extent required by law, such payment of expenses in advance of the final disposition of the Proceeding shall be made only upon receipt of an unsecured undertaking by the Indemnitee to repay all amounts advanced if it should be ultimately determined that the Indemnitee is not entitled to be indemnified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or otherwise.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6.3.</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If a claim for indemnification (following the final disposition of such proceeding) or advancement of expenses under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is not paid in full within sixty (60) days after a written claim therefor by the Indemnitee has been received by the Corporation, the Indemnitee may file suit to recover the unpaid amount of such claim and, if successful in whole or in part, shall be entitled to be paid the expense of prosecuting such claim to the fullest extent permitted by law. In any such action the Corporation shall have the burden of proving that the Indemnitee is not entitled to the requested indemnification or advancement of expenses under applicable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6.4.</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 xml:space="preserve">The Corporation shall have the power to purchase and maintain insurance on behalf of any person who is or was a director, officer, trustee, employee, member or agent of the Corporation, or was serving at the request of the Corporation as a director, officer, trustee, employee, member or agent of an Other Entity,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or the DGCL.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6.5.</w:t>
      </w:r>
      <w:r>
        <w:rPr>
          <w:rFonts w:ascii="Times New Roman" w:cs="Times New Roman" w:eastAsia="Times New Roman" w:hAnsi="Times New Roman"/>
          <w:sz w:val="22"/>
          <w:szCs w:val="22"/>
          <w:u w:val="single" w:color="auto"/>
          <w:color w:val="auto"/>
        </w:rPr>
        <w:t>Non-Exclusivity of Rights; Other 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rights conferred on any Indemnitee by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are not exclusive of other rights arising under any bylaw, agreement, vote of directors or stockholders or otherwise, and shall inure to the benefit of the heirs and legal representatives of such Indemnitee.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not limit the right of the Corporation, to the extent and in the manner permitted by law, to indemnify and to advance expenses to Indemnitees or persons other than Indemnitees when and as authorized by appropriate corporate action, including by separate agreement with the Corporation.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Section 6.6.</w:t>
      </w:r>
      <w:r>
        <w:rPr>
          <w:rFonts w:ascii="Times New Roman" w:cs="Times New Roman" w:eastAsia="Times New Roman" w:hAnsi="Times New Roman"/>
          <w:sz w:val="22"/>
          <w:szCs w:val="22"/>
          <w:u w:val="single" w:color="auto"/>
          <w:color w:val="auto"/>
        </w:rPr>
        <w:t>Amounts Received from an Other Entity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Subject to any written agreement between the Indemnitee and the Corporation to the contrary, the Corporation’s obligation, if any, to indemnify or to advance expenses to any Indemnitee who was or is serving at the Corporation’s request as a director, officer, employee or agent of an Other Entity shall be reduced by any amount such Indemnitee may collect as indemnification or advancement of expenses from such Other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6.7.</w:t>
      </w:r>
      <w:r>
        <w:rPr>
          <w:rFonts w:ascii="Times New Roman" w:cs="Times New Roman" w:eastAsia="Times New Roman" w:hAnsi="Times New Roman"/>
          <w:sz w:val="22"/>
          <w:szCs w:val="22"/>
          <w:u w:val="single" w:color="auto"/>
          <w:color w:val="auto"/>
        </w:rPr>
        <w:t>Amendment or Repeal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Any right to indemnification or to advancement of expenses of any Indemnitee arising hereunder shall not be eliminated or impaired by an amendment to or repeal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after the occurrence of the act or omission that is the subject of the civil, criminal, administrative or investigative action, suit, proceeding or other matter for which indemnification or advancement of expenses is sought.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6.8.</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Indemnitees who after the date of the adoption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become or remain an Indemnitee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will be conclusively presumed to have relied on the rights to indemnity, advancement of expenses and other rights contained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 entering into or continuing the service. The rights to indemnification and to the advancement of expenses conferred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will apply to claims made against any Indemnitee described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arising out of acts or omissions that occurred or occur either before or after the adoption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 respect of service as a director or officer of the Corporation or other service described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6.9.</w:t>
      </w:r>
      <w:r>
        <w:rPr>
          <w:rFonts w:ascii="Times New Roman" w:cs="Times New Roman" w:eastAsia="Times New Roman" w:hAnsi="Times New Roman"/>
          <w:sz w:val="22"/>
          <w:szCs w:val="22"/>
          <w:u w:val="single" w:color="auto"/>
          <w:color w:val="auto"/>
        </w:rPr>
        <w:t>Successful Defense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In the event that any proceeding to which an Indemnitee is a party is resolved in any manner other than by adverse judgment against the Indemnitee (including settlement of such proceeding with or without payment of money or other consideration) it shall be presumed that the Indemnitee has been successful on the merits or otherwise in such proceeding for purposes of Section 145(c) of the DGCL. Anyone seeking to overcome this presumption shall have the burden of proof and the burden of persuasion by clear and convincing evidence.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6.10.</w:t>
      </w:r>
      <w:r>
        <w:rPr>
          <w:rFonts w:ascii="Times New Roman" w:cs="Times New Roman" w:eastAsia="Times New Roman" w:hAnsi="Times New Roman"/>
          <w:sz w:val="22"/>
          <w:szCs w:val="22"/>
          <w:u w:val="single" w:color="auto"/>
          <w:color w:val="auto"/>
        </w:rPr>
        <w:t>Merger or Consolidation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with respect to the resulting or surviving corporation as he or she would have with respect to such constituent corporation if its separate existence had continued.</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Section 6.11.</w:t>
      </w:r>
      <w:r>
        <w:rPr>
          <w:rFonts w:ascii="Times New Roman" w:cs="Times New Roman" w:eastAsia="Times New Roman" w:hAnsi="Times New Roman"/>
          <w:sz w:val="22"/>
          <w:szCs w:val="22"/>
          <w:u w:val="single" w:color="auto"/>
          <w:color w:val="auto"/>
        </w:rPr>
        <w:t>Savings Clause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If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any portion hereof shall be invalidated on any ground by any court of competent jurisdiction, then the Corporation shall nevertheless indemnify and advance expenses to each person entitled to indemnification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to the fullest extent permitted by any applicable portion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that shall not have been invalidated and to the fullest extent permitted by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7 — NOTICES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7.1.</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provided herein or permitted by applicable law, notices to directors and stockholders shall be in writing and delivered personally or mailed to the directors or stockholders at their addresses appearing on the books of the Corporation. If mailed, notice to a stockholder of the Corporation shall be deemed given when deposited in the mail, postage prepaid, directed to a stockholder at such stockholder’s address as it appears on the records of the Corporation. Without limiting the manner by which notice otherwise may be given effectively to stockholders, any notice to stockholders of the Corporation may be given by electronic transmission in the manner provided in Section 232 of the DGCL.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7.2.</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21"/>
          <w:szCs w:val="21"/>
          <w:color w:val="auto"/>
        </w:rPr>
        <w:t>A written waiver of any notice, signed by a stockholder or director, or a waiver by electronic transmission by such person or entity, whether given before or after the time of the event for which notice is to be given, shall be deemed equivalent to the notice required to be given to such person or entity.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8 — EXCLUSIVE FORUM FOR CERTAIN ACTIONS</w:t>
      </w:r>
    </w:p>
    <w:p>
      <w:pPr>
        <w:spacing w:after="0" w:line="210"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federal district courts of the United States shall be the exclusive forum for the resolution of any complaint asserting a cause of action arising under the Securities Act of 1933. Any person or entity purchasing or otherwise acquiring any interest in any security of the Corporation shall be deemed to have notice of and consented to this provision.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9 — MISCELLANEOUS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9.1.</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80" w:firstLine="749"/>
        <w:spacing w:after="0" w:line="244" w:lineRule="auto"/>
        <w:rPr>
          <w:sz w:val="20"/>
          <w:szCs w:val="20"/>
          <w:color w:val="auto"/>
        </w:rPr>
      </w:pPr>
      <w:r>
        <w:rPr>
          <w:rFonts w:ascii="Times New Roman" w:cs="Times New Roman" w:eastAsia="Times New Roman" w:hAnsi="Times New Roman"/>
          <w:sz w:val="22"/>
          <w:szCs w:val="22"/>
          <w:color w:val="auto"/>
        </w:rPr>
        <w:t>The Board of Directors may provide a suitable seal, containing the name of the Corporation, which seal shall be in the charge of the Secretary. If and when so directed by the Board of Directors, duplicates of the seal may be kept and used by the Treasurer or by an Assistant Secretary or Assistant Treasurer.</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Section 9.2.</w:t>
      </w:r>
      <w:r>
        <w:rPr>
          <w:rFonts w:ascii="Times New Roman" w:cs="Times New Roman" w:eastAsia="Times New Roman" w:hAnsi="Times New Roman"/>
          <w:sz w:val="22"/>
          <w:szCs w:val="22"/>
          <w:u w:val="single" w:color="auto"/>
          <w:color w:val="auto"/>
        </w:rPr>
        <w:t>Reliance upon Books, Reports, and Records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Each director and each member of any committee designated by the Board of Directors shall, in the performance of his or her duties, be fully protected in relying in good faith upon the books and records of the Corporation and upon such information, opinions, reports or statements presented to the Corporation by any of its officers, agents or employees, or committees of the Board of Directors so designated, or by any other person or entity as to matters which such director or committee member reasonably believes are within such other person’s or entity’s professional or expert competence and that has been selected with reasonable care by or on behalf of the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9.3.</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fiscal year of the Corporation shall be as fixed by the Board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9.4.</w:t>
      </w:r>
      <w:r>
        <w:rPr>
          <w:rFonts w:ascii="Times New Roman" w:cs="Times New Roman" w:eastAsia="Times New Roman" w:hAnsi="Times New Roman"/>
          <w:sz w:val="22"/>
          <w:szCs w:val="22"/>
          <w:u w:val="single" w:color="auto"/>
          <w:color w:val="auto"/>
        </w:rPr>
        <w:t>Time Periods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In applying any provision of these bylaws that requires that an act be done or not be done a specified number of days before an event or that an act be done during a specified number of days before an event, calendar days shall be used, the day of the doing of the act shall be excluded, and the day of the event shall be included.</w:t>
      </w:r>
    </w:p>
    <w:p>
      <w:pPr>
        <w:spacing w:after="0" w:line="16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SECTION 10 — AMENDMENTS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These bylaws may be altered, amended or repealed in accordance with the Certificate of Incorporation and the DGCL.</w:t>
      </w:r>
    </w:p>
    <w:p>
      <w:pPr>
        <w:spacing w:after="0" w:line="21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SECTION 11 — SEVERABILITY</w:t>
      </w:r>
    </w:p>
    <w:p>
      <w:pPr>
        <w:spacing w:after="0" w:line="210"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each portion of any paragraph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each such portion of any paragraph of these bylaws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207" w:name="page208"/>
    <w:bookmarkEnd w:id="207"/>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FOURTH AMENDMENT TO LEASE</w:t>
      </w:r>
    </w:p>
    <w:p>
      <w:pPr>
        <w:spacing w:after="0" w:line="324" w:lineRule="exact"/>
        <w:rPr>
          <w:sz w:val="20"/>
          <w:szCs w:val="20"/>
          <w:color w:val="auto"/>
        </w:rPr>
      </w:pPr>
    </w:p>
    <w:p>
      <w:pPr>
        <w:jc w:val="both"/>
        <w:ind w:right="120" w:firstLine="749"/>
        <w:spacing w:after="0" w:line="255" w:lineRule="auto"/>
        <w:rPr>
          <w:sz w:val="20"/>
          <w:szCs w:val="20"/>
          <w:color w:val="auto"/>
        </w:rPr>
      </w:pPr>
      <w:r>
        <w:rPr>
          <w:rFonts w:ascii="Times New Roman" w:cs="Times New Roman" w:eastAsia="Times New Roman" w:hAnsi="Times New Roman"/>
          <w:sz w:val="20"/>
          <w:szCs w:val="20"/>
          <w:color w:val="auto"/>
        </w:rPr>
        <w:t>This Fourth Amendment to Lease (this “</w:t>
      </w:r>
      <w:r>
        <w:rPr>
          <w:rFonts w:ascii="Times New Roman" w:cs="Times New Roman" w:eastAsia="Times New Roman" w:hAnsi="Times New Roman"/>
          <w:sz w:val="20"/>
          <w:szCs w:val="20"/>
          <w:b w:val="1"/>
          <w:bCs w:val="1"/>
          <w:u w:val="single" w:color="auto"/>
          <w:color w:val="auto"/>
        </w:rPr>
        <w:t>Fourth Amendment</w:t>
      </w:r>
      <w:r>
        <w:rPr>
          <w:rFonts w:ascii="Times New Roman" w:cs="Times New Roman" w:eastAsia="Times New Roman" w:hAnsi="Times New Roman"/>
          <w:sz w:val="20"/>
          <w:szCs w:val="20"/>
          <w:color w:val="auto"/>
        </w:rPr>
        <w:t>”) is made as of December 7, 2022 by and between MIT 238 MAIN STREET LEASEHOLD LLC, a Massachusetts charitable corporation with an address c/o MIT Cambridge Real Estate LLC, One Broadway, Suite 09-200, Cambridge, MA 02142 (“</w:t>
      </w: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color w:val="auto"/>
        </w:rPr>
        <w:t>”), and BEAM THERAPEUTICS, INC., a Delaware corporation with an address of 26 Lansdowne Street,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Floor, Cambridge, MA 02139 (“</w:t>
      </w: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86" w:lineRule="exact"/>
        <w:rPr>
          <w:sz w:val="20"/>
          <w:szCs w:val="20"/>
          <w:color w:val="auto"/>
        </w:rPr>
      </w:pPr>
    </w:p>
    <w:p>
      <w:pPr>
        <w:jc w:val="both"/>
        <w:ind w:right="120" w:firstLine="749"/>
        <w:spacing w:after="0" w:line="245" w:lineRule="auto"/>
        <w:rPr>
          <w:sz w:val="20"/>
          <w:szCs w:val="20"/>
          <w:color w:val="auto"/>
        </w:rPr>
      </w:pPr>
      <w:r>
        <w:rPr>
          <w:rFonts w:ascii="Times New Roman" w:cs="Times New Roman" w:eastAsia="Times New Roman" w:hAnsi="Times New Roman"/>
          <w:sz w:val="20"/>
          <w:szCs w:val="20"/>
          <w:color w:val="auto"/>
        </w:rPr>
        <w:t>WHEREAS, Landlord and Tenant are the current parties to that certain Lease dated April 24, 2019, as amended by that certain First Amendment to Lease dated as of April 14, 2020, as further amended by that certain Second Amendment to Lease dated as of November 17, 2020 and as further amended by that certain Third Amendment to Lease (the “</w:t>
      </w:r>
      <w:r>
        <w:rPr>
          <w:rFonts w:ascii="Times New Roman" w:cs="Times New Roman" w:eastAsia="Times New Roman" w:hAnsi="Times New Roman"/>
          <w:sz w:val="20"/>
          <w:szCs w:val="20"/>
          <w:b w:val="1"/>
          <w:bCs w:val="1"/>
          <w:u w:val="single" w:color="auto"/>
          <w:color w:val="auto"/>
        </w:rPr>
        <w:t>Third Amendment</w:t>
      </w:r>
      <w:r>
        <w:rPr>
          <w:rFonts w:ascii="Times New Roman" w:cs="Times New Roman" w:eastAsia="Times New Roman" w:hAnsi="Times New Roman"/>
          <w:sz w:val="20"/>
          <w:szCs w:val="20"/>
          <w:color w:val="auto"/>
        </w:rPr>
        <w:t>”) dated as of August 24, 2021 (collectively, the “</w:t>
      </w:r>
      <w:r>
        <w:rPr>
          <w:rFonts w:ascii="Times New Roman" w:cs="Times New Roman" w:eastAsia="Times New Roman" w:hAnsi="Times New Roman"/>
          <w:sz w:val="20"/>
          <w:szCs w:val="20"/>
          <w:b w:val="1"/>
          <w:bCs w:val="1"/>
          <w:u w:val="single" w:color="auto"/>
          <w:color w:val="auto"/>
        </w:rPr>
        <w:t>Lease</w:t>
      </w:r>
      <w:r>
        <w:rPr>
          <w:rFonts w:ascii="Times New Roman" w:cs="Times New Roman" w:eastAsia="Times New Roman" w:hAnsi="Times New Roman"/>
          <w:sz w:val="20"/>
          <w:szCs w:val="20"/>
          <w:color w:val="auto"/>
        </w:rPr>
        <w:t>”), pursuant to which Landlord is leasing to Tenant approximately 130,258 rentable square feet (as more particularly described in the Lease, the “</w:t>
      </w:r>
      <w:r>
        <w:rPr>
          <w:rFonts w:ascii="Times New Roman" w:cs="Times New Roman" w:eastAsia="Times New Roman" w:hAnsi="Times New Roman"/>
          <w:sz w:val="20"/>
          <w:szCs w:val="20"/>
          <w:b w:val="1"/>
          <w:bCs w:val="1"/>
          <w:u w:val="single" w:color="auto"/>
          <w:color w:val="auto"/>
        </w:rPr>
        <w:t>Premises</w:t>
      </w:r>
      <w:r>
        <w:rPr>
          <w:rFonts w:ascii="Times New Roman" w:cs="Times New Roman" w:eastAsia="Times New Roman" w:hAnsi="Times New Roman"/>
          <w:sz w:val="20"/>
          <w:szCs w:val="20"/>
          <w:color w:val="auto"/>
        </w:rPr>
        <w:t>”) located on the sixth, seventh, eighth, ninth and tenth floors of the Laboratory Addition to the building located at 238 Main Street, Cambridge, MA;</w:t>
      </w:r>
    </w:p>
    <w:p>
      <w:pPr>
        <w:spacing w:after="0" w:line="76" w:lineRule="exact"/>
        <w:rPr>
          <w:sz w:val="20"/>
          <w:szCs w:val="20"/>
          <w:color w:val="auto"/>
        </w:rPr>
      </w:pPr>
    </w:p>
    <w:p>
      <w:pPr>
        <w:ind w:right="120" w:firstLine="749"/>
        <w:spacing w:after="0" w:line="269" w:lineRule="auto"/>
        <w:rPr>
          <w:sz w:val="20"/>
          <w:szCs w:val="20"/>
          <w:color w:val="auto"/>
        </w:rPr>
      </w:pPr>
      <w:r>
        <w:rPr>
          <w:rFonts w:ascii="Times New Roman" w:cs="Times New Roman" w:eastAsia="Times New Roman" w:hAnsi="Times New Roman"/>
          <w:sz w:val="20"/>
          <w:szCs w:val="20"/>
          <w:color w:val="auto"/>
        </w:rPr>
        <w:t>WHEREAS, pursuant to the Third Amendment, (a) the Expansion Space was added to the Premises demised under the Lease, and (b) Landlord was required to perform Tenant’s ES Fitout;</w:t>
      </w:r>
    </w:p>
    <w:p>
      <w:pPr>
        <w:spacing w:after="0" w:line="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Tenant desires to assume responsibility for the performance of Tenant’s ES Fitout using the Approved Contractor;</w:t>
      </w:r>
    </w:p>
    <w:p>
      <w:pPr>
        <w:spacing w:after="0" w:line="108" w:lineRule="exact"/>
        <w:rPr>
          <w:sz w:val="20"/>
          <w:szCs w:val="20"/>
          <w:color w:val="auto"/>
        </w:rPr>
      </w:pPr>
    </w:p>
    <w:p>
      <w:pPr>
        <w:jc w:val="both"/>
        <w:ind w:right="120" w:firstLine="749"/>
        <w:spacing w:after="0" w:line="254" w:lineRule="auto"/>
        <w:rPr>
          <w:sz w:val="20"/>
          <w:szCs w:val="20"/>
          <w:color w:val="auto"/>
        </w:rPr>
      </w:pPr>
      <w:r>
        <w:rPr>
          <w:rFonts w:ascii="Times New Roman" w:cs="Times New Roman" w:eastAsia="Times New Roman" w:hAnsi="Times New Roman"/>
          <w:sz w:val="20"/>
          <w:szCs w:val="20"/>
          <w:color w:val="auto"/>
        </w:rPr>
        <w:t>WHEREAS, if the performance of Tenant’s ES Fitout had proceeded as contemplated by the Third Amendment, Landlord would have used commercially reasonable efforts to substantially complete Tenant’s ES Fitout on or before January 15, 2023, subject to day-for-day delays on account of Landlord’s Force Majeure and Tenant Delays;</w:t>
      </w:r>
    </w:p>
    <w:p>
      <w:pPr>
        <w:spacing w:after="0" w:line="66" w:lineRule="exact"/>
        <w:rPr>
          <w:sz w:val="20"/>
          <w:szCs w:val="20"/>
          <w:color w:val="auto"/>
        </w:rPr>
      </w:pPr>
    </w:p>
    <w:p>
      <w:pPr>
        <w:jc w:val="both"/>
        <w:ind w:right="140" w:firstLine="749"/>
        <w:spacing w:after="0" w:line="269" w:lineRule="auto"/>
        <w:rPr>
          <w:sz w:val="20"/>
          <w:szCs w:val="20"/>
          <w:color w:val="auto"/>
        </w:rPr>
      </w:pPr>
      <w:r>
        <w:rPr>
          <w:rFonts w:ascii="Times New Roman" w:cs="Times New Roman" w:eastAsia="Times New Roman" w:hAnsi="Times New Roman"/>
          <w:sz w:val="20"/>
          <w:szCs w:val="20"/>
          <w:color w:val="auto"/>
        </w:rPr>
        <w:t>WHEREAS, Landlord and Tenant have agreed that Tenant will be responsible for the performance of Tenant’s ES Fitout on the terms and conditions hereinafter set forth; and</w:t>
      </w:r>
    </w:p>
    <w:p>
      <w:pPr>
        <w:spacing w:after="0" w:line="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Landlord and Tenant desire to amend the Lease as hereinafter set forth.</w:t>
      </w:r>
    </w:p>
    <w:p>
      <w:pPr>
        <w:spacing w:after="0" w:line="108" w:lineRule="exact"/>
        <w:rPr>
          <w:sz w:val="20"/>
          <w:szCs w:val="20"/>
          <w:color w:val="auto"/>
        </w:rPr>
      </w:pPr>
    </w:p>
    <w:p>
      <w:pPr>
        <w:jc w:val="both"/>
        <w:ind w:right="120"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covenants herein reserved and contained, and other good and valuable consideration, the receipt and sufficiency of which are hereby acknowledged, Landlord and Tenant hereby agree as follows:</w:t>
      </w:r>
    </w:p>
    <w:p>
      <w:pPr>
        <w:spacing w:after="0" w:line="51" w:lineRule="exact"/>
        <w:rPr>
          <w:sz w:val="20"/>
          <w:szCs w:val="20"/>
          <w:color w:val="auto"/>
        </w:rPr>
      </w:pPr>
    </w:p>
    <w:p>
      <w:pPr>
        <w:ind w:right="120" w:firstLine="382"/>
        <w:spacing w:after="0" w:line="269" w:lineRule="auto"/>
        <w:tabs>
          <w:tab w:leader="none" w:pos="74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Capitalized Terms</w:t>
      </w:r>
      <w:r>
        <w:rPr>
          <w:rFonts w:ascii="Times New Roman" w:cs="Times New Roman" w:eastAsia="Times New Roman" w:hAnsi="Times New Roman"/>
          <w:sz w:val="20"/>
          <w:szCs w:val="20"/>
          <w:color w:val="auto"/>
        </w:rPr>
        <w:t>. The foregoing recitals are hereby incorporated by reference. All capitalized terms not otherwise defined herein shall have the meanings ascribed to them as set forth in the Lease.</w:t>
      </w:r>
    </w:p>
    <w:p>
      <w:pPr>
        <w:spacing w:after="0" w:line="6" w:lineRule="exact"/>
        <w:rPr>
          <w:rFonts w:ascii="Times New Roman" w:cs="Times New Roman" w:eastAsia="Times New Roman" w:hAnsi="Times New Roman"/>
          <w:sz w:val="20"/>
          <w:szCs w:val="20"/>
          <w:color w:val="auto"/>
        </w:rPr>
      </w:pPr>
    </w:p>
    <w:p>
      <w:pPr>
        <w:jc w:val="both"/>
        <w:ind w:firstLine="382"/>
        <w:spacing w:after="0" w:line="250" w:lineRule="auto"/>
        <w:tabs>
          <w:tab w:leader="none" w:pos="7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 Dates</w:t>
      </w:r>
      <w:r>
        <w:rPr>
          <w:rFonts w:ascii="Times New Roman" w:cs="Times New Roman" w:eastAsia="Times New Roman" w:hAnsi="Times New Roman"/>
          <w:sz w:val="20"/>
          <w:szCs w:val="20"/>
          <w:color w:val="auto"/>
        </w:rPr>
        <w:t>. Notwithstanding anything to the contrary set forth in the Lease, (a) the “</w:t>
      </w:r>
      <w:r>
        <w:rPr>
          <w:rFonts w:ascii="Times New Roman" w:cs="Times New Roman" w:eastAsia="Times New Roman" w:hAnsi="Times New Roman"/>
          <w:sz w:val="20"/>
          <w:szCs w:val="20"/>
          <w:b w:val="1"/>
          <w:bCs w:val="1"/>
          <w:u w:val="single" w:color="auto"/>
          <w:color w:val="auto"/>
        </w:rPr>
        <w:t>ES Commencement Date</w:t>
      </w:r>
      <w:r>
        <w:rPr>
          <w:rFonts w:ascii="Times New Roman" w:cs="Times New Roman" w:eastAsia="Times New Roman" w:hAnsi="Times New Roman"/>
          <w:sz w:val="20"/>
          <w:szCs w:val="20"/>
          <w:color w:val="auto"/>
        </w:rPr>
        <w:t>” shall mean the date on which the Expansion Space is delivered to Tenant (currently estimated to occur promptly after the full execution hereof); and (b) the “</w:t>
      </w:r>
      <w:r>
        <w:rPr>
          <w:rFonts w:ascii="Times New Roman" w:cs="Times New Roman" w:eastAsia="Times New Roman" w:hAnsi="Times New Roman"/>
          <w:sz w:val="20"/>
          <w:szCs w:val="20"/>
          <w:b w:val="1"/>
          <w:bCs w:val="1"/>
          <w:u w:val="single" w:color="auto"/>
          <w:color w:val="auto"/>
        </w:rPr>
        <w: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Rent Commencement Date</w:t>
      </w:r>
      <w:r>
        <w:rPr>
          <w:rFonts w:ascii="Times New Roman" w:cs="Times New Roman" w:eastAsia="Times New Roman" w:hAnsi="Times New Roman"/>
          <w:sz w:val="20"/>
          <w:szCs w:val="20"/>
          <w:color w:val="auto"/>
        </w:rPr>
        <w:t>” shall mean March 15, 2023, subject to day-for-day delays on account of Landlord Delays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Tenant acknowledges and agrees that there are no Landlord Delays as of the date of this Fourth Amendment.</w:t>
      </w:r>
    </w:p>
    <w:p>
      <w:pPr>
        <w:spacing w:after="0" w:line="17" w:lineRule="exact"/>
        <w:rPr>
          <w:rFonts w:ascii="Times New Roman" w:cs="Times New Roman" w:eastAsia="Times New Roman" w:hAnsi="Times New Roman"/>
          <w:sz w:val="20"/>
          <w:szCs w:val="20"/>
          <w:color w:val="auto"/>
        </w:rPr>
      </w:pPr>
    </w:p>
    <w:p>
      <w:pPr>
        <w:jc w:val="both"/>
        <w:ind w:firstLine="382"/>
        <w:spacing w:after="0" w:line="254" w:lineRule="auto"/>
        <w:tabs>
          <w:tab w:leader="none" w:pos="7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of the Third Amendment is hereby deleted in its entirety. Tenant acknowledges and agrees that Tenant shall lease the Expansion Space in its “AS IS,” “WHERE IS” condition and with all faults as of the ES Commencement Date, without representations or warranties, express or implied, in fact or by law, of any kind, and without recourse to Landlord.</w:t>
      </w:r>
    </w:p>
    <w:p>
      <w:pPr>
        <w:spacing w:after="0" w:line="25" w:lineRule="exact"/>
        <w:rPr>
          <w:rFonts w:ascii="Times New Roman" w:cs="Times New Roman" w:eastAsia="Times New Roman" w:hAnsi="Times New Roman"/>
          <w:sz w:val="20"/>
          <w:szCs w:val="20"/>
          <w:color w:val="auto"/>
        </w:rPr>
      </w:pPr>
    </w:p>
    <w:p>
      <w:pPr>
        <w:jc w:val="both"/>
        <w:ind w:right="20" w:firstLine="382"/>
        <w:spacing w:after="0" w:line="274" w:lineRule="auto"/>
        <w:tabs>
          <w:tab w:leader="none" w:pos="75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xml:space="preserve">. Landlord’s Base Building Work with respect to the Expansion Space has been completed. It is understood and agreed that Landlord shall have no obligation to perform any work to prepare the Expansion Space for Tenant’s use and/or occupancy.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the Third Amendment is hereby deleted in its entirety and replaced with the provisions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and made a part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 \* MERGEFORMAT 4882-8251-6746, v.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08" w:name="page209"/>
    <w:bookmarkEnd w:id="208"/>
    <w:p>
      <w:pPr>
        <w:ind w:left="80" w:firstLine="367"/>
        <w:spacing w:after="0" w:line="269" w:lineRule="auto"/>
        <w:tabs>
          <w:tab w:leader="none" w:pos="8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CFM</w:t>
      </w:r>
      <w:r>
        <w:rPr>
          <w:rFonts w:ascii="Times New Roman" w:cs="Times New Roman" w:eastAsia="Times New Roman" w:hAnsi="Times New Roman"/>
          <w:sz w:val="20"/>
          <w:szCs w:val="20"/>
          <w:color w:val="auto"/>
        </w:rPr>
        <w:t>. In addition to the CFM provided to the Expansion Space in accordance with the Matrix, Landlord shall make available to the Expansion Space (only) an additional 770 CFM air handler capacity of 100% outside air.</w:t>
      </w:r>
    </w:p>
    <w:p>
      <w:pPr>
        <w:spacing w:after="0" w:line="51" w:lineRule="exact"/>
        <w:rPr>
          <w:rFonts w:ascii="Times New Roman" w:cs="Times New Roman" w:eastAsia="Times New Roman" w:hAnsi="Times New Roman"/>
          <w:sz w:val="20"/>
          <w:szCs w:val="20"/>
          <w:color w:val="auto"/>
        </w:rPr>
      </w:pPr>
    </w:p>
    <w:p>
      <w:pPr>
        <w:jc w:val="both"/>
        <w:ind w:left="80" w:firstLine="367"/>
        <w:spacing w:after="0" w:line="249" w:lineRule="auto"/>
        <w:tabs>
          <w:tab w:leader="none" w:pos="8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w:t>
      </w:r>
      <w:r>
        <w:rPr>
          <w:rFonts w:ascii="Times New Roman" w:cs="Times New Roman" w:eastAsia="Times New Roman" w:hAnsi="Times New Roman"/>
          <w:sz w:val="20"/>
          <w:szCs w:val="20"/>
          <w:color w:val="auto"/>
        </w:rPr>
        <w:t>. Landlord and Tenant each warrants and represents that it has dealt with no broker in connection with this Fourth Amendment other than CBRE (“</w:t>
      </w:r>
      <w:r>
        <w:rPr>
          <w:rFonts w:ascii="Times New Roman" w:cs="Times New Roman" w:eastAsia="Times New Roman" w:hAnsi="Times New Roman"/>
          <w:sz w:val="20"/>
          <w:szCs w:val="20"/>
          <w:b w:val="1"/>
          <w:bCs w:val="1"/>
          <w:u w:val="single" w:color="auto"/>
          <w:color w:val="auto"/>
        </w:rPr>
        <w:t>Broker</w:t>
      </w:r>
      <w:r>
        <w:rPr>
          <w:rFonts w:ascii="Times New Roman" w:cs="Times New Roman" w:eastAsia="Times New Roman" w:hAnsi="Times New Roman"/>
          <w:sz w:val="20"/>
          <w:szCs w:val="20"/>
          <w:color w:val="auto"/>
        </w:rPr>
        <w:t>”). Landlord and Tenant each agrees to defend, indemnify and save the other harmless from and against any Claims arising as a result of its breach of the foregoing representation and warranty. Landlord shall be solely responsible for the payment of any brokerage commissions to Broker.</w:t>
      </w:r>
    </w:p>
    <w:p>
      <w:pPr>
        <w:spacing w:after="0" w:line="71" w:lineRule="exact"/>
        <w:rPr>
          <w:rFonts w:ascii="Times New Roman" w:cs="Times New Roman" w:eastAsia="Times New Roman" w:hAnsi="Times New Roman"/>
          <w:sz w:val="20"/>
          <w:szCs w:val="20"/>
          <w:color w:val="auto"/>
        </w:rPr>
      </w:pPr>
    </w:p>
    <w:p>
      <w:pPr>
        <w:jc w:val="both"/>
        <w:ind w:left="80" w:firstLine="367"/>
        <w:spacing w:after="0" w:line="249" w:lineRule="auto"/>
        <w:tabs>
          <w:tab w:leader="none" w:pos="8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Except as amended hereby, the terms and conditions of the Lease shall remain unaffected. From and after the date hereof, all references to the Lease shall mean the Lease as amended hereby. Tenant confirms and ratifies that, as of the date hereof and to its actual knowledge, (a) the Lease is and remains in good standing and in full force and effect, and (b) it has no claims, counterclaims, set-offs or defenses against Landlord arising out of the Lease or the Premises or in any way relating thereto.</w:t>
      </w:r>
    </w:p>
    <w:p>
      <w:pPr>
        <w:spacing w:after="0" w:line="71" w:lineRule="exact"/>
        <w:rPr>
          <w:rFonts w:ascii="Times New Roman" w:cs="Times New Roman" w:eastAsia="Times New Roman" w:hAnsi="Times New Roman"/>
          <w:sz w:val="20"/>
          <w:szCs w:val="20"/>
          <w:color w:val="auto"/>
        </w:rPr>
      </w:pPr>
    </w:p>
    <w:p>
      <w:pPr>
        <w:jc w:val="both"/>
        <w:ind w:left="80" w:firstLine="367"/>
        <w:spacing w:after="0" w:line="241" w:lineRule="auto"/>
        <w:tabs>
          <w:tab w:leader="none" w:pos="8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Fourth Amendment shall be deemed to have been executed and delivered within the Commonwealth of Massachusetts, and the rights and obligations of Landlord and Tenant hereunder shall be construed and enforced in accordance with, and governed by, the laws of the Commonwealth of Massachusetts without regard to the laws governing conflicts of laws. If any term of this Fourth Amendment or the application thereof to any person or circumstances shall be invalid and unenforceable, the remaining provisions of this Fourth Amendment, the application of such term to persons or circumstances other than those as to which it is invalid or unenforceable, shall not be affected. This Fourth Amendment is binding upon and shall inure to the benefit of Landlord and Tenant and their respective successors and assigns. Each party has cooperated in the drafting and preparation of this Fourth Amendment and, therefore, in any construction to be made of this Fourth Amendment, the same shall not be construed against either party. In the event of litigation relating to this Fourth Amendment, the prevailing party shall be entitled to reimbursement from the other party of its reasonable attorneys' fees and costs. This Fourth Amendment constitutes the entire agreement of the parties with respect to the subject matter hereof and supersedes all prior and contemporaneous oral and written agreements and discussions, and may not be amended, waived, discharged or terminated except by a written instrument signed by all the parties hereto. A facsimile, PDF or other electronic signature on this Fourth Amendment shall be equivalent to, and have the same force and effect as, an original signature. This Fourth Amendment may be executed in counterparts which, taken together, shall constitute a single instrument.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SIGNATURES ON FOLLOWING PAGE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DOCVARIABLE ndGeneratedStamp \* MERGEFORMAT 4882-8251-6746, v.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913" w:right="459" w:bottom="1440" w:gutter="0" w:footer="0" w:header="0"/>
        </w:sectPr>
      </w:pPr>
    </w:p>
    <w:bookmarkStart w:id="209" w:name="page210"/>
    <w:bookmarkEnd w:id="209"/>
    <w:p>
      <w:pPr>
        <w:ind w:left="960" w:right="39" w:firstLine="16"/>
        <w:spacing w:after="0" w:line="269" w:lineRule="auto"/>
        <w:rPr>
          <w:sz w:val="20"/>
          <w:szCs w:val="20"/>
          <w:color w:val="auto"/>
        </w:rPr>
      </w:pPr>
      <w:r>
        <w:rPr>
          <w:rFonts w:ascii="Times New Roman" w:cs="Times New Roman" w:eastAsia="Times New Roman" w:hAnsi="Times New Roman"/>
          <w:sz w:val="20"/>
          <w:szCs w:val="20"/>
          <w:color w:val="auto"/>
        </w:rPr>
        <w:t>[SIGNATURE PAGE TO FOURTH AMENDMENT TO LEASE BY AND BETWEEN MIT 238 MAIN STREET LEASEHOLD LLC AND BEAM THERAPEUTICS, INC.]</w:t>
      </w:r>
    </w:p>
    <w:p>
      <w:pPr>
        <w:spacing w:after="0" w:line="3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EXECUTED as of the date first set forth above.</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LANDLORD: MIT 238 MAIN STREET LEASEHOLD LLC</w:t>
      </w:r>
    </w:p>
    <w:p>
      <w:pPr>
        <w:spacing w:after="0" w:line="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 MIT Cambridge Real Estate LLC, its manager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 /s/ Seth D. Alexander</w:t>
      </w:r>
    </w:p>
    <w:p>
      <w:pPr>
        <w:spacing w:after="0" w:line="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Seth D. Alexander, President, and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20"/>
          <w:szCs w:val="20"/>
          <w:color w:val="auto"/>
        </w:rPr>
        <w:t>TENANT:</w:t>
      </w:r>
      <w:r>
        <w:rPr>
          <w:sz w:val="20"/>
          <w:szCs w:val="20"/>
          <w:color w:val="auto"/>
        </w:rPr>
        <w:tab/>
      </w:r>
      <w:r>
        <w:rPr>
          <w:rFonts w:ascii="Times New Roman" w:cs="Times New Roman" w:eastAsia="Times New Roman" w:hAnsi="Times New Roman"/>
          <w:sz w:val="20"/>
          <w:szCs w:val="20"/>
          <w:color w:val="auto"/>
        </w:rPr>
        <w:t>BEAM THERAPEUTICS,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 /s/ John Evans</w:t>
      </w:r>
    </w:p>
    <w:p>
      <w:pPr>
        <w:spacing w:after="0" w:line="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Name: John Evans</w:t>
      </w:r>
    </w:p>
    <w:p>
      <w:pPr>
        <w:ind w:left="306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3</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DOCVARIABLE ndGeneratedStamp \* MERGEFORMAT 4882-8251-6746, v.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873" w:right="1440" w:bottom="1440" w:gutter="0" w:footer="0" w:header="0"/>
        </w:sectPr>
      </w:pPr>
    </w:p>
    <w:bookmarkStart w:id="210" w:name="page211"/>
    <w:bookmarkEnd w:id="210"/>
    <w:p>
      <w:pPr>
        <w:jc w:val="center"/>
        <w:ind w:right="40"/>
        <w:spacing w:after="0"/>
        <w:rPr>
          <w:sz w:val="20"/>
          <w:szCs w:val="20"/>
          <w:color w:val="auto"/>
        </w:rPr>
      </w:pPr>
      <w:r>
        <w:rPr>
          <w:rFonts w:ascii="Times New Roman" w:cs="Times New Roman" w:eastAsia="Times New Roman" w:hAnsi="Times New Roman"/>
          <w:sz w:val="20"/>
          <w:szCs w:val="20"/>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PROVISIONS GOVERNING TENANT’S ES FITOUT (“</w:t>
      </w:r>
      <w:r>
        <w:rPr>
          <w:rFonts w:ascii="Times New Roman" w:cs="Times New Roman" w:eastAsia="Times New Roman" w:hAnsi="Times New Roman"/>
          <w:sz w:val="20"/>
          <w:szCs w:val="20"/>
          <w:b w:val="1"/>
          <w:bCs w:val="1"/>
          <w:u w:val="single" w:color="auto"/>
          <w:color w:val="auto"/>
        </w:rPr>
        <w:t>ES WORK LETTER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0" w:hanging="392"/>
        <w:spacing w:after="0"/>
        <w:tabs>
          <w:tab w:leader="none" w:pos="4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Representatives.</w:t>
      </w:r>
    </w:p>
    <w:p>
      <w:pPr>
        <w:spacing w:after="0" w:line="107"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14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Landlord’s Authorized Representative</w:t>
      </w:r>
      <w:r>
        <w:rPr>
          <w:rFonts w:ascii="Times New Roman" w:cs="Times New Roman" w:eastAsia="Times New Roman" w:hAnsi="Times New Roman"/>
          <w:sz w:val="20"/>
          <w:szCs w:val="20"/>
          <w:color w:val="auto"/>
        </w:rPr>
        <w:t>. Landlord designates, as Landlord’s authorized representative (“</w:t>
      </w:r>
      <w:r>
        <w:rPr>
          <w:rFonts w:ascii="Times New Roman" w:cs="Times New Roman" w:eastAsia="Times New Roman" w:hAnsi="Times New Roman"/>
          <w:sz w:val="20"/>
          <w:szCs w:val="20"/>
          <w:b w:val="1"/>
          <w:bCs w:val="1"/>
          <w:u w:val="single" w:color="auto"/>
          <w:color w:val="auto"/>
        </w:rPr>
        <w:t>Landlord’s 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Representative</w:t>
      </w:r>
      <w:r>
        <w:rPr>
          <w:rFonts w:ascii="Times New Roman" w:cs="Times New Roman" w:eastAsia="Times New Roman" w:hAnsi="Times New Roman"/>
          <w:sz w:val="20"/>
          <w:szCs w:val="20"/>
          <w:color w:val="auto"/>
        </w:rPr>
        <w:t>”), Maureen McCaffrey as the individual authorized by Landlord to approve on behalf of Landlord all plans, drawings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matters for which the approval of Landlord is required or contemplated pursuant to this ES Work Letter. Tenant shall not be obligated to respond to or act upon any such item until such item has been initialed or signed or submitted in writing (as applicable) by Landlord’s Authorized Representative. Landlord may change Landlord’s Authorized Representative and/or name additional persons to serve as Landlord’s Authorized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Tenant may rely upon the authorization of any one of such persons) upon one (1) business day’s prior written notice to Tenant. Landlord agrees that Landlord’s Authorized Representative(s) shall be reasonably available to meet and consult with Tenant’s Authorized Representative in person (in the vicinity of the Property) or by phone (at the election of Tenant’s Authorized Representative) upon reasonable prior notice by Tenant.</w:t>
      </w:r>
    </w:p>
    <w:p>
      <w:pPr>
        <w:spacing w:after="0" w:line="77" w:lineRule="exact"/>
        <w:rPr>
          <w:rFonts w:ascii="Times New Roman" w:cs="Times New Roman" w:eastAsia="Times New Roman" w:hAnsi="Times New Roman"/>
          <w:sz w:val="20"/>
          <w:szCs w:val="20"/>
          <w:color w:val="auto"/>
        </w:rPr>
      </w:pPr>
    </w:p>
    <w:p>
      <w:pPr>
        <w:jc w:val="both"/>
        <w:ind w:firstLine="757"/>
        <w:spacing w:after="0" w:line="243" w:lineRule="auto"/>
        <w:tabs>
          <w:tab w:leader="none" w:pos="121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Tenant’s Authorized Representative</w:t>
      </w:r>
      <w:r>
        <w:rPr>
          <w:rFonts w:ascii="Times New Roman" w:cs="Times New Roman" w:eastAsia="Times New Roman" w:hAnsi="Times New Roman"/>
          <w:sz w:val="20"/>
          <w:szCs w:val="20"/>
          <w:color w:val="auto"/>
        </w:rPr>
        <w:t>. Tenant designates, as Tenant’s authorized representative (“</w:t>
      </w:r>
      <w:r>
        <w:rPr>
          <w:rFonts w:ascii="Times New Roman" w:cs="Times New Roman" w:eastAsia="Times New Roman" w:hAnsi="Times New Roman"/>
          <w:sz w:val="20"/>
          <w:szCs w:val="20"/>
          <w:b w:val="1"/>
          <w:bCs w:val="1"/>
          <w:u w:val="single" w:color="auto"/>
          <w:color w:val="auto"/>
        </w:rPr>
        <w:t>Tenant’s 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Representative</w:t>
      </w:r>
      <w:r>
        <w:rPr>
          <w:rFonts w:ascii="Times New Roman" w:cs="Times New Roman" w:eastAsia="Times New Roman" w:hAnsi="Times New Roman"/>
          <w:sz w:val="20"/>
          <w:szCs w:val="20"/>
          <w:color w:val="auto"/>
        </w:rPr>
        <w:t>”), Chris Hill as the individual authorized by Tenant to initial and sign all plans, drawings, change orders and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this ES Work Letter. Landlord shall not be obligated to respond to or act upon any such item until such item has been initialed or signed or submitted in writing (as applicable) by Tenant’s Authorized Representative. Tenant may change Tenant’s Authorized Representative and/or name additional persons to serve as Tenant’s Authorized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Landlord may rely upon the authorization of any one of such persons) upon one (1) business day’s prior written notice to Landlord. Tenant agrees that Tenant’s Authorized Representative shall be reasonably available to meet and consult with Landlord’s Authorized Representative in person (in the vicinity of the Property) or by phone (at the election of Tenant’s Authorized Representative) as and when needed, upon reasonable prior notice by Landlord.</w:t>
      </w:r>
    </w:p>
    <w:p>
      <w:pPr>
        <w:spacing w:after="0" w:line="81" w:lineRule="exact"/>
        <w:rPr>
          <w:rFonts w:ascii="Times New Roman" w:cs="Times New Roman" w:eastAsia="Times New Roman" w:hAnsi="Times New Roman"/>
          <w:sz w:val="20"/>
          <w:szCs w:val="20"/>
          <w:color w:val="auto"/>
        </w:rPr>
      </w:pPr>
    </w:p>
    <w:p>
      <w:pPr>
        <w:jc w:val="both"/>
        <w:ind w:firstLine="757"/>
        <w:spacing w:after="0" w:line="241" w:lineRule="auto"/>
        <w:tabs>
          <w:tab w:leader="none" w:pos="115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Methods of Communication</w:t>
      </w:r>
      <w:r>
        <w:rPr>
          <w:rFonts w:ascii="Times New Roman" w:cs="Times New Roman" w:eastAsia="Times New Roman" w:hAnsi="Times New Roman"/>
          <w:sz w:val="20"/>
          <w:szCs w:val="20"/>
          <w:color w:val="auto"/>
        </w:rPr>
        <w:t xml:space="preserve">. Notwithstanding anything to the contrary, all notices, plan deliveries, requests for approval and the like required under this ES Work Letter shall be delivered by email (or other means agreed to by the parties), and shall not be required to be sent to the parties listed in or designated pursuant to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of the Lease. With respect to email communications, each party shall cc any parties designated for such copies by Landlord’s Authorized Representative(s) or Tenant’s Authorized Representative(s), as applicable. It is understood and agreed that approvals or consents must be communicated by a written signed document, which may be delivered by a PDF, TIF or JPG file or other mutually agreed image file delivered by email (the parties acknowledging that such electronic signatures on approvals and/or consents shall be binding for the purposes set forth in this ES Work Letter). Landlord and Tenant hereby agree that all plans, pricing information and schedules to be delivered pursuant to this ES Work Letter may also be delivered by uploading the same to a website to which Landlord’s Authorized Representative and Tenant’s Authorized Representative (and any persons designated by Landlord’s Authorized Representative and/or Tenant’s Authorized Representative, such designation including the person’s name, email address and company) shall have access. Promptly after uploading any document to such website, an email shall be sent to all parties having access thereto. Other project-related information (including, without limitation, commissioning documents, meeting minutes, basis for design, design submissions and contractor submittals, including without limitation requests for information) may also be posted to a project website to which Landlord’s Authorized Representative and Tenant’s Authorized Representative (and any persons designated by Landlord’s Authorized Representative and/or Tenant’s Authorized Representative, such designation including the person’s name, email address and company) shall have access. Promptly after uploading any document to such project website, an email shall be sent to all parties having access thereto.</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4096" = "1" " DOCPROPERTY "SWDocID" ACTIVEUS 193067902v.7"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11" w:name="page212"/>
    <w:bookmarkEnd w:id="211"/>
    <w:p>
      <w:pPr>
        <w:ind w:left="392" w:hanging="392"/>
        <w:spacing w:after="0"/>
        <w:tabs>
          <w:tab w:leader="none" w:pos="392"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Intentionally Omitted</w:t>
      </w:r>
    </w:p>
    <w:p>
      <w:pPr>
        <w:spacing w:after="0" w:line="107" w:lineRule="exact"/>
        <w:rPr>
          <w:rFonts w:ascii="Times New Roman" w:cs="Times New Roman" w:eastAsia="Times New Roman" w:hAnsi="Times New Roman"/>
          <w:sz w:val="20"/>
          <w:szCs w:val="20"/>
          <w:b w:val="1"/>
          <w:bCs w:val="1"/>
          <w:color w:val="auto"/>
        </w:rPr>
      </w:pPr>
    </w:p>
    <w:p>
      <w:pPr>
        <w:ind w:left="392" w:hanging="392"/>
        <w:spacing w:after="0"/>
        <w:tabs>
          <w:tab w:leader="none" w:pos="392"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ES Fitout.</w:t>
      </w:r>
    </w:p>
    <w:p>
      <w:pPr>
        <w:spacing w:after="0" w:line="111" w:lineRule="exact"/>
        <w:rPr>
          <w:rFonts w:ascii="Times New Roman" w:cs="Times New Roman" w:eastAsia="Times New Roman" w:hAnsi="Times New Roman"/>
          <w:sz w:val="20"/>
          <w:szCs w:val="20"/>
          <w:b w:val="1"/>
          <w:bCs w:val="1"/>
          <w:color w:val="auto"/>
        </w:rPr>
      </w:pPr>
    </w:p>
    <w:p>
      <w:pPr>
        <w:jc w:val="both"/>
        <w:ind w:left="-8" w:firstLine="757"/>
        <w:spacing w:after="0"/>
        <w:tabs>
          <w:tab w:leader="none" w:pos="1137"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Plans</w:t>
      </w:r>
      <w:r>
        <w:rPr>
          <w:rFonts w:ascii="Times New Roman" w:cs="Times New Roman" w:eastAsia="Times New Roman" w:hAnsi="Times New Roman"/>
          <w:sz w:val="20"/>
          <w:szCs w:val="20"/>
          <w:color w:val="auto"/>
        </w:rPr>
        <w:t>. In connection with the performance of the work necessary to prepare the Expansion Space for Tenant’s occupancy and business operations, including without limitation, the installation of all furniture and fixtures (“</w:t>
      </w:r>
      <w:r>
        <w:rPr>
          <w:rFonts w:ascii="Times New Roman" w:cs="Times New Roman" w:eastAsia="Times New Roman" w:hAnsi="Times New Roman"/>
          <w:sz w:val="20"/>
          <w:szCs w:val="20"/>
          <w:b w:val="1"/>
          <w:bCs w:val="1"/>
          <w:u w:val="single" w:color="auto"/>
          <w:color w:val="auto"/>
        </w:rPr>
        <w:t>Tenant’s ES Fitout</w:t>
      </w:r>
      <w:r>
        <w:rPr>
          <w:rFonts w:ascii="Times New Roman" w:cs="Times New Roman" w:eastAsia="Times New Roman" w:hAnsi="Times New Roman"/>
          <w:sz w:val="20"/>
          <w:szCs w:val="20"/>
          <w:color w:val="auto"/>
        </w:rPr>
        <w:t>”), Tenant shall engage the Approved Contractor as Tenant’s general contractor and AHA Consulting Engineers, Inc. as Tenant’s MEP Engineer, and Perkins &amp; Will as Tenant’s architect. Furthermore, in connection with Tenant’s ES Fitout, Tenant shall submit to Landlord for Landlord’s approval (i) the name of and other reasonably requested information regarding any subcontractors performing work affecting the structural elements of, or any of the utility or Building service equipment or systems in, the Building (the “</w:t>
      </w:r>
      <w:r>
        <w:rPr>
          <w:rFonts w:ascii="Times New Roman" w:cs="Times New Roman" w:eastAsia="Times New Roman" w:hAnsi="Times New Roman"/>
          <w:sz w:val="20"/>
          <w:szCs w:val="20"/>
          <w:b w:val="1"/>
          <w:bCs w:val="1"/>
          <w:u w:val="single" w:color="auto"/>
          <w:color w:val="auto"/>
        </w:rPr>
        <w:t>ES Subcontractors</w:t>
      </w:r>
      <w:r>
        <w:rPr>
          <w:rFonts w:ascii="Times New Roman" w:cs="Times New Roman" w:eastAsia="Times New Roman" w:hAnsi="Times New Roman"/>
          <w:sz w:val="20"/>
          <w:szCs w:val="20"/>
          <w:color w:val="auto"/>
        </w:rPr>
        <w:t>”); (ii) on or before August 10, 2022, an electronic copy and four (4) full-sized copies of design/ development plans with sufficient information and detail to accurately describe the proposed design of the Expansion Space and document the programmatic requirements for Tenant’s ES Fitout (the “</w:t>
      </w:r>
      <w:r>
        <w:rPr>
          <w:rFonts w:ascii="Times New Roman" w:cs="Times New Roman" w:eastAsia="Times New Roman" w:hAnsi="Times New Roman"/>
          <w:sz w:val="20"/>
          <w:szCs w:val="20"/>
          <w:b w:val="1"/>
          <w:bCs w:val="1"/>
          <w:u w:val="single" w:color="auto"/>
          <w:color w:val="auto"/>
        </w:rPr>
        <w:t>ES Design/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Development Plans</w:t>
      </w:r>
      <w:r>
        <w:rPr>
          <w:rFonts w:ascii="Times New Roman" w:cs="Times New Roman" w:eastAsia="Times New Roman" w:hAnsi="Times New Roman"/>
          <w:sz w:val="20"/>
          <w:szCs w:val="20"/>
          <w:color w:val="auto"/>
        </w:rPr>
        <w:t>”), and (iii) on or before October 25, 2022, an electronic copy and four (4) full-sized copies of a fully coordinated set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architectural, structural, mechanical, electrical and plumbing engineering plans and specifications based on the approved Design Development Plans and in a form which is sufficiently complete to allow the Approved Contractor and subcontractors to bid on the work and to obtain all applicable permits for Tenant’s ES Fitout (“</w:t>
      </w:r>
      <w:r>
        <w:rPr>
          <w:rFonts w:ascii="Times New Roman" w:cs="Times New Roman" w:eastAsia="Times New Roman" w:hAnsi="Times New Roman"/>
          <w:sz w:val="20"/>
          <w:szCs w:val="20"/>
          <w:b w:val="1"/>
          <w:bCs w:val="1"/>
          <w:u w:val="single" w:color="auto"/>
          <w:color w:val="auto"/>
        </w:rPr>
        <w:t>Final ES Construction Drawings</w:t>
      </w:r>
      <w:r>
        <w:rPr>
          <w:rFonts w:ascii="Times New Roman" w:cs="Times New Roman" w:eastAsia="Times New Roman" w:hAnsi="Times New Roman"/>
          <w:sz w:val="20"/>
          <w:szCs w:val="20"/>
          <w:color w:val="auto"/>
        </w:rPr>
        <w:t>”). The ES Design/Development Plans and the Final ES Construction Drawings are collectively referred to herein as the “</w:t>
      </w:r>
      <w:r>
        <w:rPr>
          <w:rFonts w:ascii="Times New Roman" w:cs="Times New Roman" w:eastAsia="Times New Roman" w:hAnsi="Times New Roman"/>
          <w:sz w:val="20"/>
          <w:szCs w:val="20"/>
          <w:b w:val="1"/>
          <w:bCs w:val="1"/>
          <w:u w:val="single" w:color="auto"/>
          <w:color w:val="auto"/>
        </w:rPr>
        <w:t>ES Plans</w:t>
      </w:r>
      <w:r>
        <w:rPr>
          <w:rFonts w:ascii="Times New Roman" w:cs="Times New Roman" w:eastAsia="Times New Roman" w:hAnsi="Times New Roman"/>
          <w:sz w:val="20"/>
          <w:szCs w:val="20"/>
          <w:color w:val="auto"/>
        </w:rPr>
        <w:t xml:space="preserve">.” Landlord’s approval of the ES Subcontractors shall not be unreasonably withheld, conditioned or delayed and Landlord's approval of the ES Design/Development Plans (and the Final ES Construction Drawings,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Final ES Construction Drawings are consistent with the ES Design/Development Plans) shall not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ES Plans comply with the requirements to avoid aesthetic or other conflicts with the design and function of the balance of the Building and the Property;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Landlord may withhold its approval in its sole discretion with respect to Restricted Alterations. Landlord’s approval is solely given for the benefit of Landlord and Tenant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and neither Tenant nor any third party shall have the right to rely upon Landlord’s approval of the ES Plans for any other purpose whatsoever. Any request for approval of the ES Plans shall be accompanied by (A) a certification from a licensed code engineer that such plans are code compliant, and (B) a certification from Landlord’s MEP engineer that the ES Plans are compatible with the base building design. If Tenant timely submits drafts of the ES Plans for review and approval, Landlord shall use commercially reasonable efforts to respond to any timely request for approval of the ES Plans within twelve (12) business days after receipt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so long as Perkins &amp; Will is the architect for Tenant’s ES Fitout, Landlord shall use commercially reasonable efforts to respond to any timely request for approval of the ES Plans within five (5) business days after receipt thereof. Landlord shall notify Tenant in reasonable detail if any of the ES Plans are unsatisfactory or incomplete in any respect. In the event Landlord disapproves any of the ES Plans, Tenant shall revise the same to address Landlord’s comments and shall submit such revised ES Plan to Landlord for approval (and such process shall be continued until such ES Plan is approved by Landlord). Tenant shall not make any amendments, deletions or additions to the Final ES Construction Drawings approved by Landlord without Landlord’s prior written consent.</w:t>
      </w:r>
    </w:p>
    <w:p>
      <w:pPr>
        <w:spacing w:after="0" w:line="90" w:lineRule="exact"/>
        <w:rPr>
          <w:rFonts w:ascii="Times New Roman" w:cs="Times New Roman" w:eastAsia="Times New Roman" w:hAnsi="Times New Roman"/>
          <w:sz w:val="20"/>
          <w:szCs w:val="20"/>
          <w:color w:val="auto"/>
        </w:rPr>
      </w:pPr>
    </w:p>
    <w:p>
      <w:pPr>
        <w:jc w:val="both"/>
        <w:ind w:left="-8" w:firstLine="757"/>
        <w:spacing w:after="0" w:line="260" w:lineRule="auto"/>
        <w:tabs>
          <w:tab w:leader="none" w:pos="1137"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Landlord Delay</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b w:val="1"/>
          <w:bCs w:val="1"/>
          <w:u w:val="single" w:color="auto"/>
          <w:color w:val="auto"/>
        </w:rPr>
        <w:t>Landlord Delay</w:t>
      </w:r>
      <w:r>
        <w:rPr>
          <w:rFonts w:ascii="Times New Roman" w:cs="Times New Roman" w:eastAsia="Times New Roman" w:hAnsi="Times New Roman"/>
          <w:sz w:val="19"/>
          <w:szCs w:val="19"/>
          <w:color w:val="auto"/>
        </w:rPr>
        <w:t>” shall be defined as any act or wrongful omission by Landlord or any agent, employee, consultant, contractor or subcontractor of Landlord which causes an actual delay in the Substantial Completion of Tenant’s ES Fitout. Notwithstanding the foregoing, no event shall be deemed to be a Landlord Delay until and unless Tenant has given Landlord written notice (the “</w:t>
      </w:r>
      <w:r>
        <w:rPr>
          <w:rFonts w:ascii="Times New Roman" w:cs="Times New Roman" w:eastAsia="Times New Roman" w:hAnsi="Times New Roman"/>
          <w:sz w:val="19"/>
          <w:szCs w:val="19"/>
          <w:b w:val="1"/>
          <w:bCs w:val="1"/>
          <w:u w:val="single" w:color="auto"/>
          <w:color w:val="auto"/>
        </w:rPr>
        <w:t>Landlord Delay Notice</w:t>
      </w:r>
      <w:r>
        <w:rPr>
          <w:rFonts w:ascii="Times New Roman" w:cs="Times New Roman" w:eastAsia="Times New Roman" w:hAnsi="Times New Roman"/>
          <w:sz w:val="19"/>
          <w:szCs w:val="19"/>
          <w:color w:val="auto"/>
        </w:rPr>
        <w:t>”) advising Landlord (i) that a Landlord Delay is occurring, (ii) of the basis on which Tenant has determined that a Landlord Delay is occurring, and (iii) the actions which Tenant believes that Landlord must take to eliminate such Landlord Delay, and Landlord has failed to dispute such asserted delay or to correct the Landlord Delay specified in the Landlord Delay Notice within three (3) business days following receipt thereof. No period of time prior to expiration of such 3-business day period shall be included in the period of</w:t>
      </w:r>
    </w:p>
    <w:p>
      <w:pPr>
        <w:spacing w:after="0" w:line="200" w:lineRule="exact"/>
        <w:rPr>
          <w:sz w:val="20"/>
          <w:szCs w:val="20"/>
          <w:color w:val="auto"/>
        </w:rPr>
      </w:pPr>
    </w:p>
    <w:p>
      <w:pPr>
        <w:spacing w:after="0" w:line="357" w:lineRule="exact"/>
        <w:rPr>
          <w:sz w:val="20"/>
          <w:szCs w:val="20"/>
          <w:color w:val="auto"/>
        </w:rPr>
      </w:pPr>
    </w:p>
    <w:p>
      <w:pPr>
        <w:ind w:left="32"/>
        <w:spacing w:after="0"/>
        <w:rPr>
          <w:sz w:val="20"/>
          <w:szCs w:val="20"/>
          <w:color w:val="auto"/>
        </w:rPr>
      </w:pPr>
      <w:r>
        <w:rPr>
          <w:rFonts w:ascii="Times New Roman" w:cs="Times New Roman" w:eastAsia="Times New Roman" w:hAnsi="Times New Roman"/>
          <w:sz w:val="16"/>
          <w:szCs w:val="16"/>
          <w:color w:val="auto"/>
        </w:rPr>
        <w:t>IF " DOCVARIABLE "SWDocIDLocation" 4096" = "1" " DOCPROPERTY "SWDocID" ACTIVEUS 193067902v.7"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01" w:right="339" w:bottom="1440" w:gutter="0" w:footer="0" w:header="0"/>
        </w:sectPr>
      </w:pPr>
    </w:p>
    <w:bookmarkStart w:id="212" w:name="page213"/>
    <w:bookmarkEnd w:id="212"/>
    <w:p>
      <w:pPr>
        <w:jc w:val="both"/>
        <w:spacing w:after="0" w:line="295" w:lineRule="auto"/>
        <w:rPr>
          <w:sz w:val="20"/>
          <w:szCs w:val="20"/>
          <w:color w:val="auto"/>
        </w:rPr>
      </w:pPr>
      <w:r>
        <w:rPr>
          <w:rFonts w:ascii="Times New Roman" w:cs="Times New Roman" w:eastAsia="Times New Roman" w:hAnsi="Times New Roman"/>
          <w:sz w:val="19"/>
          <w:szCs w:val="19"/>
          <w:color w:val="auto"/>
        </w:rPr>
        <w:t xml:space="preserve">time charged to Landlord pursuant to such Landlord Delay Notice. Notwithstanding anything to the contrary, no Landlord Delay shall arise from Landlord’s timely granting or withholding of approval of any of the ES Plans as contemplated by and in accordance with this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both"/>
        <w:ind w:firstLine="757"/>
        <w:spacing w:after="0" w:line="242" w:lineRule="auto"/>
        <w:tabs>
          <w:tab w:leader="none" w:pos="114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Substantial Completion of Tenant’s ES Fitout</w:t>
      </w:r>
      <w:r>
        <w:rPr>
          <w:rFonts w:ascii="Times New Roman" w:cs="Times New Roman" w:eastAsia="Times New Roman" w:hAnsi="Times New Roman"/>
          <w:sz w:val="20"/>
          <w:szCs w:val="20"/>
          <w:color w:val="auto"/>
        </w:rPr>
        <w:t>. Tenant shall Substantially Complete (hereinafter defined) Tenant’s ES Fitout on or before the date that is twelve (12) months after the ES Commencement Date (the “</w:t>
      </w:r>
      <w:r>
        <w:rPr>
          <w:rFonts w:ascii="Times New Roman" w:cs="Times New Roman" w:eastAsia="Times New Roman" w:hAnsi="Times New Roman"/>
          <w:sz w:val="20"/>
          <w:szCs w:val="20"/>
          <w:b w:val="1"/>
          <w:bCs w:val="1"/>
          <w:u w:val="single" w:color="auto"/>
          <w:color w:val="auto"/>
        </w:rPr>
        <w:t>Outside ES Completion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Tenant is delayed in the performance of Tenant’s ES Fitout by reason of a Landlord Delay or other causes beyond Tenant’s reasonable control, the Outside ES Completion Date shall be extended by the period of time which Tenant is so delayed. For purposes hereof, Tenant’s ES Fitout shall be deemed “</w:t>
      </w:r>
      <w:r>
        <w:rPr>
          <w:rFonts w:ascii="Times New Roman" w:cs="Times New Roman" w:eastAsia="Times New Roman" w:hAnsi="Times New Roman"/>
          <w:sz w:val="20"/>
          <w:szCs w:val="20"/>
          <w:b w:val="1"/>
          <w:bCs w:val="1"/>
          <w:u w:val="single" w:color="auto"/>
          <w:color w:val="auto"/>
        </w:rPr>
        <w:t>Substantially Complete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u w:val="single" w:color="auto"/>
          <w:color w:val="auto"/>
        </w:rPr>
        <w:t>Substantial Completion</w:t>
      </w:r>
      <w:r>
        <w:rPr>
          <w:rFonts w:ascii="Times New Roman" w:cs="Times New Roman" w:eastAsia="Times New Roman" w:hAnsi="Times New Roman"/>
          <w:sz w:val="20"/>
          <w:szCs w:val="20"/>
          <w:color w:val="auto"/>
        </w:rPr>
        <w:t>” shall be deemed to have occurred if Tenant has substantially completed Tenant’s ES Fitout in accordance with the approved Final ES Construction Drawings and Tenant has delivered to Landlord a copy of (i) a certificate of substantial completion from Tenant’s architect for Tenant’s ES Fitout, and (ii) a temporary or permanent certificate of occupancy for the Expansion Space from the City of Cambridge, Massachusetts; provided, however, if a temporary certificate of occupancy is issued with respect to the Expansion Space, then Tenant shall obtain a permanent certificate of occupancy for the Expansion Space within sixty (60) days after issuance of such temporary certificate of occupancy.</w:t>
      </w:r>
    </w:p>
    <w:p>
      <w:pPr>
        <w:spacing w:after="0" w:line="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 of Tenant’s ES Fitout</w:t>
      </w:r>
      <w:r>
        <w:rPr>
          <w:rFonts w:ascii="Times New Roman" w:cs="Times New Roman" w:eastAsia="Times New Roman" w:hAnsi="Times New Roman"/>
          <w:sz w:val="20"/>
          <w:szCs w:val="20"/>
          <w:color w:val="auto"/>
        </w:rPr>
        <w:t xml:space="preserve">. Except for the ES Allowance (hereinafter defined), all of Tenant’s ES Fitout shall be performed at Tenant’s sole cost and expense, and shall be performed in accordance with the provisions of the Lease (including, without limitation,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Tenant shall pay to Landlord, as additional rent, within ten (10) days after demand therefor, any costs or expenses incurred by Landlord (which shall be reasonably based on Tenant's usage) for the use of elevators and/or hoisting in connection with the performance of Tenant’s ES Fitout.</w:t>
      </w:r>
    </w:p>
    <w:p>
      <w:pPr>
        <w:spacing w:after="0" w:line="72"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 Allowance.</w:t>
      </w:r>
    </w:p>
    <w:p>
      <w:pPr>
        <w:spacing w:after="0" w:line="111"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14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As an inducement to Tenant’s entering into this Fourth Amendment, Landlord shall, subject to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below and the last sentence of this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provide to Tenant a special tenant improvement allowance in an amount up to One Million Six Hundred Three Thousand Nine Hundred Eighty and no/100 Dollars ($1,603,980.00) (the “</w:t>
      </w:r>
      <w:r>
        <w:rPr>
          <w:rFonts w:ascii="Times New Roman" w:cs="Times New Roman" w:eastAsia="Times New Roman" w:hAnsi="Times New Roman"/>
          <w:sz w:val="20"/>
          <w:szCs w:val="20"/>
          <w:b w:val="1"/>
          <w:bCs w:val="1"/>
          <w:u w:val="single" w:color="auto"/>
          <w:color w:val="auto"/>
        </w:rPr>
        <w:t>ES Allowance</w:t>
      </w:r>
      <w:r>
        <w:rPr>
          <w:rFonts w:ascii="Times New Roman" w:cs="Times New Roman" w:eastAsia="Times New Roman" w:hAnsi="Times New Roman"/>
          <w:sz w:val="20"/>
          <w:szCs w:val="20"/>
          <w:color w:val="auto"/>
        </w:rPr>
        <w:t xml:space="preserve">”) to be used by Tenant solely for costs incurred by Tenant for Tenant’s ES Fitout. For the purposes hereof, the cost to be so reimbursed by Landlord shall not include: (i) the cost of acquiring or installing any of Tenant’s Property (hereinafter defined), including without limitation telecommunications and computer equipment and all associated wiring and cabling, any de-mountable decorations, artwork and partitions, signs, and trade fixtures, (ii) any fees paid to Tenant, any Affiliate or Successor, and (iii) any so-called “soft costs”;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notwithstanding the foregoing, up to One Hundred Sixty Thousand Three Hundred Ninety-Eight and no/100 Dollars ($160,398.00) of the ES Allowance may be used for Tenant’s architectural, engineering and consultant fees and design and permitting costs and the cost of Tenant’s wiring and cabling relating to Tenant’s ES Fitout.</w:t>
      </w:r>
    </w:p>
    <w:p>
      <w:pPr>
        <w:spacing w:after="0" w:line="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172"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Requisitions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below, Landlord shall pay Landlord's ES Proportion (hereinafter defined) of the cost shown on each requisition (as defined in the Work Letter) submitted by Tenant to Landlord within thirty (30) days of submission thereof by Tenant to Landlord until the entirety of the ES Allowance has been exhausted. “</w:t>
      </w:r>
      <w:r>
        <w:rPr>
          <w:rFonts w:ascii="Times New Roman" w:cs="Times New Roman" w:eastAsia="Times New Roman" w:hAnsi="Times New Roman"/>
          <w:sz w:val="20"/>
          <w:szCs w:val="20"/>
          <w:b w:val="1"/>
          <w:bCs w:val="1"/>
          <w:u w:val="single" w:color="auto"/>
          <w:color w:val="auto"/>
        </w:rPr>
        <w:t>Landlord's ES Proportion</w:t>
      </w:r>
      <w:r>
        <w:rPr>
          <w:rFonts w:ascii="Times New Roman" w:cs="Times New Roman" w:eastAsia="Times New Roman" w:hAnsi="Times New Roman"/>
          <w:sz w:val="20"/>
          <w:szCs w:val="20"/>
          <w:color w:val="auto"/>
        </w:rPr>
        <w:t xml:space="preserve">” shall be a fraction, the numerator of which is the ES Allowance and the denominator of which is (A) the total contract price for Tenant’s ES Fitout for the entire Expansion Space (as evidenced by reasonably detailed documentation delivered to Landlord with the requisition first submitted by Tenant), less (B) those costs described in the last sentence of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above (as evidenced by reasonably detailed documentation delivered to Landlord with the requisition first submitted by Tenant). Tenant shall not be required to deliver Lien Waivers at the time of the first requisition, but shall deliver the Lien Waivers and evidence of payment of the first requisition in full within five (5) days following payment of the ES Allowance with respect to such first requisition (it being understood and agreed that Lien Waivers with respect to the prior month’s requisition shall be submitted as part of each requisition after such</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4096" = "1" " DOCPROPERTY "SWDocID" ACTIVEUS 193067902v.7"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13" w:name="page214"/>
    <w:bookmarkEnd w:id="213"/>
    <w:p>
      <w:pPr>
        <w:spacing w:after="0" w:line="269" w:lineRule="auto"/>
        <w:rPr>
          <w:sz w:val="20"/>
          <w:szCs w:val="20"/>
          <w:color w:val="auto"/>
        </w:rPr>
      </w:pPr>
      <w:r>
        <w:rPr>
          <w:rFonts w:ascii="Times New Roman" w:cs="Times New Roman" w:eastAsia="Times New Roman" w:hAnsi="Times New Roman"/>
          <w:sz w:val="20"/>
          <w:szCs w:val="20"/>
          <w:color w:val="auto"/>
        </w:rPr>
        <w:t>first requisition). Landlord shall have the right, upon reasonable advance notice to Tenant, to inspect Tenant's books and records relating to each requisition in order to verify the amount thereof. Tenant shall submit requisition(s) no more often than monthly.</w:t>
      </w:r>
    </w:p>
    <w:p>
      <w:pPr>
        <w:spacing w:after="0" w:line="51" w:lineRule="exact"/>
        <w:rPr>
          <w:sz w:val="20"/>
          <w:szCs w:val="20"/>
          <w:color w:val="auto"/>
        </w:rPr>
      </w:pPr>
    </w:p>
    <w:p>
      <w:pPr>
        <w:jc w:val="both"/>
        <w:ind w:firstLine="757"/>
        <w:spacing w:after="0" w:line="255" w:lineRule="auto"/>
        <w:tabs>
          <w:tab w:leader="none" w:pos="1145"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contained: (i) Landlord shall have no obligation to advance funds on account of the ES Allowance (A) until Landlord shall have received an original W-9 executed by Tenant, nor (B) more than once per month; (ii) If Tenant fails to pay to Tenant’s contractors the amounts paid by Landlord to Tenant in connection with any previous requisition(s), Landlord shall thereafter have the right to have the ES Allowance paid directly to Tenant's contractors; (iii) Landlord shall have no obligation to pay any portion of the ES Allowance with respect to any requisition submitted after the date (the “</w:t>
      </w:r>
      <w:r>
        <w:rPr>
          <w:rFonts w:ascii="Times New Roman" w:cs="Times New Roman" w:eastAsia="Times New Roman" w:hAnsi="Times New Roman"/>
          <w:sz w:val="19"/>
          <w:szCs w:val="19"/>
          <w:b w:val="1"/>
          <w:bCs w:val="1"/>
          <w:u w:val="single" w:color="auto"/>
          <w:color w:val="auto"/>
        </w:rPr>
        <w:t>Outside ES Requisition Date</w:t>
      </w:r>
      <w:r>
        <w:rPr>
          <w:rFonts w:ascii="Times New Roman" w:cs="Times New Roman" w:eastAsia="Times New Roman" w:hAnsi="Times New Roman"/>
          <w:sz w:val="19"/>
          <w:szCs w:val="19"/>
          <w:color w:val="auto"/>
        </w:rPr>
        <w:t xml:space="preserve">”) which is fifteen (15) months after the ES Commencement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to the extent that the completion of Tenant’s ES Fitout is delayed by reason of a Landlord Delay, the Outside ES Requisition Date shall be extended by the period of time which Tenant is so delayed; (iv) Tenant shall not be entitled to any unused portion of the ES Allowance; (v) Landlord’s obligation to pay any portion of the ES Allowance shall be conditioned upon there existing no default by Tenant in its obligations under the Lease at the time that Landlord would otherwise be required to make such payment (it being understood and agreed that if Tenant cures such default prior to the expiration of the notice and/or cure periods set forth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of the Lease, Landlord shall make such payment promptly after the cure is effectuated); and (vi) In addition to all other requirements hereof, Landlord’s obligation to pay the final ten percent (10%) of the ES Allowance shall be subject to simultaneous delivery of all unconditional lien waivers relating to items, services and work performed in connection with Tenant’s ES Fitout.</w:t>
      </w:r>
    </w:p>
    <w:p>
      <w:pPr>
        <w:spacing w:after="0" w:line="73" w:lineRule="exact"/>
        <w:rPr>
          <w:rFonts w:ascii="Times New Roman" w:cs="Times New Roman" w:eastAsia="Times New Roman" w:hAnsi="Times New Roman"/>
          <w:sz w:val="19"/>
          <w:szCs w:val="19"/>
          <w:color w:val="auto"/>
        </w:rPr>
      </w:pPr>
    </w:p>
    <w:p>
      <w:pPr>
        <w:jc w:val="both"/>
        <w:ind w:right="20" w:firstLine="757"/>
        <w:spacing w:after="0" w:line="254" w:lineRule="auto"/>
        <w:tabs>
          <w:tab w:leader="none" w:pos="114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Tenant owes Landlord any sums under or pursuant to the Lease at such time as Landlord is obligated pursuant to the provisions of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to pay any portion of the ES Allowance, Landlord shall have the right to offset said amount from such payment of the ES Allowance.</w:t>
      </w:r>
    </w:p>
    <w:p>
      <w:pPr>
        <w:spacing w:after="0" w:line="62" w:lineRule="exact"/>
        <w:rPr>
          <w:rFonts w:ascii="Times New Roman" w:cs="Times New Roman" w:eastAsia="Times New Roman" w:hAnsi="Times New Roman"/>
          <w:sz w:val="20"/>
          <w:szCs w:val="20"/>
          <w:color w:val="auto"/>
        </w:rPr>
      </w:pPr>
    </w:p>
    <w:p>
      <w:pPr>
        <w:jc w:val="both"/>
        <w:ind w:firstLine="8"/>
        <w:spacing w:after="0" w:line="243" w:lineRule="auto"/>
        <w:tabs>
          <w:tab w:leader="none" w:pos="42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Space Planning Allowance</w:t>
      </w:r>
      <w:r>
        <w:rPr>
          <w:rFonts w:ascii="Times New Roman" w:cs="Times New Roman" w:eastAsia="Times New Roman" w:hAnsi="Times New Roman"/>
          <w:sz w:val="20"/>
          <w:szCs w:val="20"/>
          <w:color w:val="auto"/>
        </w:rPr>
        <w:t>. In addition to the ES Allowance, and as a further inducement to Tenant’s entering into this Fourth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Landlord shall, subject to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provide to Tenant a special tenant improvement allowance equal to Nine Hundred Sixteen and 56/100 Dollars ($916.56) (the “</w:t>
      </w:r>
      <w:r>
        <w:rPr>
          <w:rFonts w:ascii="Times New Roman" w:cs="Times New Roman" w:eastAsia="Times New Roman" w:hAnsi="Times New Roman"/>
          <w:sz w:val="20"/>
          <w:szCs w:val="20"/>
          <w:b w:val="1"/>
          <w:bCs w:val="1"/>
          <w:u w:val="single" w:color="auto"/>
          <w:color w:val="auto"/>
        </w:rPr>
        <w:t>Space Planning Allowance</w:t>
      </w:r>
      <w:r>
        <w:rPr>
          <w:rFonts w:ascii="Times New Roman" w:cs="Times New Roman" w:eastAsia="Times New Roman" w:hAnsi="Times New Roman"/>
          <w:sz w:val="20"/>
          <w:szCs w:val="20"/>
          <w:color w:val="auto"/>
        </w:rPr>
        <w:t xml:space="preserve">”) to be used by Tenant solely for design and architectural costs incurred by Tenant for space planning the Expansion Space.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there is no Event of Default or event which, with the passage of time and/or the giving of notice would constitute an Event of Default, Landlord shall pay the Space Planning Allowance to Tenant within thirty (30) days after the later to occur of (a) Landlord’s receipt of the draft ES Design/Development Plans, and (b) Landlord’s receipt of a reasonably detailed invoice therefor, which invoice must be delivered to Landlord on or before the date which is sixty (60) days after the ES Commencement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Tenant cures any default prior to the expiration of applicable cure periods set forth in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of the Lease, then Landlord’s obligation to pay the Space Planning Allowance shall be reinstated. Tenant shall not be entitled to any unused portion of the Space Planning Allowance.</w:t>
      </w: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4096" = "1" " DOCPROPERTY "SWDocID" ACTIVEUS 193067902v.7"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333-236582, 333-254378, and 333-263067 on Form S-8, and Registration Statement Nos. 333-256962 and 333-254946 on Form S-3 of our reports dated February 28, 2022, relating to the financial statements of Beam Therapeutics Inc. and subsidiaries, and the effectiveness of Beam Therapeutics Inc. and subsidiaries’ internal control over financial reporting, appearing in this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Evans, certify that:</w:t>
      </w:r>
    </w:p>
    <w:p>
      <w:pPr>
        <w:spacing w:after="0" w:line="117" w:lineRule="exact"/>
        <w:rPr>
          <w:sz w:val="20"/>
          <w:szCs w:val="20"/>
          <w:color w:val="auto"/>
        </w:rPr>
      </w:pPr>
    </w:p>
    <w:p>
      <w:pPr>
        <w:ind w:left="520" w:hanging="503"/>
        <w:spacing w:after="0"/>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6" w:name="page217"/>
    <w:bookmarkEnd w:id="216"/>
    <w:p>
      <w:pPr>
        <w:ind w:left="1140" w:right="280" w:hanging="509"/>
        <w:spacing w:after="0" w:line="282"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40" w:hanging="509"/>
        <w:spacing w:after="0" w:line="282" w:lineRule="auto"/>
        <w:tabs>
          <w:tab w:leader="none" w:pos="11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33089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DOCPROPERTY DOCXDOCID DMS=InterwovenIManage Format=&lt;&lt;NUM&gt;&gt;_&lt;&lt;VER&gt;&gt; PRESERVELOCATION \* MERGEFORMAT 93895667_1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472" w:right="65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Terry-Ann Burrell, certify that:</w:t>
      </w:r>
    </w:p>
    <w:p>
      <w:pPr>
        <w:spacing w:after="0" w:line="117" w:lineRule="exact"/>
        <w:rPr>
          <w:sz w:val="20"/>
          <w:szCs w:val="20"/>
          <w:color w:val="auto"/>
        </w:rPr>
      </w:pPr>
    </w:p>
    <w:p>
      <w:pPr>
        <w:ind w:left="520" w:hanging="503"/>
        <w:spacing w:after="0"/>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6" w:lineRule="exact"/>
        <w:rPr>
          <w:rFonts w:ascii="Times New Roman" w:cs="Times New Roman" w:eastAsia="Times New Roman" w:hAnsi="Times New Roman"/>
          <w:sz w:val="18"/>
          <w:szCs w:val="18"/>
          <w:color w:val="auto"/>
        </w:rPr>
      </w:pPr>
    </w:p>
    <w:p>
      <w:pPr>
        <w:ind w:left="1160" w:right="600" w:hanging="509"/>
        <w:spacing w:after="0" w:line="282" w:lineRule="auto"/>
        <w:tabs>
          <w:tab w:leader="none" w:pos="1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60" w:right="320" w:hanging="509"/>
        <w:spacing w:after="0" w:line="282" w:lineRule="auto"/>
        <w:tabs>
          <w:tab w:leader="none" w:pos="11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8" w:name="page219"/>
    <w:bookmarkEnd w:id="218"/>
    <w:p>
      <w:pPr>
        <w:spacing w:after="0"/>
        <w:tabs>
          <w:tab w:leader="none" w:pos="5480" w:val="left"/>
          <w:tab w:leader="none" w:pos="596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17145</wp:posOffset>
            </wp:positionV>
            <wp:extent cx="33261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Terry-Ann Burrell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773430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900" w:hanging="359"/>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580" w:val="left"/>
          <w:tab w:leader="none" w:pos="60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Terry-Ann Burrell</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1" w:name="page222"/>
    <w:bookmarkEnd w:id="2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lowerRoman"/>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1)"/>
      <w:numFmt w:val="lowerRoman"/>
      <w:start w:val="2"/>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o"/>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1)"/>
      <w:numFmt w:val="lowerLetter"/>
      <w:start w:val="2"/>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decimal"/>
      <w:start w:val="4"/>
    </w:lvl>
  </w:abstractNum>
  <w:abstractNum w:abstractNumId="86">
    <w:nsid w:val="50801EE1"/>
    <w:multiLevelType w:val="hybridMultilevel"/>
    <w:lvl w:ilvl="0">
      <w:lvlJc w:val="left"/>
      <w:lvlText w:val="(%1)"/>
      <w:numFmt w:val="lowerLetter"/>
      <w:start w:val="3"/>
    </w:lvl>
  </w:abstractNum>
  <w:abstractNum w:abstractNumId="87">
    <w:nsid w:val="488AC1A"/>
    <w:multiLevelType w:val="hybridMultilevel"/>
    <w:lvl w:ilvl="0">
      <w:lvlJc w:val="left"/>
      <w:lvlText w:val="(%1)"/>
      <w:numFmt w:val="lowerLetter"/>
      <w:start w:val="4"/>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decimal"/>
      <w:start w:val="5"/>
    </w:lvl>
    <w:lvl w:ilvl="1">
      <w:lvlJc w:val="left"/>
      <w:lvlText w:val="(%2)"/>
      <w:numFmt w:val="lowerLetter"/>
      <w:start w:val="3"/>
    </w:lvl>
  </w:abstractNum>
  <w:abstractNum w:abstractNumId="90">
    <w:nsid w:val="7672BD23"/>
    <w:multiLevelType w:val="hybridMultilevel"/>
    <w:lvl w:ilvl="0">
      <w:lvlJc w:val="left"/>
      <w:lvlText w:val="(%1)"/>
      <w:numFmt w:val="lowerLetter"/>
      <w:start w:val="4"/>
    </w:lvl>
  </w:abstractNum>
  <w:abstractNum w:abstractNumId="91">
    <w:nsid w:val="6FC75AF8"/>
    <w:multiLevelType w:val="hybridMultilevel"/>
    <w:lvl w:ilvl="0">
      <w:lvlJc w:val="left"/>
      <w:lvlText w:val="%1"/>
      <w:numFmt w:val="lowerLetter"/>
      <w:start w:val="1"/>
    </w:lvl>
    <w:lvl w:ilvl="1">
      <w:lvlJc w:val="left"/>
      <w:lvlText w:val="(%2)"/>
      <w:numFmt w:val="lowerLetter"/>
      <w:start w:val="1"/>
    </w:lvl>
  </w:abstractNum>
  <w:abstractNum w:abstractNumId="92">
    <w:nsid w:val="6A5F7029"/>
    <w:multiLevelType w:val="hybridMultilevel"/>
    <w:lvl w:ilvl="0">
      <w:lvlJc w:val="left"/>
      <w:lvlText w:val="(%1)"/>
      <w:numFmt w:val="lowerLetter"/>
      <w:start w:val="2"/>
    </w:lvl>
    <w:lvl w:ilvl="1">
      <w:lvlJc w:val="left"/>
      <w:lvlText w:val="%2"/>
      <w:numFmt w:val="lowerLetter"/>
      <w:start w:val="1"/>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1."/>
      <w:numFmt w:val="decimal"/>
      <w:start w:val="5"/>
    </w:lvl>
  </w:abstractNum>
  <w:abstractNum w:abstractNumId="96">
    <w:nsid w:val="7DE67713"/>
    <w:multiLevelType w:val="hybridMultilevel"/>
    <w:lvl w:ilvl="0">
      <w:lvlJc w:val="left"/>
      <w:lvlText w:val="%1."/>
      <w:numFmt w:val="decimal"/>
      <w:start w:val="1"/>
    </w:lvl>
    <w:lvl w:ilvl="1">
      <w:lvlJc w:val="left"/>
      <w:lvlText w:val="(%2)"/>
      <w:numFmt w:val="lowerLetter"/>
      <w:start w:val="1"/>
    </w:lvl>
  </w:abstractNum>
  <w:abstractNum w:abstractNumId="97">
    <w:nsid w:val="555C55B5"/>
    <w:multiLevelType w:val="hybridMultilevel"/>
    <w:lvl w:ilvl="0">
      <w:lvlJc w:val="left"/>
      <w:lvlText w:val="%1."/>
      <w:numFmt w:val="decimal"/>
      <w:start w:val="2"/>
    </w:lvl>
    <w:lvl w:ilvl="1">
      <w:lvlJc w:val="left"/>
      <w:lvlText w:val="(%2)"/>
      <w:numFmt w:val="lowerLetter"/>
      <w:start w:val="1"/>
    </w:lvl>
  </w:abstractNum>
  <w:abstractNum w:abstractNumId="98">
    <w:nsid w:val="3FA62ACA"/>
    <w:multiLevelType w:val="hybridMultilevel"/>
    <w:lvl w:ilvl="0">
      <w:lvlJc w:val="left"/>
      <w:lvlText w:val="%1"/>
      <w:numFmt w:val="decimal"/>
      <w:start w:val="1"/>
    </w:lvl>
    <w:lvl w:ilvl="1">
      <w:lvlJc w:val="left"/>
      <w:lvlText w:val="(%2)"/>
      <w:numFmt w:val="lowerLetter"/>
      <w:start w:val="3"/>
    </w:lvl>
  </w:abstractNum>
  <w:abstractNum w:abstractNumId="99">
    <w:nsid w:val="14FCE74E"/>
    <w:multiLevelType w:val="hybridMultilevel"/>
    <w:lvl w:ilvl="0">
      <w:lvlJc w:val="left"/>
      <w:lvlText w:val="%1."/>
      <w:numFmt w:val="decimal"/>
      <w:start w:val="4"/>
    </w:lvl>
    <w:lvl w:ilvl="1">
      <w:lvlJc w:val="left"/>
      <w:lvlText w:val="(%2)"/>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Letter"/>
      <w:start w:val="3"/>
    </w:lvl>
  </w:abstractNum>
  <w:abstractNum w:abstractNumId="101">
    <w:nsid w:val="71C91298"/>
    <w:multiLevelType w:val="hybridMultilevel"/>
    <w:lvl w:ilvl="0">
      <w:lvlJc w:val="left"/>
      <w:lvlText w:val="%1."/>
      <w:numFmt w:val="decimal"/>
      <w:start w:val="5"/>
    </w:lvl>
    <w:lvl w:ilvl="1">
      <w:lvlJc w:val="left"/>
      <w:lvlText w:val="%2"/>
      <w:numFmt w:val="lowerLetter"/>
      <w:start w:val="1"/>
    </w:lvl>
  </w:abstractNum>
  <w:abstractNum w:abstractNumId="102">
    <w:nsid w:val="9DAF632"/>
    <w:multiLevelType w:val="hybridMultilevel"/>
    <w:lvl w:ilvl="0">
      <w:lvlJc w:val="left"/>
      <w:lvlText w:val="%1."/>
      <w:numFmt w:val="decimal"/>
      <w:start w:val="1"/>
    </w:lvl>
    <w:lvl w:ilvl="1">
      <w:lvlJc w:val="left"/>
      <w:lvlText w:val="(%2)"/>
      <w:numFmt w:val="lowerLetter"/>
      <w:start w:val="1"/>
    </w:lvl>
  </w:abstractNum>
  <w:abstractNum w:abstractNumId="103">
    <w:nsid w:val="53299938"/>
    <w:multiLevelType w:val="hybridMultilevel"/>
    <w:lvl w:ilvl="0">
      <w:lvlJc w:val="left"/>
      <w:lvlText w:val="(%1)"/>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191" Type="http://schemas.openxmlformats.org/officeDocument/2006/relationships/hyperlink" Target="https://www.sec.gov/Archives/edgar/data/0001745999/000156459021013190/beam-ex21_408.htm" TargetMode="External"/><Relationship Id="rId192" Type="http://schemas.openxmlformats.org/officeDocument/2006/relationships/hyperlink" Target="https://www.sec.gov/Archives/edgar/data/1745999/000119312520031290/d842502dex31.htm" TargetMode="External"/><Relationship Id="rId193" Type="http://schemas.openxmlformats.org/officeDocument/2006/relationships/hyperlink" Target="https://www.sec.gov/Archives/edgar/data/1745999/000119312519257401/d734398dex41.htm" TargetMode="External"/><Relationship Id="rId194" Type="http://schemas.openxmlformats.org/officeDocument/2006/relationships/hyperlink" Target="https://www.sec.gov/Archives/edgar/data/1745999/000119312519257401/d734398dex42.htm" TargetMode="External"/><Relationship Id="rId195" Type="http://schemas.openxmlformats.org/officeDocument/2006/relationships/hyperlink" Target="https://www.sec.gov/Archives/edgar/data/0001745999/000119312521010753/d65346dex101.htm" TargetMode="External"/><Relationship Id="rId196" Type="http://schemas.openxmlformats.org/officeDocument/2006/relationships/hyperlink" Target="https://www.sec.gov/Archives/edgar/data/0001745999/000119312521103074/d160079dex411.htm" TargetMode="External"/><Relationship Id="rId197" Type="http://schemas.openxmlformats.org/officeDocument/2006/relationships/hyperlink" Target="https://www.sec.gov/Archives/edgar/data/1745999/000119312519257401/d734398dex101.htm" TargetMode="External"/><Relationship Id="rId198" Type="http://schemas.openxmlformats.org/officeDocument/2006/relationships/hyperlink" Target="https://www.sec.gov/Archives/edgar/data/1745999/000119312519257401/d734398dex102.htm" TargetMode="External"/><Relationship Id="rId199" Type="http://schemas.openxmlformats.org/officeDocument/2006/relationships/hyperlink" Target="https://www.sec.gov/Archives/edgar/data/0001745999/000119312521103255/d161815dex11.htm" TargetMode="External"/><Relationship Id="rId200" Type="http://schemas.openxmlformats.org/officeDocument/2006/relationships/hyperlink" Target="https://www.sec.gov/Archives/edgar/data/1745999/000119312519257401/d734398dex104.htm" TargetMode="External"/><Relationship Id="rId201" Type="http://schemas.openxmlformats.org/officeDocument/2006/relationships/hyperlink" Target="https://www.sec.gov/Archives/edgar/data/0001745999/000156459021013190/beam-ex105_865.htm" TargetMode="External"/><Relationship Id="rId202" Type="http://schemas.openxmlformats.org/officeDocument/2006/relationships/hyperlink" Target="https://www.sec.gov/Archives/edgar/data/0001745999/000156459021013190/beam-ex106_866.htm" TargetMode="External"/><Relationship Id="rId203" Type="http://schemas.openxmlformats.org/officeDocument/2006/relationships/hyperlink" Target="https://www.sec.gov/Archives/edgar/data/1745999/000119312519257401/d734398dex105.htm" TargetMode="External"/><Relationship Id="rId206" Type="http://schemas.openxmlformats.org/officeDocument/2006/relationships/hyperlink" Target="https://www.sec.gov/Archives/edgar/data/0001745999/000156459021013190/beam-ex108_867.htm" TargetMode="External"/><Relationship Id="rId207" Type="http://schemas.openxmlformats.org/officeDocument/2006/relationships/hyperlink" Target="https://www.sec.gov/Archives/edgar/data/1745999/000119312519257401/d734398dex106.htm" TargetMode="External"/><Relationship Id="rId208" Type="http://schemas.openxmlformats.org/officeDocument/2006/relationships/hyperlink" Target="https://www.sec.gov/Archives/edgar/data/0001745999/000156459021013190/beam-ex1010_868.htm" TargetMode="External"/><Relationship Id="rId209" Type="http://schemas.openxmlformats.org/officeDocument/2006/relationships/hyperlink" Target="https://www.sec.gov/Archives/edgar/data/0001745999/000156459021013190/beam-ex1011_159.htm" TargetMode="External"/><Relationship Id="rId210" Type="http://schemas.openxmlformats.org/officeDocument/2006/relationships/hyperlink" Target="https://www.sec.gov/Archives/edgar/data/1745999/000119312519257401/d734398dex107.htm" TargetMode="External"/><Relationship Id="rId211" Type="http://schemas.openxmlformats.org/officeDocument/2006/relationships/hyperlink" Target="https://www.sec.gov/Archives/edgar/data/1745999/000119312520014727/d221975dex108.htm" TargetMode="External"/><Relationship Id="rId212" Type="http://schemas.openxmlformats.org/officeDocument/2006/relationships/hyperlink" Target="https://www.sec.gov/Archives/edgar/data/1745999/000119312519257401/d734398dex109.htm" TargetMode="External"/><Relationship Id="rId213" Type="http://schemas.openxmlformats.org/officeDocument/2006/relationships/hyperlink" Target="https://www.sec.gov/Archives/edgar/data/1745999/000119312519257401/d734398dex1010.htm" TargetMode="External"/><Relationship Id="rId214" Type="http://schemas.openxmlformats.org/officeDocument/2006/relationships/hyperlink" Target="https://www.sec.gov/Archives/edgar/data/1745999/000119312519257401/d734398dex1011.htm" TargetMode="External"/><Relationship Id="rId215" Type="http://schemas.openxmlformats.org/officeDocument/2006/relationships/hyperlink" Target="https://www.sec.gov/Archives/edgar/data/1745999/000119312519257401/d734398dex1012.htm" TargetMode="External"/><Relationship Id="rId216" Type="http://schemas.openxmlformats.org/officeDocument/2006/relationships/hyperlink" Target="https://www.sec.gov/Archives/edgar/data/0001745999/000095017021001110/beam-20210630ex10_1.htm" TargetMode="External"/><Relationship Id="rId217" Type="http://schemas.openxmlformats.org/officeDocument/2006/relationships/hyperlink" Target="https://www.sec.gov/Archives/edgar/data/1745999/000119312520014727/d221975dex1014.htm" TargetMode="External"/><Relationship Id="rId218" Type="http://schemas.openxmlformats.org/officeDocument/2006/relationships/hyperlink" Target="https://www.sec.gov/Archives/edgar/data/1745999/000119312520014727/d221975dex1015.htm" TargetMode="External"/><Relationship Id="rId219" Type="http://schemas.openxmlformats.org/officeDocument/2006/relationships/hyperlink" Target="https://www.sec.gov/Archives/edgar/data/1745999/000119312520014727/d221975dex1016.htm" TargetMode="External"/><Relationship Id="rId220" Type="http://schemas.openxmlformats.org/officeDocument/2006/relationships/hyperlink" Target="https://www.sec.gov/Archives/edgar/data/1745999/000119312520014727/d221975dex1017.htm" TargetMode="External"/><Relationship Id="rId221" Type="http://schemas.openxmlformats.org/officeDocument/2006/relationships/hyperlink" Target="https://www.sec.gov/Archives/edgar/data/1745999/000119312520014727/d221975dex1018.htm" TargetMode="External"/><Relationship Id="rId222" Type="http://schemas.openxmlformats.org/officeDocument/2006/relationships/hyperlink" Target="https://www.sec.gov/Archives/edgar/data/1745999/000119312520014727/d221975dex1019.htm" TargetMode="External"/><Relationship Id="rId223" Type="http://schemas.openxmlformats.org/officeDocument/2006/relationships/hyperlink" Target="https://www.sec.gov/Archives/edgar/data/0001745999/000156459021013190/beam-ex1025_407.htm" TargetMode="External"/><Relationship Id="rId224" Type="http://schemas.openxmlformats.org/officeDocument/2006/relationships/hyperlink" Target="https://www.sec.gov/Archives/edgar/data/0001745999/000156459021013190/beam-ex1026_406.htm" TargetMode="External"/><Relationship Id="rId225" Type="http://schemas.openxmlformats.org/officeDocument/2006/relationships/hyperlink" Target="https://www.sec.gov/Archives/edgar/data/1745999/000119312520014727/d221975dex1021.htm" TargetMode="External"/><Relationship Id="rId226" Type="http://schemas.openxmlformats.org/officeDocument/2006/relationships/hyperlink" Target="https://www.sec.gov/Archives/edgar/data/0001745999/000095017021001110/beam-20210630ex10_2.htm" TargetMode="External"/><Relationship Id="rId229" Type="http://schemas.openxmlformats.org/officeDocument/2006/relationships/hyperlink" Target="https://www.sec.gov/Archives/edgar/data/1745999/000156459020039490/beam-ex101_197.htm" TargetMode="External"/><Relationship Id="rId230" Type="http://schemas.openxmlformats.org/officeDocument/2006/relationships/hyperlink" Target="https://www.sec.gov/Archives/edgar/data/1745999/000119312521209865/d187752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2023-02-28T07:35:18Z</dcterms:created>
  <dcterms:modified xsi:type="dcterms:W3CDTF">2023-02-28T07:35:18Z</dcterms:modified>
</cp:coreProperties>
</file>