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Ciaramella Giuseppe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BEAM THERAPEUTICS INC., 238 MAIN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Beam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BEAM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02142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11,810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24.58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218,406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vesting of certain restricted stock units granted to the Reporting Person under the Beam Therapeutics Inc. 2019 Equity Incentive Plan on each of March 31, 2022, March 31, 2023, March 31, 2024 and March 31, 2025. The sales were effected pursuant to a Rule 10b5-1 trading plan adopted by the Reporting Person on May 23, 2023.</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/s/ Christine Bellon,</w:t>
            </w:r>
          </w:p>
        </w:tc>
        <w:tc>
          <w:tcPr>
            <w:tcW w:w="3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04/06/2026</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6322" TargetMode="External"/><Relationship Id="rId14" Type="http://schemas.openxmlformats.org/officeDocument/2006/relationships/hyperlink" Target="http://www.sec.gov/cgi-bin/browse-edgar?action=getcompany&amp;CIK=000174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2026-04-06T16:36:26Z</dcterms:created>
  <dcterms:modified xsi:type="dcterms:W3CDTF">2026-04-06T16:36:26Z</dcterms:modified>
</cp:coreProperties>
</file>