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900" w:right="1940" w:hanging="3892"/>
        <w:spacing w:after="0" w:line="295" w:lineRule="auto"/>
        <w:tabs>
          <w:tab w:leader="none" w:pos="4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46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b w:val="1"/>
          <w:bCs w:val="1"/>
          <w:color w:val="auto"/>
        </w:rPr>
        <w:t>Beam Therapeutics Inc.</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3940" w:type="dxa"/>
            <w:vAlign w:val="bottom"/>
            <w:gridSpan w:val="5"/>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480" w:type="dxa"/>
            <w:vAlign w:val="bottom"/>
            <w:vMerge w:val="restart"/>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0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60" w:type="dxa"/>
            <w:vAlign w:val="bottom"/>
            <w:vMerge w:val="restart"/>
          </w:tcPr>
          <w:p>
            <w:pPr>
              <w:jc w:val="right"/>
              <w:ind w:right="1485"/>
              <w:spacing w:after="0"/>
              <w:rPr>
                <w:sz w:val="20"/>
                <w:szCs w:val="20"/>
                <w:color w:val="auto"/>
              </w:rPr>
            </w:pPr>
            <w:r>
              <w:rPr>
                <w:rFonts w:ascii="Times New Roman" w:cs="Times New Roman" w:eastAsia="Times New Roman" w:hAnsi="Times New Roman"/>
                <w:sz w:val="16"/>
                <w:szCs w:val="16"/>
                <w:b w:val="1"/>
                <w:bCs w:val="1"/>
                <w:color w:val="auto"/>
              </w:rPr>
              <w:t>81-5238376</w:t>
            </w: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80" w:type="dxa"/>
            <w:vAlign w:val="bottom"/>
            <w:gridSpan w:val="4"/>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State or other jurisdiction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60" w:type="dxa"/>
            <w:vAlign w:val="bottom"/>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I.R.S. Employer</w:t>
            </w:r>
          </w:p>
        </w:tc>
        <w:tc>
          <w:tcPr>
            <w:tcW w:w="0" w:type="dxa"/>
            <w:vAlign w:val="bottom"/>
          </w:tcPr>
          <w:p>
            <w:pPr>
              <w:spacing w:after="0"/>
              <w:rPr>
                <w:sz w:val="1"/>
                <w:szCs w:val="1"/>
                <w:color w:val="auto"/>
              </w:rPr>
            </w:pPr>
          </w:p>
        </w:tc>
      </w:tr>
      <w:tr>
        <w:trPr>
          <w:trHeight w:val="192"/>
        </w:trPr>
        <w:tc>
          <w:tcPr>
            <w:tcW w:w="688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tcPr>
          <w:p>
            <w:pPr>
              <w:jc w:val="center"/>
              <w:ind w:right="865"/>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1"/>
        </w:trPr>
        <w:tc>
          <w:tcPr>
            <w:tcW w:w="3480" w:type="dxa"/>
            <w:vAlign w:val="bottom"/>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238 Main Street</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480" w:type="dxa"/>
            <w:vAlign w:val="bottom"/>
          </w:tcPr>
          <w:p>
            <w:pPr>
              <w:jc w:val="center"/>
              <w:ind w:left="2064"/>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1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tcPr>
          <w:p>
            <w:pPr>
              <w:jc w:val="right"/>
              <w:ind w:right="1665"/>
              <w:spacing w:after="0"/>
              <w:rPr>
                <w:sz w:val="20"/>
                <w:szCs w:val="20"/>
                <w:color w:val="auto"/>
              </w:rPr>
            </w:pPr>
            <w:r>
              <w:rPr>
                <w:rFonts w:ascii="Times New Roman" w:cs="Times New Roman" w:eastAsia="Times New Roman" w:hAnsi="Times New Roman"/>
                <w:sz w:val="16"/>
                <w:szCs w:val="16"/>
                <w:b w:val="1"/>
                <w:bCs w:val="1"/>
                <w:color w:val="auto"/>
              </w:rPr>
              <w:t>02142</w:t>
            </w:r>
          </w:p>
        </w:tc>
        <w:tc>
          <w:tcPr>
            <w:tcW w:w="0" w:type="dxa"/>
            <w:vAlign w:val="bottom"/>
          </w:tcPr>
          <w:p>
            <w:pPr>
              <w:spacing w:after="0"/>
              <w:rPr>
                <w:sz w:val="1"/>
                <w:szCs w:val="1"/>
                <w:color w:val="auto"/>
              </w:rPr>
            </w:pPr>
          </w:p>
        </w:tc>
      </w:tr>
      <w:tr>
        <w:trPr>
          <w:trHeight w:val="191"/>
        </w:trPr>
        <w:tc>
          <w:tcPr>
            <w:tcW w:w="688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Address of principal executive offices</w:t>
            </w: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tcPr>
          <w:p>
            <w:pPr>
              <w:jc w:val="center"/>
              <w:ind w:right="86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Zip Code</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6900" w:type="dxa"/>
            <w:vAlign w:val="bottom"/>
            <w:gridSpan w:val="6"/>
          </w:tcPr>
          <w:p>
            <w:pPr>
              <w:jc w:val="center"/>
              <w:ind w:right="256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857-327-8775</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3940" w:type="dxa"/>
            <w:vAlign w:val="bottom"/>
            <w:gridSpan w:val="5"/>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80" w:type="dxa"/>
            <w:vAlign w:val="bottom"/>
            <w:vMerge w:val="restart"/>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20" w:type="dxa"/>
            <w:vAlign w:val="bottom"/>
          </w:tcPr>
          <w:p>
            <w:pPr>
              <w:spacing w:after="0"/>
              <w:rPr>
                <w:sz w:val="16"/>
                <w:szCs w:val="16"/>
                <w:color w:val="auto"/>
              </w:rPr>
            </w:pP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57"/>
        </w:trPr>
        <w:tc>
          <w:tcPr>
            <w:tcW w:w="34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238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60" w:type="dxa"/>
            <w:vAlign w:val="bottom"/>
          </w:tcPr>
          <w:p>
            <w:pPr>
              <w:jc w:val="center"/>
              <w:ind w:left="945"/>
              <w:spacing w:after="0" w:line="157"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2"/>
        </w:trPr>
        <w:tc>
          <w:tcPr>
            <w:tcW w:w="3480" w:type="dxa"/>
            <w:vAlign w:val="bottom"/>
          </w:tcPr>
          <w:p>
            <w:pPr>
              <w:jc w:val="center"/>
              <w:ind w:left="184"/>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020" w:type="dxa"/>
            <w:vAlign w:val="bottom"/>
          </w:tcPr>
          <w:p>
            <w:pPr>
              <w:spacing w:after="0"/>
              <w:rPr>
                <w:sz w:val="18"/>
                <w:szCs w:val="18"/>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BEAM</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6900" w:type="dxa"/>
            <w:vAlign w:val="bottom"/>
            <w:gridSpan w:val="6"/>
          </w:tcPr>
          <w:p>
            <w:pPr>
              <w:jc w:val="center"/>
              <w:ind w:right="256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50"/>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296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6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1"/>
              </w:rPr>
              <w:t>Yes</w:t>
            </w:r>
          </w:p>
        </w:tc>
        <w:tc>
          <w:tcPr>
            <w:tcW w:w="24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29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8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5" w:right="379" w:bottom="1440" w:gutter="0" w:footer="0" w:header="0"/>
        </w:sectPr>
      </w:pPr>
    </w:p>
    <w:p>
      <w:pPr>
        <w:spacing w:after="0" w:line="1"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1" w:lineRule="exact"/>
        <w:tabs>
          <w:tab w:leader="none" w:pos="2020" w:val="left"/>
          <w:tab w:leader="none" w:pos="82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64" w:lineRule="exact"/>
        <w:rPr>
          <w:sz w:val="24"/>
          <w:szCs w:val="24"/>
          <w:color w:val="auto"/>
        </w:rPr>
      </w:pPr>
    </w:p>
    <w:p>
      <w:pPr>
        <w:spacing w:after="0" w:line="161" w:lineRule="exact"/>
        <w:tabs>
          <w:tab w:leader="none" w:pos="2020" w:val="left"/>
          <w:tab w:leader="none" w:pos="82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74"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6" w:lineRule="exact"/>
        <w:rPr>
          <w:sz w:val="24"/>
          <w:szCs w:val="24"/>
          <w:color w:val="auto"/>
        </w:rPr>
      </w:pPr>
    </w:p>
    <w:p>
      <w:pPr>
        <w:sectPr>
          <w:pgSz w:w="11900" w:h="16838" w:orient="portrait"/>
          <w:cols w:equalWidth="0" w:num="2">
            <w:col w:w="10740" w:space="180"/>
            <w:col w:w="280"/>
          </w:cols>
          <w:pgMar w:left="320" w:top="965" w:right="379" w:bottom="1440" w:gutter="0" w:footer="0" w:header="0"/>
          <w:type w:val="continuous"/>
        </w:sectPr>
      </w:pPr>
    </w:p>
    <w:p>
      <w:pPr>
        <w:ind w:right="52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was $1.70 billion, based on the closing price of the registrant’s common stock on Nasdaq on June 30, 2025, the last business day of the registrant’s most recently completed second quarter.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17, 2026 was 101,856,245.</w:t>
      </w:r>
    </w:p>
    <w:p>
      <w:pPr>
        <w:spacing w:after="0" w:line="94"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Registrant incorporates by reference into Part III (Items 10, 11, 12, 13 and 14) of this Annual Report on Form 10-K portions of the Registrant’s definitive Proxy Statement for the 2026 Annual Meeting of Stockholders to be filed with the Securities and Exchange Commission pursuant to Regulation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65"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0" w:type="dxa"/>
            <w:vAlign w:val="bottom"/>
            <w:gridSpan w:val="10"/>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58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4680" w:type="dxa"/>
            <w:vAlign w:val="bottom"/>
            <w:gridSpan w:val="7"/>
            <w:vMerge w:val="restart"/>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140" w:type="dxa"/>
            <w:vAlign w:val="bottom"/>
          </w:tcPr>
          <w:p>
            <w:pPr>
              <w:spacing w:after="0"/>
              <w:rPr>
                <w:sz w:val="14"/>
                <w:szCs w:val="14"/>
                <w:color w:val="auto"/>
              </w:rPr>
            </w:pPr>
          </w:p>
        </w:tc>
        <w:tc>
          <w:tcPr>
            <w:tcW w:w="5860" w:type="dxa"/>
            <w:vAlign w:val="bottom"/>
            <w:tcBorders>
              <w:bottom w:val="single" w:sz="8" w:color="0000FF"/>
            </w:tcBorders>
            <w:gridSpan w:val="24"/>
            <w:vMerge w:val="continue"/>
          </w:tcPr>
          <w:p>
            <w:pPr>
              <w:spacing w:after="0"/>
              <w:rPr>
                <w:sz w:val="14"/>
                <w:szCs w:val="14"/>
                <w:color w:val="auto"/>
              </w:rPr>
            </w:pPr>
          </w:p>
        </w:tc>
        <w:tc>
          <w:tcPr>
            <w:tcW w:w="4680" w:type="dxa"/>
            <w:vAlign w:val="bottom"/>
            <w:gridSpan w:val="7"/>
            <w:vMerge w:val="continue"/>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TRADEMARKS</w:t>
            </w:r>
          </w:p>
        </w:tc>
        <w:tc>
          <w:tcPr>
            <w:tcW w:w="9300" w:type="dxa"/>
            <w:vAlign w:val="bottom"/>
            <w:gridSpan w:val="2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70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784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5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RISK FACTORS SUMMARY</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10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PART I</w:t>
            </w: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480" w:type="dxa"/>
            <w:vAlign w:val="bottom"/>
            <w:gridSpan w:val="1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520" w:type="dxa"/>
            <w:vAlign w:val="bottom"/>
            <w:gridSpan w:val="2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780" w:type="dxa"/>
            <w:vAlign w:val="bottom"/>
            <w:gridSpan w:val="2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8180" w:type="dxa"/>
            <w:vAlign w:val="bottom"/>
            <w:gridSpan w:val="1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9"/>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440" w:type="dxa"/>
            <w:vAlign w:val="bottom"/>
          </w:tcPr>
          <w:p>
            <w:pPr>
              <w:spacing w:after="0"/>
              <w:rPr>
                <w:sz w:val="16"/>
                <w:szCs w:val="16"/>
                <w:color w:val="auto"/>
              </w:rPr>
            </w:pPr>
          </w:p>
        </w:tc>
        <w:tc>
          <w:tcPr>
            <w:tcW w:w="5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7"/>
                <w:szCs w:val="17"/>
                <w:color w:val="auto"/>
              </w:rPr>
            </w:pPr>
          </w:p>
        </w:tc>
        <w:tc>
          <w:tcPr>
            <w:tcW w:w="8720" w:type="dxa"/>
            <w:vAlign w:val="bottom"/>
            <w:gridSpan w:val="2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308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5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0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760" w:type="dxa"/>
            <w:vAlign w:val="bottom"/>
            <w:gridSpan w:val="1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8200" w:type="dxa"/>
            <w:vAlign w:val="bottom"/>
            <w:gridSpan w:val="1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5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440" w:type="dxa"/>
            <w:vAlign w:val="bottom"/>
            <w:gridSpan w:val="9"/>
          </w:tcPr>
          <w:p>
            <w:pPr>
              <w:spacing w:after="0"/>
              <w:rPr>
                <w:sz w:val="16"/>
                <w:szCs w:val="16"/>
                <w:color w:val="auto"/>
              </w:rPr>
            </w:pPr>
          </w:p>
        </w:tc>
        <w:tc>
          <w:tcPr>
            <w:tcW w:w="5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5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13"/>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24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08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5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54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5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64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215"/>
        </w:trPr>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Such forward-looking statements reflect, among other things, our current expectations and anticipated results of operations,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important risks, uncertainties and assumptions, including those described in “Risk Factors Summary” and in “Risk Factors” in Part I, Item 1A of this report. Unless legally required, we assume no obligation to update any such forward-looking information to reflect actual results or changes in the factors affecting such forward-looking information. These forward-looking statements reflect, among other things:</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expectations and anticipated results of operations;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progress and results of our clinical trials, including our Phase 1/2 clinical trial designed to assess the safety and efficacy of risto-cel for the treatment of sickle cell disease, our Phase 1/2 clinical trial designed to assess the safety and efficacy of BEAM-302 for the treatment of alpha-1 antitrypsin deficiency, our Phase 1/2 clinical trial designed to assess the safety and efficacy of BEAM-301 for the treatment of glycogen storage disease type 1a, and our Phase 1 healthy volunteer clinical trial of BEAM-103;</w:t>
      </w:r>
    </w:p>
    <w:p>
      <w:pPr>
        <w:spacing w:after="0" w:line="71"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file a biologics license application within a certain time period, and to demonstrate to applicable regulators that our product candidates are safe and effective and that their benefits outweigh known and potential risks for the intended patient population;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progress and results of our research and development programs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a sustainable portfolio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life-long, curative, precision genetic medicines for patients through base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a hub for partnering with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preclinical studies for product candidates in our pipeline;</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that we may develop and successfully complete any clinical trials or preclinical studies, including the manufacture of any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 broad suite of clinically validated delivery modalities;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generate additional novel lipid nanoparticles that we believe could accelerate novel nonviral delivery of gene editing or other nucleic acid payloads to tissues beyond the liver and our ability to expand the reach of our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17" w:lineRule="exact"/>
        <w:rPr>
          <w:rFonts w:ascii="Times New Roman" w:cs="Times New Roman" w:eastAsia="Times New Roman" w:hAnsi="Times New Roman"/>
          <w:sz w:val="18"/>
          <w:szCs w:val="18"/>
          <w:color w:val="auto"/>
        </w:rPr>
      </w:pPr>
    </w:p>
    <w:p>
      <w:pPr>
        <w:ind w:left="1020" w:right="180" w:hanging="503"/>
        <w:spacing w:after="0" w:line="31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progress and success of our collaborations with third parties, including any future payments we may receive under our collaboration and license agreements, and our ability to identify and enter into future license agreements and collaborations;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base editing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delivery modalities and obtain and maintain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a commercial-scale current Good Manufacturing Practice, or cGMP, manufacturing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3" w:name="page4"/>
    <w:bookmarkEnd w:id="3"/>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strategic and other potential benefits of our acquisition of any additional technologies, as well as the potential of contingent payments in connection with such acquisitions;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period over which we believe that our existing cash, cash equivalents and marketable securities will be sufficient to fund our operating expenses and capital expenditure requirements;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federal government shutdowns, the imposition of new or revised global trade tariffs or other global or regional events.</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When we use the terms “Beam,” the “Company,” “we,” “us” or “our” in this Annual Report on Form 10-K, we mean Beam Therapeutics Inc. and its subsidiaries on a consolidated basis, unless the context indicates otherwise.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BEAM and other marks as trademarks in the United States and/or in other countries. This Annual Report on Form 10-K contains references to our trademarks and service marks and to those belonging to other entities. Solely for convenience, trademarks and trade names referred to in this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that the information from these third-party publications, research, surveys and studies included in this Annual Report on Form 10-K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“Risk Factors Summary” and “Risk Factors” in Part I, Item 1A of this report. These and other factors could cause our future performance to differ materially from our assumptions and estimates.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risks. You should consider carefully the following risks, which are discussed more fully in “Risk Factors” in Part I, Item 1A of this report, and all of the other information contained in this Annual Report on Form 10-K before investing in our common stock. These risks include, but are not limited to,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you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and develop potential product candidates. If these efforts are unsuccessful, we may never become a commercial stage company or generate any revenues.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product candidates are still in preclinical or clinical development and we have not, and may never, commercialize a product candidate. If we are unable to advance our product candidates to and through clinical development, obtain regulatory approval and ultimately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or treatment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any product candidates we identify and develop fail to demonstrate safety, purity and potency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product candidates we may develop or the delivery modalities we rely on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rFonts w:ascii="Times New Roman" w:cs="Times New Roman" w:eastAsia="Times New Roman" w:hAnsi="Times New Roman"/>
          <w:sz w:val="18"/>
          <w:szCs w:val="18"/>
          <w:color w:val="auto"/>
        </w:rPr>
      </w:pPr>
    </w:p>
    <w:p>
      <w:pPr>
        <w:jc w:val="both"/>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clinical trials at sites outside the United States. The U.S. Food and Drug Administration, or the FDA, may not accept data from trials conducted in such locations, and the conduct of trials outside the United States could subject us to additional delays and expense.</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tested many of our proposed delivery modalities and product candidates in clinical trials and any favorable preclinical results are not predictive of results that may be observed in clinical trials.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 perception of genetic medicines, and gene editing and base editing in particular, may negatively impact regulatory approval of, and/or demand for, our potential products.</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governing genetic medicines, and in particular any novel genetic medicines we may develop, have changed frequently and may continue to change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 w:name="page6"/>
    <w:bookmarkEnd w:id="5"/>
    <w:p>
      <w:pPr>
        <w:ind w:left="503" w:right="26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67"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and supply of materials for our research programs, preclinical studies and clinical trials and expect to continue to do so for at least a portion of our future research programs, preclinical studies, and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product candidates in the field of genetics medicines, a field that includes gene therapy and gene editing, in which there is little clinical experience, there is increased risk that the FDA, the European Medicines Agency or other regulatory authorities may not consider the endpoints of our clinical trials to provide clinically meaningful results and that these results may be difficult to analyze.</w:t>
      </w:r>
    </w:p>
    <w:p>
      <w:pPr>
        <w:spacing w:after="0" w:line="67"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 candidates we develop and for our technology, or if the scope of the patent protection obtained is not sufficiently broad, or if we or our licensors are unable to successfully defend our or our licensors’ patents against third-party challenges or enforce our or our licensors’ patents against third parties, our competitors could develop and commercialize products and technology similar or identical to ours, and our ability to successfully commercialize any product candidates we may develop, and our technology may be adversely affected.</w:t>
      </w:r>
    </w:p>
    <w:p>
      <w:pPr>
        <w:spacing w:after="0" w:line="75"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technology and product candidates are subject, in part, to the terms and conditions of licenses granted to us by others.</w:t>
      </w:r>
    </w:p>
    <w:p>
      <w:pPr>
        <w:spacing w:after="0" w:line="53"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have asserted and may in the future assert that we, our employees, consultants, or advisors have wrongfully used or disclosed confidential information or misappropriated trade secrets.</w:t>
      </w:r>
    </w:p>
    <w:p>
      <w:pPr>
        <w:spacing w:after="0" w:line="53" w:lineRule="exact"/>
        <w:rPr>
          <w:rFonts w:ascii="Times New Roman" w:cs="Times New Roman" w:eastAsia="Times New Roman" w:hAnsi="Times New Roman"/>
          <w:sz w:val="18"/>
          <w:szCs w:val="18"/>
          <w:color w:val="auto"/>
        </w:rPr>
      </w:pPr>
    </w:p>
    <w:p>
      <w:pPr>
        <w:ind w:left="503" w:right="60"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71" w:lineRule="exact"/>
        <w:rPr>
          <w:rFonts w:ascii="Times New Roman" w:cs="Times New Roman" w:eastAsia="Times New Roman" w:hAnsi="Times New Roman"/>
          <w:sz w:val="18"/>
          <w:szCs w:val="18"/>
          <w:color w:val="auto"/>
        </w:rPr>
      </w:pPr>
    </w:p>
    <w:p>
      <w:pPr>
        <w:ind w:left="503" w:right="6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rely on information technology in our own systems and those of our business partners. These systems are subject to a wide and growing variety of cybersecurity risks that may adversely impact our business activities or our ability to engage in various transactions to support our business activities.</w:t>
      </w:r>
    </w:p>
    <w:p>
      <w:pPr>
        <w:spacing w:after="0" w:line="67"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activities depend on the use and disclosure of personal data related to individuals participating in our clinical trials. The rules addressing this data are changing across the world, and these rules may adversely impact our ability to identify individuals for clinical trials or conduct our trials.</w:t>
      </w:r>
    </w:p>
    <w:p>
      <w:pPr>
        <w:spacing w:after="0" w:line="67" w:lineRule="exact"/>
        <w:rPr>
          <w:rFonts w:ascii="Times New Roman" w:cs="Times New Roman" w:eastAsia="Times New Roman" w:hAnsi="Times New Roman"/>
          <w:sz w:val="18"/>
          <w:szCs w:val="18"/>
          <w:color w:val="auto"/>
        </w:rPr>
      </w:pPr>
    </w:p>
    <w:p>
      <w:pPr>
        <w:ind w:left="503" w:right="100"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other intellectual property may be subject to priority disputes or inventorship disputes or we may be subject to claims that we have infringed, misappropriated or otherwise violated the intellectual property of a third party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75"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financing agreement with Sixth Street Lending Partners and our indebtedness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stock price.</w:t>
      </w:r>
    </w:p>
    <w:p>
      <w:pPr>
        <w:spacing w:after="0" w:line="22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w:t>
      </w:r>
    </w:p>
    <w:p>
      <w:pPr>
        <w:spacing w:after="0" w:line="6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w:t>
      </w:r>
    </w:p>
    <w:p>
      <w:pPr>
        <w:spacing w:after="0" w:line="2" w:lineRule="exact"/>
        <w:rPr>
          <w:sz w:val="20"/>
          <w:szCs w:val="20"/>
          <w:color w:val="auto"/>
        </w:rPr>
      </w:pPr>
    </w:p>
    <w:p>
      <w:pPr>
        <w:ind w:right="100" w:firstLine="8"/>
        <w:spacing w:after="0" w:line="252"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with the potential to dramatically increase the impact of gene editing. We are also pursuing a suite of delivery modalities, including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depending on tissue type. The elegance of the base editing approach, combined with a tissue specific delivery modality, provides the basis for a targeted, efficient, precise, and highly versatile gene editing system that is designed to be capable of gene correction, gene silencing, gene activation, gene modification, and/or multiplex editing of several genes simultaneously.</w:t>
      </w:r>
    </w:p>
    <w:p>
      <w:pPr>
        <w:spacing w:after="0" w:line="8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goal is to advance a broad, diversified portfolio of base editing programs against distinct, genetically validated editing targets, as well as an innovative, platform business model that will expand the reach of our programs to more patients. Overall, we are seeking to build the leading integrated platform for precision genetic medicine, which may have broad therapeutic applicability and the potential to transform the field of precision genetic medicines.</w:t>
      </w:r>
    </w:p>
    <w:p>
      <w:pPr>
        <w:spacing w:after="0" w:line="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currently prioritizing the lead programs in our hematology and genetic disease portfolios, each of which have the potential to provide differentiated therapies for significant patient populations with high unmet medical need:</w:t>
      </w:r>
    </w:p>
    <w:p>
      <w:pPr>
        <w:spacing w:after="0" w:line="54" w:lineRule="exact"/>
        <w:rPr>
          <w:sz w:val="20"/>
          <w:szCs w:val="20"/>
          <w:color w:val="auto"/>
        </w:rPr>
      </w:pPr>
    </w:p>
    <w:p>
      <w:pPr>
        <w:ind w:left="1020" w:right="20" w:hanging="503"/>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Ristoglogene autogetemcel, or risto-cel (formerly known as BEAM-101), is a patient-specific, autologous hematopoietic stem cell, or HSC, investigational therapy designed to offer a potentially best-in-class profile, incorporating base edits that are intended to alleviate the effects of sickle cell disease by increasing fetal hemoglobin, which is expected to increase functional hemoglobin production and, in the case of sickle cell disease, inhibit hemoglobin S polymerization. In December 2025, we announced additional positive data from our Phase 1/2 clinical trial of risto-cel, which we refer to as the BEACON trial. We expect to submit a biologics license application, or BLA, for risto-cel as early as year-end 2026.</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BEAM-302 is a liver-targeting lipid nanoparticle, or LNP, formulation of base editing reagents designed to offer a one-time treatment to correct the E342K point mutation (PiZZ genotype), which is most commonly responsible for severe alpha-1 antitrypsin deficiency, or AATD. We have reached alignment with the U.S. Food and Drug Administration, or FDA, on a potential accelerated approval pathway for BEAM-302 based on alpha-1 antitrypsin biomarkers evaluated over 12 months. To support a future BLA submission, we anticipate enrolling approximately 50 additional patients to be treated with the selected optimal biological dose of BEAM-302 in an expansion of the ongoing Phase 1/2 clinical trial. We expect to report updated data from the trial and next steps for pivotal development by the end of the first quarter of 2026.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continuing to advance our other hematology and genetic diseases programs:</w:t>
      </w:r>
    </w:p>
    <w:p>
      <w:pPr>
        <w:spacing w:after="0" w:line="115" w:lineRule="exact"/>
        <w:rPr>
          <w:sz w:val="20"/>
          <w:szCs w:val="20"/>
          <w:color w:val="auto"/>
        </w:rPr>
      </w:pPr>
    </w:p>
    <w:p>
      <w:pPr>
        <w:ind w:left="1020" w:right="40" w:hanging="503"/>
        <w:spacing w:after="0" w:line="25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continue to make significant investments in developing targeted LNPs for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gene editing payloads to HSCs. Based on recent advancements in this technology, we are now prioritizing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for our next wave approach to treating sickle cell disease. We have identified multiple targeted LNPs that have the potential for HSC delivery and are currently engaged in lead optimization. We are also continuing development of our proprietary ESCAPE platform, a technology to potentially enable non-genotoxic treatment strategies that can be delivered either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including as part of any future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 for sickle cell disease. The ongoing Phase 1 healthy volunteer clinical trial of BEAM-103, an anti-CD117 monoclonal antibody that enables ESCAPE, is expected to complete dosing in the first half of 2026.</w:t>
      </w:r>
    </w:p>
    <w:p>
      <w:pPr>
        <w:spacing w:after="0" w:line="76"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BEAM-304 is a newly announced liver-targeting LNP formulation of base editing reagents designed to correct disease-causing mutations responsible for phenylketonuria, or PKU. Initial clinical development will focus on base editors addressing the two most prevalent variants found in nearly half of patients with PKU, with ongoing research efforts to address additional pathogenic mutations. In 2026, we plan to submit a regulatory application to initiate a Phase 1/2 dose-escalation clinical trial of BEAM-304 in PKU patients with the R408W mutation.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glycogen storage disease type 1a, or GSDIa. We are evaluating BEAM-301 in a Phase 1/2 clinical trial, and expect to report initial clinical data in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nuclease editing</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Gene editing works by disrupting, inserting, or modifying genes in the natural context of the genome. Most established gene editing methods rely on a class of enzymes, called nucleases, to make a double-stranded break in the DNA at a targeted location. Nuclease editors have several significant limitations.</w:t>
      </w:r>
    </w:p>
    <w:p>
      <w:pPr>
        <w:spacing w:after="0" w:line="3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First, there is a lack of predictability in genetic outcomes when altering gene sequences with nucleases. Nuclease editors can be effective if the desired outcome is to knock out or switch off the whole gene, but do not allow for precise control of the specific genetic outcome at the target site and its effects may vary from individual to individual.</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Second, there are potential toxicities associated with double-stranded breaks, such as activating the cell death response and/or genomic instability. In addition, if the double-stranded break occurs in the wrong place, the break can also lead to unwanted gene disruptions. Multiple edits using double-stranded breaks can compound this issue and lead to large-scale genomic translocations and rearrangements, potentially limiting the applicability of nuclease-based approaches in multiplex editing.</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Third, while gene disruption with nucleases is efficient, making specific sequence changes to correct or modify genes remains largely inefficient. It also requires the simultaneous delivery of an additional DNA template containing the desired, corrected gene sequence, which needs to be positioned at the precise location where the double-stranded break has occurred. The requirement of an additional DNA template significantly increases the complexity of delivery.</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Finally, nuclease editing does not allow for the correction of genes in non-dividing cells, further limiting their applications, given that the majority of cells in the adult body are non-dividing.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editors: A potential differentiated class of gene editors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base editing technology is a differentiated therapeutic approach to gene editing, potentially capable of altering the human genome at the foundational level of genetic information – a single base – without making a double-stranded break in the DNA. The elegance and simplicity of this approach can be thought of as a “pencil,” where the error is erased and the correct letter is written.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base editing platform offers meaningful advantages over established approaches in gene editing,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precise and predictable gene editing, designed to make only one type of base edit at the desired target 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efficient and therapeutically relevant levels of gene correction, which are generally unachievable by nuclease-based editing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applicability in a wide range of cell types, including both dividing and non-dividing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chemical modification of DNA with no requirement for delivery of the corrected DNA sequence;</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unwanted DNA modifications associated with double-stranded breaks, including gene disruptions and chromosomal rearrangements, such as translocations or deletions;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permanent editing of genes, creating the opportunity for a life-long therapeutic outcome, including the ability to treat infants or young children since the edit will be passed on by dividing cells as the child grows;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applications, including gene correction, gene silencing, gene activation, gene modification and/or multiplex editing of several genes simultaneously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 w:name="page9"/>
    <w:bookmarkEnd w:id="8"/>
    <w:p>
      <w:pPr>
        <w:ind w:left="1020" w:right="3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Preservation of natural regulation and a normal number of copies of the gene in the cell by modification of genes in their native genomic setting;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versatile and modular product engine that can target a different gene sequence with the same base editor and a different guide RNA.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base editing technology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proprietary DNA base editors have two principal components that may be fused together or incorporated into one another to form a single protein. The first component is a CRISPR associated protein. These proteins have been adapted and engineered to target specific genomic locations in human cells. The targeting ability of the CRISPR protein has been preserved, but the cutting ability has been modified such that the CRISPR protein does not make a double-stranded break in the DNA. The second component of our base editors is a human deaminase, a class of naturally occurring enzymes. Our Cytosine Base Editors, or CBEs, and our Adenine Base Editors, or ABEs, each use a different, engineered deaminase, which we have designed to act only on single-stranded DNA. The deaminase makes a predictable chemical modification, called deamination, of the amine group on either adenine (A) or cytosine (C) bases.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deaminase in a CBE will convert an amine group of C, resulting in the formation of uracil (U), which is read by the DNA polymerase as a thymine (T) base. Once this strand has been edited, the intermediate DNA consists of an edited strand, containing a U at the target locus, and an unedited strand with a guanine (G) base. The U:G is a mismatch and in order to preserve the edit, we modify the CRISPR to cleave the unedited single strand of the DNA, referred to as nicking. Nicking is intended to increase the efficiency of editing by inducing the cell to use the newly edited strand, and not the unedited strand, as the template for repair, resulting in a U:A pair with minimal translocations. Upon DNA repair or replication, the U is read as a T, resulting in a T:A pair, thereby completing the permanent conversion of a C:G base pair to a T:A base pair. Analogously, when an ABE is used instead of a CBE, the conversion of an amine group of A results in the formation of inosine, which is read by the DNA polymerase as a G, which subsequently leads to an A-to-G change. As a result, an A:T pair is converted to a G:C pair. Because the DNA is double-stranded, by targeting the non-coding strand, we can also convert a T:A pair to a C:G and a G:C pair to a A:T pair in the coding strand.</w:t>
      </w:r>
    </w:p>
    <w:p>
      <w:pPr>
        <w:spacing w:after="0" w:line="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modular and individual components of our base editors have the potential to be customized for specific diseases, potentially allowing us to create new programs with significant efficiencies in development. For instance, by changing the guide RNA and/or CRISPR protein, we can retarget base editors to different genomic locations based on their gene sequences. By changing the deaminase, we can retarget which base is edited (e.g., C or A). As a result, we believe our base editing technology is highly versatile, efficient, and scalable for the discovery of new drug candidates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base editing platform</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the unique advantages of base editing – single base editing precision, predictable editing outcome, high editing efficiency, and the avoidance of double-stranded breaks – make it a compelling approach for a wide range of therapeutic applications. This includes gene correction, gene modification, gene silencing and gene activation, as well as multiplex editing of several genes simultaneously.</w:t>
      </w:r>
    </w:p>
    <w:p>
      <w:pPr>
        <w:spacing w:after="0" w:line="6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To complement our next-generation gene editing technologies, we are also making significant investments in a suite of delivery technologies designed to deliver gene editing or other nucleic acid payloads to the right cells and enable potentially curative therapy. These delivery technologies include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modalities, such as electroporation, as well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modalities, such as LNPs. In our pipeline, we have initially focused on applications of these technologies where their delivery capabilities have already been clinically-validated by third parties, such as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editing of blood stem cells and LNP delivery to the liver. Longer term, we are also investing in more innovative delivery options, including next-generation mRNA and non-viral delivery technology. We have also developed critical enabling capabilities such as mRNA manufacturing and cell processing for autologous and allogeneic cell therapy.</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Due to the critical importance of high-quality manufacturing and control of production timing and know-how, we have also established a 100,000 square foot cGMP manufacturing facility in Research Triangle Park, North Carolina. The facility is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and liver-mediated diseases, with the capability to scale-up to support potential commercial supply. For our initial clinical trials, we are relying primarily on our internal manufacturing capabilities, along with CMOs with relevant manufacturing experience in genetic medicines. We believe this investment will maximize the value of our portfolio and capabilities, the probability of technical success of our programs, and the speed at which we can provide potentially life-long cures to patients.</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summary, we believe that building an integrated platform combining our gene editing capabilities with advanced delivery and manufacturing capabilities will give us the flexibility to develop a sustainable portfolio, featuring rapid development of new programs and lifecycle improvements in our core programs.</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our internal pipeline, the breadth and depth of our integrated technology platform gives us the opportunity to create a hub for partnering with other companies, which is an important part of our business model. We believe this model will help us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unlock the full potential of precision genetic medicine across a wider array of possible applications, including many outside our core areas of focus.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overall goal with these platform activities is to continue expanding our access to the technologies and teams in genetic medicine that will maximize our long-term value creation and impact on patients.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base editing portfolio</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advancing multiple programs through clinical development in parallel. Our lead programs are focused on sickle cell disease and AATD, and we are also advancing programs in other genetic diseases.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our primary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172200" cy="2734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580"/>
        <w:spacing w:after="0" w:line="382" w:lineRule="auto"/>
        <w:rPr>
          <w:sz w:val="20"/>
          <w:szCs w:val="20"/>
          <w:color w:val="auto"/>
        </w:rPr>
      </w:pPr>
      <w:r>
        <w:rPr>
          <w:rFonts w:ascii="Times New Roman" w:cs="Times New Roman" w:eastAsia="Times New Roman" w:hAnsi="Times New Roman"/>
          <w:sz w:val="14"/>
          <w:szCs w:val="14"/>
          <w:color w:val="auto"/>
        </w:rPr>
        <w:t>LNP = Lipid Nanoparticle; HSC = Hematopoietic Stem Cell; ESCAPE: Engineered Stem Cell Antibody Paired Evasion; FcRN = neonatal Fc receptor Pipeline does not include assets designated for partnering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are pursuing a long-term, staged development strategy for our base editing approach to treat hematological diseases, such as sickle cell disease and beta-thalassemia. Our initial wave consists of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programs in which HSCs are collected from a patient, edited using electroporation, a clinically validated technology for the delivery of therapeutic constructs into harvested cells, and then infused back into the patient following a conditioning regimen, such as treatment with busulfan, the standard of care in HSC transplantation today. Once reinfused, the HSCs begin repopulating a portion of the bone marrow in a process known as engraftment. The engrafted, edited HSCs give rise to progenitor cell types with the corrected gene sequences. We are deploying this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in our risto-cel program. We are also pursuing a next wave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with delivery directly into HSCs of patients via LNPs, which has the potential to make base editing therapy accessible to many more patients with sickle cell disease. We believe this multi-wave strategy can maximize the potential applicability of our sickle cell disease programs to patients as well as create a platform for the treatment of many other severe genetic blood disorders.</w:t>
      </w:r>
    </w:p>
    <w:p>
      <w:pPr>
        <w:spacing w:after="0" w:line="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Sickle cell disease, a severe inherited blood disease, is caused by a single point mutation, E6V, in the beta globin gene. This mutation causes the mutated form of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 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 vivo base editing via autologous transplant with risto-cel</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using base editing to pursue the development of risto-cel for the treatment of sickle cell disease. Risto-cel is a patient-specific, autologous HSC investigational therapy designed to offer a potentially best-in-class profile, incorporating base edits that are intended to mimic single nucleotide polymorphisms seen in individuals with hereditary persistence of fetal hemoglobin, or HPFH. The beneficial effects of the fetal form of hemoglobin, or HbF, to compensate for mutations in adult hemoglobin were first identified in individuals with HPFH. Individuals who carry mutations that would have typically caused them to be beta-thalassemia or sickle cell disease patients, but who also have HPFH, are asymptomatic or experience a much milder form of their disease.</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Risto-cel aims to alleviate the effects of sickle cell disease by increasing HbF, which is expected to increase functional hemoglobin production and, in the case of sickle cell disease, inhibit hemoglobin S polymerization.</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conducting a Phase 1/2 clinical trial designed to assess the safety and efficacy of risto-cel for the treatment of sickle cell disease, which we refer to as our BEACON trial. The BEACON trial includes approximately 50 adults and adolescents with severe sickle cell disease who have received prior treatment with at least one disease-modifying agent with inadequate response or intolerance. Following mobilization, conditioning and treatment with risto-cel, patients are assessed for safety and tolerability, with safety endpoints including neutrophil and platelet engraftment. Patients are also assessed for efficacy, with efficacy endpoints including the change from baseline in severe vaso-occlusive events, transfusion requirements, HbF levels, and quality of life assessments. The adult and adolescent enrollment for BEACON is complete, and manufacturing of all doses was completed as of December 2025. The FDA has granted orphan drug designation and regenerative medicine advanced therapy designation to risto-cel. Risto-cel has also been accepted into the FDA’s Chemistry, Manufacturing, and Controls Development and Readiness pilot program.</w:t>
      </w:r>
    </w:p>
    <w:p>
      <w:pPr>
        <w:spacing w:after="0" w:line="8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December 2025, we presented updated data from the BEACON trial at the American Society of Hematology 2025 Annual Meeting, or ASH. The presentation contained preliminary data as of August 6, 2025, from 31 patients in the trial, with follow up ranging from 0.3 to 20.4 months. The presentation data included the following:</w:t>
      </w:r>
    </w:p>
    <w:p>
      <w:pPr>
        <w:spacing w:after="0" w:line="68" w:lineRule="exact"/>
        <w:rPr>
          <w:sz w:val="20"/>
          <w:szCs w:val="20"/>
          <w:color w:val="auto"/>
        </w:rPr>
      </w:pPr>
    </w:p>
    <w:p>
      <w:pPr>
        <w:ind w:left="1020" w:right="4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achieved mean HbF levels above 60% and a mean durable reduction in corresponding HbS below 40%. A pancellular distribution of HbF, reflecting expression across most of the circulating red blood cells, was observed, with mean per-cell HbF levels maintained above the sickling threshold throughout follow-up. Durable, high editing efficiency was observed in peripheral blood and bone marrow following treatment with risto-cel. Mean peripheral blood editing was 67.4% at Month 6 and 72.8% by Month 12.</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required a median of one (range: 1-5) stem cell collection cycle, comprising a median of three (range: 1–13) total collection days for</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risto-cel manufacturing process and back-up cell collection. The median time to neutrophil engraftment was 17.5 days (range: 12-30),</w:t>
      </w:r>
    </w:p>
    <w:p>
      <w:pPr>
        <w:spacing w:after="0" w:line="9" w:lineRule="exact"/>
        <w:rPr>
          <w:rFonts w:ascii="Times New Roman" w:cs="Times New Roman" w:eastAsia="Times New Roman" w:hAnsi="Times New Roman"/>
          <w:sz w:val="18"/>
          <w:szCs w:val="18"/>
          <w:color w:val="auto"/>
        </w:rPr>
      </w:pPr>
    </w:p>
    <w:p>
      <w:pPr>
        <w:ind w:left="102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median duration of severe neutropenia of seven days (range: 1-17). The median time to platelet engraftment was 19 days (range: 11-53). In addition, 29% of patients did not require any platelet transfusions following risto-cel treatment.</w:t>
      </w:r>
    </w:p>
    <w:p>
      <w:pPr>
        <w:spacing w:after="0" w:line="73"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Hb levels increased rapidly with all patients experiencing resolution of anemia after elimination of the transfused blood. Key markers of hemolysis, including indirect bilirubin, haptoglobin, lactate dehydrogenase, and reticulocytes, normalized or improved in all patients following risto-cel treatment. Erythropoietin levels also trended toward normal, indicating significant improvement in oxygen delivery to tissues. Sickling parameters all decreased in the blood following risto-cel treatment to levels comparable to those seen in individuals with sickle cell trait.</w:t>
      </w:r>
    </w:p>
    <w:p>
      <w:pPr>
        <w:spacing w:after="0" w:line="75"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safety profile of risto-cel was consistent with busulfan conditioning, autologous HSCT and underlying sickle cell disease. The most common treatment-emergent adverse events were consistent with busulfan conditioning, including febrile neutropenia, stomatitis and decreased appetite. As previously reported, one patient died four months after risto-cel infusion due to respiratory failure that was determined by the investigator to be likely related to busulfan conditioning and deemed unrelated to risto-cel. No patients experienced any investigator-reported severe vaso-occlusive crises post-engraftment.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submit a BLA for risto-cel as early as year-end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Vivo </w:t>
      </w:r>
      <w:r>
        <w:rPr>
          <w:rFonts w:ascii="Times New Roman" w:cs="Times New Roman" w:eastAsia="Times New Roman" w:hAnsi="Times New Roman"/>
          <w:sz w:val="18"/>
          <w:szCs w:val="18"/>
          <w:b w:val="1"/>
          <w:bCs w:val="1"/>
          <w:i w:val="1"/>
          <w:iCs w:val="1"/>
          <w:color w:val="auto"/>
        </w:rPr>
        <w:t>Base Editing via HSC-targeted LNPs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continue to develop targeted LNPs for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gene editing payloads to HSCs. Based on recent advancements in this technology, we are now prioritizing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for our next wave approach to treating sickle cell disease. We have identified multiple targeted LNPs that have the potential for HSC delivery and are currently engaged in lead optimization. In parallel, we are also continuing development of our proprietary ESCAPE platform, which combines antibody-based conditioning with multiplex gene edited HSCs. ESCAPE has the potential to enable non-genotoxic treatment strategies that can be delivered either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including as part of any future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 for sickle cell disease. We are conducting a Phase 1 healthy volunteer clinical trial of BEAM-103, an anti-CD117 monoclonal antibody that enables ESCAPE, and expect to complete dosing in the trial in the first half of 2026.</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Genetic diseases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LNPs are a clinically validated technology for delivery of nucleic acid payloads to the liver. LNPs are multi-component particles that encapsulate the base editor mRNA and one or more guides and protect them from degradation while in an external environment, enabling the transient delivery of the base editor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All of the components of the LNP, as well as the mRNA encoding the base editor, are well-defined and can be manufactured synthetically, providing the opportunity for scalable manufacturing. We are currently using LNPs to advance BEAM-302, BEAM-304 and BEAM-301.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BEAM-302: In vivo LNP liver-targeting for AATD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BEAM-302 is a liver-targeting LNP formulation of base editing reagents designed to offer a one-time treatment to correct the E342K point mutation (PiZZ genotype) predominantly responsible for the severe form of AATD. AATD is an inherited genetic disorder that can cause early onset emphysema and liver disease. The most severe form of AATD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In addition to resulting in lower levels, the PiZ AAT protein variant is also less enzymatically effective compared to wildtype AAT protein.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requiring patients to undergo a liver transplant. It is estimated that approximately 100,000 individuals in the United States have two copies of the Z allele. There are currently no curative treatments for patients with AATD.</w:t>
      </w:r>
    </w:p>
    <w:p>
      <w:pPr>
        <w:spacing w:after="0" w:line="8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are conducting a Phase 1/2 open label, dose exploration and dose expansion clinical trial of BEAM-302 for the treatment of AATD. The trial will evaluate the safety, tolerability, pharmacodynamics, pharmacokinetics and efficacy of BEAM-302. Part A of the trial is designed to evaluate AATD patients with lung disease, and Part B will evaluate AATD patients with mild to moderate liver disease with or without lung disease.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Updated clinical data from the dose-escalation portions of Part A and Part B are expected to be shared in the first quarter of 2026, along with an updated clinical development plan for BEAM-302 in patients with AATD. We expect to finalize dose selection for registrational development based on the totality of data from the BEAM-302 trial. We have reached alignment with the FDA on a potential accelerated approval pathway for BEAM-302 based on AAT biomarkers evaluated over 12 months. To support a future BLA submission, we anticipate enrolling approximately 50 additional patients to be treated with the selected optimal biological dose of BEAM-302 in an expansion of the ongoing Phase 1/2 clinical trial.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BEAM-304: In vivo LNP liver-targeting for PKU</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BEAM-304 is a newly announced liver-targeting LNP formulation of base editing reagents designed to correct disease-causing mutations responsible for phenylketonuria, or PKU. PKU is an autosomal recessive disorder caused by mutations in the phenylalanine hydroxylase, or PAH, gene that prevents the body from metabolizing the amino acid phenylalanine, or Phe. Elevated levels of Phe may result in severe neurological and neurocognitive impairments. Patients are generally identified via newborn screening, with the standard of care involving a Phe-restricted diet, as well as medicines that manage Phe levels. Initial clinical development will focus on base editors addressing the two most prevalent variants found in nearly half of patients with PKU, with ongoing research efforts to address additional pathogenic mutations. In preclinical studies, administration of BEAM-304 resulted in the normalization of Phe levels in mice at therapeutically relevant doses, even when consuming a standard diet. In 2026, we plan to submit a regulatory application for authorization to initiate an open-label, dose-ascending, Phase 1/2 trial of BEAM-304 in PKU patients with the R408W mutation. We believe that learnings from this trial have the potential to provide a predictable path to accelerated development of BEAM-304 for additional mutations, including as a result of novel FDA frameworks for platform medicines.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BEAM-301: In vivo LNP liver-targeting for GSDIa</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GSDIa. GSDIa is an autosomal recessive disorder caused by mutations in the G6PC gene that disrupts a key enzyme, G6Pase, critical for 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conducting a Phase 1/2 clinical trial of BEAM-301 at a select number of sites in the United States. The trial is an open-label, multi-cohort, single-ascending dose evaluation of BEAM-301 for the treatment of GSDIa in patients with the R83C mutation. Key endpoints of the trial include safety and tolerability, time to hypoglycemia during fasting, and changes from baseline in corn starch supplementation. Dosing is complete in the first cohort and enrollment has been initiated in the second cohort. We expect to report initial data from the trial in 2026.</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6"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Collabora</w:t>
      </w:r>
      <w:r>
        <w:rPr>
          <w:rFonts w:ascii="Times New Roman" w:cs="Times New Roman" w:eastAsia="Times New Roman" w:hAnsi="Times New Roman"/>
          <w:sz w:val="18"/>
          <w:szCs w:val="18"/>
          <w:color w:val="auto"/>
        </w:rPr>
        <w:t>ti</w:t>
      </w:r>
      <w:r>
        <w:rPr>
          <w:rFonts w:ascii="Times New Roman" w:cs="Times New Roman" w:eastAsia="Times New Roman" w:hAnsi="Times New Roman"/>
          <w:sz w:val="18"/>
          <w:szCs w:val="18"/>
          <w:b w:val="1"/>
          <w:bCs w:val="1"/>
          <w:color w:val="auto"/>
        </w:rPr>
        <w:t>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our collection of base editing, gene editing and delivery technologies has significant potential across a broad array of genetic diseases. To fully realize this potential, we have established and plan to continue to seek out innovative collaborations, licenses, and strategic alliances with pioneering companies and with leading academic and research institutions. Additionally, we have and intend to continue to pursue relationships that potentially allow us to accelerate our preclinical research and development efforts. We believe these relationships will allow us to aggressively pursue our vision of maximizing the potential of base editing to provide life-long cures for patients suffering from serious diseases.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December 2021, we entered into a four-year research collaboration agreement with Pfizer Inc., or Pfizer, focused 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programs for three targets for rare genetic diseases. In December 2025, at the completion of the research term, Pfizer opted in to an exclusive, worldwide license for a liver-targeted development candidate in the collaboration. The development candidate employs our proprietary, liver-targeting LNP to deliver base editing reagents. In connection with the opt-in, Pfizer will take an exclusive, worldwide license to the development candidate, after which it will be responsible for all development activities, as well as potential regulatory approvals, manufacturing and commercialization. We will be eligible for development, regulatory and commercial milestone payments and will have a right to opt in, at the end of Phase 1/2 clinical trials, upon the payment of an option exercise fee, to a global co-development and co-commercialization agreement pursuant to which we and Pfizer would share net profits as well as development and commercialization (including manufacturing) costs in a 35%/65% ratio (Beam/Pfizer).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June 2021, we entered into a research collaboration agreement, or the Apellis Agreement, with Apellis Pharmaceuticals, Inc., or Apellis, focused on the use of our base editing technology to discover new treatments for complement system-driven diseases. Under the terms of the Apellis Agreement, we will conduct preclinical research on six base editing programs that target specific genes within the complement system in various organs, including the eye, liver, and brain. Apellis has an exclusive option to license any or all of the six programs and will assume responsibility for subsequent development. As of September 30, 2025, Apellis notified us of its decision to opt-in to the base editing program directed to FcRN. As a result of Apellis' decision to opt-in to the program, we received a cash opt-in fee of $3.8 million. We may elect to enter into a 50-50 U.S. co-development and co-commercialization agreement with Apellis with respect to one program licensed under the collaboration.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Verve Therapeutics and Eli Lilly and Company</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are party to a license agreement, or the Verve Agreement, with Verve Therapeutics, Inc., or Verve, pursuant to which we granted Verve exclusive worldwide licenses under our base editing technologies for human therapeutic applications against a total of three liver-mediated, cardiovascular disease targets, which consist of PCSK9, ANGPTL3 and an undisclosed target. In October 2023, we entered into a transfer and delegation agreement, or the Lilly Agreement, with Eli Lilly and Company, or Lilly, pursuant to which Lilly acquired certain assets and other rights under the Verve Agreement, including our opt-in rights to co-develop and co-commercialize each of Verve’s base editing programs. In addition, Lilly acquired the right to receive any future milestone or royalty payments payable to us under the Verve Agreement. Under the terms of the Lilly Agreement, we received a $200.0 million payment and are eligible to receive up to $350.0 million in potential future development-stage payments upon the completion of certain clinical, regulatory and alliance events, of which $25.0 million has been received through December 31, 2025. There were no milestone payments received during the year ended December 31, 2025. In July 2025, Lilly announced that it had completed an acquisition of Verve.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 Therapeutics and Bristol Myers Squibb Company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party to a license agreement, or the Orbital Agreement, with Orbital, pursuant to which each of us have granted the other non-exclusive licenses to certain technology that is necessary or reasonably useful for the non-viral delivery or the design or manufacture of RNA for the prevention, treatment or diagnosis of human disease. Our license to Orbital is for all fields other than the Beam field, as described below, and also excludes the targets and substantially all of the indications that are the subject of our existing programs. The Beam field consists of all products and biologics that function in the process of gene editing or conditioning for use in cell transplantation, or that act in combination with any such products or biologics. Orbital’s license to us is for all fields other than the Orbital field, which consists of products and biologics that function as vaccines and also of therapeutic proteins, other than therapeutic proteins (i) that use gene editing, (ii) for use in conditioning, (iii) for use in regenerative medicine, (iv) for use as a CAR immune therapy that does not use gene editing (v) for use as a T-cell receptor therapy that does not use gene editing or (vi) that modulate certain immune responses.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December 2025, Bristol-Myers Squibb Company completed an acquisition of Orbital, or the Acquisition. At the closing of the Acquisition, we held 75 million shares of Orbital common stock, which were cancelled and converted into $255.1 million in closing cash consideration, plus the right to receive up to approximately $26.3 million in additional cash consideration upon the release, if any, of certain escrows.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Prime Medicine</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party to a collaboration and license agreement with Prime Medicine to research and develop a novel gene editing technology developed by one of our founders. Under the terms of the agreement, we granted Prime Medicine a non-exclusive license to certain CRISPR technology, delivery technology and certain other technology controlled by us to develop and commercialize gene editing products for the treatment of human diseases. Prime Medicine granted us an exclusive license to develop and commercialize prime gene editing technology for the creation or modification of any single base transition mutations, as well as any edits made for the treatment of sickle cell disease.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pharmaceutical and biotechnology industries, including the genetic medicines field,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Within these industries, we will compete with existing large pharmaceutical companies, specialty pharmaceutical companies, and biotechnology companies.</w:t>
      </w:r>
    </w:p>
    <w:p>
      <w:pPr>
        <w:spacing w:after="0" w:line="7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There are several other companies utilizing base editing technology, including Life Edit (an ElevateBio company), Metagenomi, Revvity, Aurora Therapeutics, Mammoth Biosciences, YolTech Therapeutics, HuidaGene Therapeutics and Intellia Therapeutics. In addition, we face competition from companies utilizing other gene editing modalities and various other genetic medicines.</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Within the disease areas that we focus on, we are also aware of competing companies that have approved therapies, those with therapies in development, and others that may emerge in the future. For sickle cell disease, these companies include CRISPR Therapeutics, Vertex Pharmaceuticals, Genetix Biotherapeutics (formerly bluebird bio), YolTech Therapeutics, Novartis Pharmaceuticals, Kamau Therapeutics, Fulcrum Therapeutics, Tessera Therapeutics, Cimeio Therapeutics and Agios Pharmaceuticals. For our AATD targeted therapies, these include Wave Life Sciences, YolTech Therapeutics, Prime Medicine, CRISPR Therapeutics, Moderna, Korro Bio, Tessera Therapeutics and Arrowhead Pharmaceuticals.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have significantly greater financial resources and expertise in research and development, manufacturing, conducting preclinical studies and clinical trials and seeking approval for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CMOs,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Our success depends in part on our ability to obtain and maintain proprietary protection for our platform technology, our programs, and know-how related to our business, defend and enforce our intellectual property rights, in particular, our patent rights, preserve the confidentiality of our trade secrets, and operate without infringing, misappropriating or otherwise violating any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available. 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Item 1A., </w:t>
      </w:r>
      <w:r>
        <w:rPr>
          <w:rFonts w:ascii="Times New Roman" w:cs="Times New Roman" w:eastAsia="Times New Roman" w:hAnsi="Times New Roman"/>
          <w:sz w:val="17"/>
          <w:szCs w:val="17"/>
          <w:i w:val="1"/>
          <w:iCs w:val="1"/>
          <w:color w:val="auto"/>
        </w:rPr>
        <w:t>Risk factors—Risks related to our intellectual property</w:t>
      </w:r>
      <w:r>
        <w:rPr>
          <w:rFonts w:ascii="Times New Roman" w:cs="Times New Roman" w:eastAsia="Times New Roman" w:hAnsi="Times New Roman"/>
          <w:sz w:val="17"/>
          <w:szCs w:val="17"/>
          <w:color w:val="auto"/>
        </w:rPr>
        <w:t>, in this Annual Report on Form 10-K.</w:t>
      </w:r>
    </w:p>
    <w:p>
      <w:pPr>
        <w:spacing w:after="0" w:line="6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Our wholly owned and our in-licensed patents and patent applications cover various aspects of our base editing platform and our programs, including various gene editors, guide RNA sequences, systems and methods for increasing the specificity of gene editing, therapeutic methods, and various modalities for delivery gene editors.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We also have an option to license patents and patent applications relating to CRISPR/Cas9 systems. We intend to continue to pursue, when possible, additional patent protection, including composition of matter, method of use, and process claims, directed to each component of our platform technology and the programs in our portfolio. As of December 31, 2025, our wholly-owned patent portfolio consisted of 12 issued U.S. patents, and 57 issued patents in jurisdictions outside the United States. We also have more than 550 pending patent applications, including PCT applications, provisional patent applications and counterparts to the foregoing U.S. and foreign patents. In addition, we co-own one issued U.S. patent and five issued patents in jurisdictions outside the United States. We also have approximately 24 pending patent applications between the Broad Institute, Inc., UCL Business, Ltd., and Apellis Pharmaceuticals, Inc. The patents and patent applications outside of the United States were filed in numerous jurisdictions, including Australia, Brazil, Canada, China, Europe, Hong Kong, India, Japan, Korea, Singapore and South Africa. Many of our owned patents and patent applications are related to our DNA base editing technology, including claims to base editor variants with enhanced activities or novel properties, methods of using such base editors, methods of using such base editors for therapeutic indications, guide RNAs that target base editors to therapeutically relevant DNA sequences, and methods for evaluating base editing specificity. Certain of our owned patents and patent applications are related to viral and non-viral delivery technologies. If issued as U.S. patents, and if the appropriate maintenance fees are paid, the U.S. patents would be expected to expire between 2039 and 2046, excluding any additional term for patent term adjustments or patent term extensions.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2025, our in-licensed patent portfolio consisted of more than 75 issued U.S. patents, and more than 150 issued patents in jurisdictions outside the United States. We also have more than 300 pending patent applications, including PCT applications, provisional patent applications and counterparts to the foregoing U.S. and foreign patents. The patents and patent applications outside of the United States were filed in numerous jurisdictions, including Australia, Canada, China, Europe, Hong Kong, India, Israel, Japan, Korea, New Zealand, Russia and Singapore. The patents and applications from our in-licensed portfolio for DNA base editing include claims to novel base editors, claims to engineered deaminase enzymes (e.g., compositions including the base editor or engineered deaminase as a component, methods of using such base editors, including methods of using such base editors for therapeutic indications, and guide RNAs that target base editors to therapeutically relevant DNA sequences. The in-licensed patents and applications also cover various aspects related to the platform technology, including base editing systems that employ </w:t>
      </w:r>
      <w:r>
        <w:rPr>
          <w:rFonts w:ascii="Times New Roman" w:cs="Times New Roman" w:eastAsia="Times New Roman" w:hAnsi="Times New Roman"/>
          <w:sz w:val="18"/>
          <w:szCs w:val="18"/>
          <w:i w:val="1"/>
          <w:iCs w:val="1"/>
          <w:color w:val="auto"/>
        </w:rPr>
        <w:t>S. pyogenes</w:t>
      </w:r>
      <w:r>
        <w:rPr>
          <w:rFonts w:ascii="Times New Roman" w:cs="Times New Roman" w:eastAsia="Times New Roman" w:hAnsi="Times New Roman"/>
          <w:sz w:val="18"/>
          <w:szCs w:val="18"/>
          <w:color w:val="auto"/>
        </w:rPr>
        <w:t xml:space="preserve"> Cas9, </w:t>
      </w:r>
      <w:r>
        <w:rPr>
          <w:rFonts w:ascii="Times New Roman" w:cs="Times New Roman" w:eastAsia="Times New Roman" w:hAnsi="Times New Roman"/>
          <w:sz w:val="18"/>
          <w:szCs w:val="18"/>
          <w:i w:val="1"/>
          <w:iCs w:val="1"/>
          <w:color w:val="auto"/>
        </w:rPr>
        <w:t>S. aureus</w:t>
      </w:r>
      <w:r>
        <w:rPr>
          <w:rFonts w:ascii="Times New Roman" w:cs="Times New Roman" w:eastAsia="Times New Roman" w:hAnsi="Times New Roman"/>
          <w:sz w:val="18"/>
          <w:szCs w:val="18"/>
          <w:color w:val="auto"/>
        </w:rPr>
        <w:t xml:space="preserve"> Cas9, Cas9 PAM variants, inactive forms of Cas9, and/or Cas9 nickases, and systems for delivery of base editors. The patents and applications from our in-licensed portfolio for RNA base editing include claims to novel base editors, compositions including the base editor as a component, guide RNAs that target base editors to therapeutically relevant RNA sequences, and methods of using such base editors, including methods of using such base editors for therapeutic indications. The patents and applications from our in-licensed portfolio for delivery technologies include claims to novel lipid-based delivery systems and compositions, and methods of using such systems and compositions to deliver base editors. The patents and applications from our in-licensed portfolio for the balance of our platform include claims to compositions and methods for delivery of charged base editor proteins into cells, modification and improvements to the base editing systems including improvements to the nucleotide binding protein component, guide RNA component and base editing enzyme component of the base editing complex, methods for evaluating gene targeting and base editing efficiency and compositions and methods for prime editing. Our current in-licensed patents and patent applications, if the appropriate maintenance fees are paid, are expected to expire between 2034 and 2044, excluding any additional term for patent term adjustments or patent term extensions (or the corresponding foreign equivalent). For information related to our in-licensed intellectual property, see the subsection below titled “—Intellectual Property Licenses.”</w:t>
      </w:r>
    </w:p>
    <w:p>
      <w:pPr>
        <w:spacing w:after="0" w:line="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also have a nonexclusive license to conduct research activities and an option to exclusively license certain patents and patent applications directed to Cas9 and Cas12a from Editas Medicine, Inc., or Editas, which in turn has licensed such patents from various academic institutions. In the case of Cas9, a number of the U.S. patents are subject to an interference declared by the Patent and Trademark office, and a number of the European patents are the subject of one or more oppositions. For more information regarding the risks related to our intellectual property, please see Item 1., </w:t>
      </w:r>
      <w:r>
        <w:rPr>
          <w:rFonts w:ascii="Times New Roman" w:cs="Times New Roman" w:eastAsia="Times New Roman" w:hAnsi="Times New Roman"/>
          <w:sz w:val="18"/>
          <w:szCs w:val="18"/>
          <w:i w:val="1"/>
          <w:iCs w:val="1"/>
          <w:color w:val="auto"/>
        </w:rPr>
        <w:t>Business—Intellectual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—Intellectual property licenses </w:t>
      </w:r>
      <w:r>
        <w:rPr>
          <w:rFonts w:ascii="Times New Roman" w:cs="Times New Roman" w:eastAsia="Times New Roman" w:hAnsi="Times New Roman"/>
          <w:sz w:val="18"/>
          <w:szCs w:val="18"/>
          <w:color w:val="auto"/>
        </w:rPr>
        <w:t>and Item 1A.,</w:t>
      </w:r>
      <w:r>
        <w:rPr>
          <w:rFonts w:ascii="Times New Roman" w:cs="Times New Roman" w:eastAsia="Times New Roman" w:hAnsi="Times New Roman"/>
          <w:sz w:val="18"/>
          <w:szCs w:val="18"/>
          <w:i w:val="1"/>
          <w:iCs w:val="1"/>
          <w:color w:val="auto"/>
        </w:rPr>
        <w:t xml:space="preserve"> Risk factors—Risks related to our intellectual property</w:t>
      </w:r>
      <w:r>
        <w:rPr>
          <w:rFonts w:ascii="Times New Roman" w:cs="Times New Roman" w:eastAsia="Times New Roman" w:hAnsi="Times New Roman"/>
          <w:sz w:val="18"/>
          <w:szCs w:val="18"/>
          <w:color w:val="auto"/>
        </w:rPr>
        <w:t>, in this Annual Report on Form 10-K.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5" w:name="page16"/>
    <w:bookmarkEnd w:id="15"/>
    <w:p>
      <w:pPr>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In the United States, a patent’s term may, in certain cases, be lengthened by patent term adjustment, or PTA, which compensates a patentee for administrative delays by the USPTO in examining and granting a patent, or may be shortened (e.g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 patent is terminally disclaimed over a commonly owned patent having an earlier expiration date). In some instances, such a PTA may result in a U.S. patent term extending beyond 20 years from the earliest date of filing a non-provisional patent application related to the U.S. patent. Patent term extensions, or PTE, under the Drug Price Competition and Patent Term Restoration Act of 1984, commonly known as the Hatch-Waxman Act, are also possible for patents that cover an FDA-approved drug as compensation for the patent term lost during the FDA regulatory review process. The Hatch-Waxman Act permits a PTE of up to five years beyond the expiration of the patent. The length of the PTE is related to the length of time the drug is under regulatory review. PTE cannot extend the remaining term of a patent beyond a total of 14 years from the date of product approval and only one patent applicable to an approved drug, a method for using it, or a method of manufacturing it, may be extended. Similar provisions are available in Europe and certain other jurisdictions to extend the term of a patent that covers an approved drug. In the future, if our products receive regulatory approval, we may be eligible to apply for PTEs on patents covering such products, however there is no guarantee that the applicable authorities, including the FDA in the United States, will agree with our assessment of whether such PTE should be granted, and if granted, the length of such PTE. For more information regarding the risks related to our intellectual property, please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Intellectual property</w:t>
      </w:r>
      <w:r>
        <w:rPr>
          <w:rFonts w:ascii="Times New Roman" w:cs="Times New Roman" w:eastAsia="Times New Roman" w:hAnsi="Times New Roman"/>
          <w:sz w:val="18"/>
          <w:szCs w:val="18"/>
          <w:color w:val="auto"/>
        </w:rPr>
        <w:t>, in this Annual Report on Form 10-K.</w:t>
      </w:r>
    </w:p>
    <w:p>
      <w:pPr>
        <w:spacing w:after="0" w:line="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implemented measures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Item 1A.,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intellectual property</w:t>
      </w:r>
      <w:r>
        <w:rPr>
          <w:rFonts w:ascii="Times New Roman" w:cs="Times New Roman" w:eastAsia="Times New Roman" w:hAnsi="Times New Roman"/>
          <w:sz w:val="18"/>
          <w:szCs w:val="18"/>
          <w:color w:val="auto"/>
        </w:rPr>
        <w:t>, in this Annual Report on Form 10-K.</w:t>
      </w:r>
    </w:p>
    <w:p>
      <w:pPr>
        <w:spacing w:after="0" w:line="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rely on trademark protection for our company name and related designs. As of December 31, 2025, our registered trademark portfolio contained 35 registered/allowed trademarks and pending trademark applications in the United States and in certain overseas jurisdictions.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121"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license patents, patent applications, and other intellectual property from third parties. The licensed intellectual property covers, in part, CRISPR-related compositions of matter and their use for base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President and Fellows of Harvard College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2017, we entered into a license agreement with Harvard, as amended, or the Harvard License Agreement, pursuant to which we received an exclusive, worldwide, royalty-bearing, sublicensable license under certain patent rights owned or controlled by Harvard to make, have made, offer for sale, sell, have sold and import licensed products in the field of the prevention or treatment of any and all human diseases and conditions, excluding human germline modification and products for non-human animal and plant applications. We also received a non-exclusive, worldwide, royalty-bearing, sublicensable license to research, have researched, develop and have developed “enabled” products related to the Harvard patent rights which are not licensed products.</w:t>
      </w:r>
    </w:p>
    <w:p>
      <w:pPr>
        <w:spacing w:after="0" w:line="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licensed patents are directed, among other things, to C-to-T, A-to-G, and C-to-G base editors, for the treatment of certain diseases and conditions and to base editing, more generally.</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Harvard License Agreement, we are required to use commercially reasonable efforts to develop products incorporating the base editing technology covered in the licensed patents, in accordance with a development plan that we prepared and submitted to Harvard. The development plan includes certain development milestones that we are required to meet, as well as the timelines for the completion thereof, and we may update the development plan from time to time as we believe necessary, in our good faith judgment, for us to meet such milestones.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 If we fail to meet any of the deadlines for the development milestones, then Harvard may, depending on the nature of the failure and the impacted milestones, either terminate the Harvard License Agreement or our licenses with respect to the applicable licensed product(s), subject to certain exceptions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opportunities for us to cure such failure. Additionally, we are required to meet development milestones for the development of a licensed product covered by certain sub-categories of licensed patents. Failure to achieve milestones with respect to such sub-categories gives Harvard the right to grant third parties non-exclusive licenses under such failed sub-categories.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licenses granted to us under the Harvard License Agreement are expressly subject to certain preexisting rights held by Harvard and certain third parties. For example, certain of the licensed patents were developed by employees of the Howard Hughes Medical Institute and were subsequently assigned to Harvard but remain subject to a non-exclusive license between Harvard and Howard Hughes, pursuant to which Howard Hughes received a license from Harvard under certain of the licensed patents for research purposes with the right to sublicense to non-profit and governmental entities. In addition, certain of the licensed patents claim or cover inventions resulting from research that was sponsored by the U.S. government, and the U.S. government retains certain rights with respect to such licensed patents under applicable U.S. law. Harvard additionally retains limited rights for itself and for other non-profit research organizations to practice the licensed patents for research, educational, and scholarly purposes. Furthermore, Harvard retains the right, beginning a certain period of time after regulatory approval of any licensed product in the U.S. or certain European countries, to grant third parties the non-exclusive right to develop, manufacture, have manufactured, import, have imported, offer for sale, sell, have sold or otherwise distribute or have distributed such licensed product or an equivalent thereof solely for sale on a locally-affordable basis in certain specified developing countries in which we do not have plans to seek regulatory approval.</w:t>
      </w:r>
    </w:p>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the licenses granted to us under the Harvard License Agreement are exclusive, Harvard may grant a license to a third party under the licensed patents to research, develop, and commercialize a product directed to one or more particular targets, or a proposed product, in the field under limited circumstances. If a third party that is not a specified competitor of ours inquires with Harvard for such a license, and then attempts to enter into a sublicense agreement with us after being referred to us by Harvard and fails to do so after a certain period of time and presents to Harvard a proposal including certain information describing the proposed development and commercialization of such product, then Harvard may notify us of such proposal. If we are not researching, developing or commercializing such a proposed product, then we can notify Harvard as to whether we are interested in developing such proposed product, entering into a sublicense agreement with such third party to develop such proposed product, or entering into a sublicense with another third party to develop the same proposed product. If we inform Harvard that we are interested in developing such proposed product, then we will prepare a development plan, similar in scope to the development plan under the Harvard License Agreement, to develop such proposed product. If we inform Harvard that we are interested in entering into a sublicense agreement pursuant to which a third party would receive a sublicense from us under the licensed patents to develop such proposed product, then we will have a specified period of time to enter into such a sublicense agreement and provide reasonable evidence thereof. If we are not researching, developing, or commercializing such a proposed product, fail to provide a development plan, or fail to enter into a sublicense agreement with respect to such proposed product, in each case, within specified time periods, then Harvard may grant a license to the applicable third party under the licensed patents to research, develop, and commercialize such proposed product.</w:t>
      </w:r>
    </w:p>
    <w:p>
      <w:pPr>
        <w:spacing w:after="0" w:line="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are permitted to further sublicense our rights under the Harvard License Agreement to third parties, provided that any such sublicense agreement with a third party must remain in compliance with and be consistent with the terms of the Harvard License Agreement, and certain rights granted to us under the Harvard License Agreement can only be sublicensed 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collaboration partners who are working with us to develop one or more licensed products. In addition, any such sublicense agreement must include certain provisions to ensure our ability to comply with the Harvard License Agreement. We are also responsible for any breaches of a sublicense agreement by the applicable sublicensee, if such breach results in a material breach of the Harvard License Agreement, provided that if we cure the breach or diligently enforce our rights to terminate the sublicense, we will not be subject to termination by Harvard for the sublicensee’s breach, even if it resulted in a material breach of the Harvard Agreement.</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exchange for the licenses granted to us under the Harvard License Agreement, we initially issued to Harvard 101,363 shares of our common stock and subsequently issued 765,549 shares of our common stock pursuant to anti-dilution rights in the Harvard License Agreement. We are also required to pay to Harvard an annual license maintenance fee ranging from low-to-mid five figures to low six figures, depending on the particular calendar year. Harvard is also entitled to receive potential clinical and regulatory milestones in the mid-to-high eight figure range, and to receive success payments based on increases in the fair market value of our common stock. If we undergo a change of control during the term of the Harvard License Agreement, then certain of the milestone payments would be increased. We paid Harvard a total of $9.0 million upon the completion of our Series A and Series B financings.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Harvard were calculated to be $15.0 million. We elected to make the payment in shares of our common stock and issued 174,825 shares of our common stock to settle this liability on June 10, 2021. We may additionally owe Harvard success payments of up to an additional $90.0 million.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7" w:name="page18"/>
    <w:bookmarkEnd w:id="17"/>
    <w:p>
      <w:pPr>
        <w:ind w:right="40"/>
        <w:spacing w:after="0" w:line="254" w:lineRule="auto"/>
        <w:rPr>
          <w:sz w:val="20"/>
          <w:szCs w:val="20"/>
          <w:color w:val="auto"/>
        </w:rPr>
      </w:pPr>
      <w:r>
        <w:rPr>
          <w:rFonts w:ascii="Times New Roman" w:cs="Times New Roman" w:eastAsia="Times New Roman" w:hAnsi="Times New Roman"/>
          <w:sz w:val="18"/>
          <w:szCs w:val="18"/>
          <w:color w:val="auto"/>
        </w:rPr>
        <w:t>With respect to the sale of licensed products by us, our affiliates or our sublicensees, Harvard is entitled to receive low single digit royalties on net sales of licensed products until, on a country-by-country basis, the latest of the expiration of (i) the last to expire valid claim of a licensed patent covering the applicable licensed product, (ii) the period of exclusivity associated with such licensed product in such country or (iii) a certain number of years after the first commercial sale of such licensed product in such country. We are entitled to certain reductions and offsets on these royalties with respect to a licensed product in a given country and certain increases in the event we, our affiliates or sublicensees bring patent challenges relating to any licensed patents (subject to an ability to delay and/or avoid such increases by diligently seeking to terminate and/or terminating the sublicense that has taken the applicable action). If we sublicense our rights to develop or commercialize a licensed product under the Harvard License Agreement to a third party and we receive non-royalty sublicense income, then Harvard is entitled to a percentage of such consideration, ranging from the high single digits to an amount in the first decile depending on the date in which such sublicense agreement is executed and the stage of development our licensed products at such time.</w:t>
      </w:r>
    </w:p>
    <w:p>
      <w:pPr>
        <w:spacing w:after="0" w:line="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Harvard is responsible for the prosecution and maintenance of all licensed patents, provided that we have customary consultation, comment, and review rights with respect to such prosecution and maintenance activities. We are responsible for Harvard’s documented out-of-pocket expenses with respect to such prosecution and maintenance, but if Harvard enters into a license agreement with a third party pursuant to which it grants such third party a license under the licensed patents outside of our field, then Harvard must use reasonable efforts to include a provision in such agreement that provides for an apportionment of prosecution and maintenance costs between us and such third party with respect to such licensed patents. If we choose to no longer pay for the prosecution and maintenance costs of a given licensed patent, then we will be relieved of such payment obligation, but our license with respect to such licensed patent will also terminate.</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Unless earlier terminated, the Harvard License Agreement will remain in effect until the later of the last-to-expire valid claim of the licensed patents or the end of the last to expire royalty term. We may terminate the Harvard License Agreement at our convenience following written notice to Harvard. Either party may terminate the Harvard License Agreement for a material breach of the other party, subject to a notice and cure period. Harvard may also terminate the Harvard License Agreement in the event of our bankruptcy or insolvency or if we fail to procure and maintain insurance. Upon expiration or termination of the Harvard License Agreement, the licenses granted to us will terminate and all rights under the licensed patent rights will revert to Harvard.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Editas Medicine, Inc.</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May 2018, we entered into a license agreement, or the Editas License Agreement, with Editas pursuant to which we received an exclusive (even as to Editas), royalty-bearing, sublicensable, worldwide license under certain patent rights owned or controlled by Editas related to certain base editing technologies and CRISPR technology to develop, commercialize, make, have made, use, offer for sale, sell and import certain base editing products for the treatment of human diseases or conditions. The license we received is non-exclusive with respect to certain specified targets. Our licensed field excludes the use of certain gene editing technologies in certain fields of use that have already been licensed to other partners of Editas, provided that our licensed field may expand if the fields licensed to other Editas partners are reduced or are otherwise modified as a result of any termination, expiration, or amendment to Editas’ agreements with such partners. In addition, we received a royalty-free, non-sublicensable, non-exclusive license under a separate set of patent rights owned or controlled by Editas to conduct research activities in our licensed field and for which we have an option to obtain an exclusive license from Editas.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of the patents licensed to us under the Editas License Agreement were licensed to Editas from Broad Institute and Harvard and certain of the patents for which we have an option to obtain a license were licensed to Editas from the Massachusetts General Hospital, or MGH. Accordingly, the licenses granted to us under the Editas License Agreement are subject to the terms and conditions set forth in each of the license agreements concerning the licensed patents between Broad Institute, Harvard and Editas, or the Broad/Harvard Head Licenses, and each of the license agreements concerning the patents for which we have an option to obtain a license between MGH and Editas, or the MGH Head Licenses.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described above, Editas granted us an exclusive option to obtain an exclusive license under certain patents on a patent family-by-patent family basis. If we so exercise the option with respect to a patent family of such optioned patents, then we would receive an exclusive license to such patent family of the same scope as the other patents exclusively licensed to us under the Editas License Agreement. In order to exercise an option with respect to a patent family of these optioned patents we would pay an eight-figure option exercise fee, depending on the date in which particular option is exercised.</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Editas License Agreement, we are required to use commercially reasonable efforts to develop a licensed product in our licensed field in each of the United States, Japan, the United Kingdom, or U.K., Germany, France, Italy and Spain. If we are successfully able to gain regulatory approval in any country for a licensed product, then we are also required to use commercially reasonable efforts to commercialize such licensed product in such country. We also have sole control and responsibility over all regulatory activities with respect to the development of licensed products.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8" w:name="page19"/>
    <w:bookmarkEnd w:id="18"/>
    <w:p>
      <w:pPr>
        <w:ind w:right="20"/>
        <w:spacing w:after="0" w:line="254" w:lineRule="auto"/>
        <w:rPr>
          <w:sz w:val="20"/>
          <w:szCs w:val="20"/>
          <w:color w:val="auto"/>
        </w:rPr>
      </w:pPr>
      <w:r>
        <w:rPr>
          <w:rFonts w:ascii="Times New Roman" w:cs="Times New Roman" w:eastAsia="Times New Roman" w:hAnsi="Times New Roman"/>
          <w:sz w:val="18"/>
          <w:szCs w:val="18"/>
          <w:color w:val="auto"/>
        </w:rPr>
        <w:t>We are permitted to further sublicense certain of our rights under the Editas License Agreement to third parties, provided that any such sublicense agreement with a third party must remain in compliance with and be consistent with the terms of the Editas License Agreement and the Broad/Harvard Head Licenses and MGH Head Licenses, as applicable. We are also responsible for any breaches of a sublicense agreement by the applicable sublicensee and are responsible for all payments due under the Editas License Agreement by operation of any such sublicense. Following the signing of the Editas License Agreement, we obtained the right to further sublicense our rights to the licensed patents from Broad Institute and Harvard to third parties, provided that we comply with certain sublicensing requirements under each of the Broad/Harvard Head Licenses as if we were Editas, as well as certain other customary conditions. We have not obtained any such right from MGH allowing us to further sublicense our rights under the licensed patents from MGH to third parties and will require written consent in the event we wish to further sublicense such rights to a third party.</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Upon the execution of the Editas License Agreement, we paid Editas an upfront fee of $180,000. We also issued to Editas 1,833,333 shares of our Series A-1 Preferred Stock and 1,222,222 shares of our Series A-2 Preferred Stock. In addition, if any of our commercial, regulatory, development or sales activities with respect to the licensed products triggers a milestone payment or sublicense income that Editas owes under the Broad/Harvard Head Licenses or the MGH Head Licenses, then we are required to pay Editas the full amount of such milestone payment or sublicense income, as applicable; provided that we will not pay Editas for any sublicense income due as a result of our payment of any option exercise fee to Editas. Aggregate milestone amounts under the Editas License Agreement could equal up to $68.8 million for each product developed and commercialized using rights related to certain base editing technologies and CRISPR technology; in the event we develop and commercialize products covered by claims from the additional patent families licensed or optioned to us under the Editas License Agreement, aggregate milestone payments could equal up to $74.0 million per product. The percentage of sublicense income we would owe under the Editas License Agreement ranges from none to amounts between 10% and 20%. In addition, we agreed to pay for a portion of the annual license maintenance fees and prosecution and maintenance costs that Editas incurs itself or owes under the Broad /Harvard Head Licenses and the MGH Head Licenses with respect to the licensed patents. The upfront fee, equity issuance, and option exercise payments we make to Editas under the Editas License Agreement constitute both consideration for the licenses granted to us under the Editas License Agreement and reimbursement for prosecution and maintenance costs for the licensed patents.</w:t>
      </w:r>
    </w:p>
    <w:p>
      <w:pPr>
        <w:spacing w:after="0" w:line="7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With respect to the sale of licensed products by us, our affiliates or our sublicensees, we are required to pay to Editas an amount equal to the royalty rates that it owes to Broad Institute, Harvard, or MGH under its applicable in-licenses, plus an additional low- to mid-single digit royalty on net sales of licensed products, depending on whether such licensed product is covered by an Editas-owned patent and based on the aggregate worldwide net sales of licensed products in a given calendar year. We are entitled to certain reductions and offsets on these royalties with respect to a licensed product in a given country and if Editas is entitled to receive any reductions or offsets in respect to its royalty payment obligations under the relevant Broad/Harvard Head Licenses or MGH Head Licenses, then Editas will use reasonable efforts to avail itself of such reductions, which in turn would reduce our royalty payment obligations under the Editas License Agreement. The royalty term expires on a licensed product-by-licensed product and country-by-country basis upon the later of (i) the last-to-expire royalty term in such country under any applicable Broad/Harvard Head License or MGH Head License, and, if such product is covered by a licensed Editas-owned patent, (ii) the date at which such product is no longer covered by a valid claim of a licensed Editas-owned patent in such country.</w:t>
      </w:r>
    </w:p>
    <w:p>
      <w:pPr>
        <w:spacing w:after="0" w:line="6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between the parties, Editas is responsible for the prosecution and maintenance of all licensed patents, provided that we have certain information, comment, and review rights for certain of the licensed patents.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Unless earlier terminated, the Editas License Agreement will expire on a licensed product-by-licensed product and country-by-country basis on the expiration of the applicable royalty term with respect to such licensed product in such country. We may terminate the Editas License Agreement on written notice to Editas subject to a specified notice period. Either party may terminate the Editas License Agreement for a material breach of the other party, subject to a notice and cure period. Editas may also terminate the Editas License Agreement if we challenge the validity of any of the licensed patents, subject to customary carveouts. Upon expiration or termination of the Editas License Agreement in its entirety or with respect to a family of patents, the licenses granted to us will immediately terminate in its entirety or solely with respect to the expired or terminated patent family, as the case may be; however, if we have the right to terminate the Editas License Agreement due to Editas’ material breach of the Editas License Agreement, then in lieu of so terminating the Editas License Agreement, we can elect to reduce our royalty payment obligations under the Editas License Agreement by certain specified percentages.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Bio Palette Co., Ltd.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27, 2019, we entered into a license agreement, or the Bio Palette License Agreement, with Bio Palette Co., Ltd., or Bio Palette, pursuant to which we received an exclusive (even as to Bio Palette and its affiliates), sublicensable license under certain patent rights related to base editing owned or controlled by Bio Palette to research, make, have made, import, export, distribute, use, have used, sell, have sold or offer for sale, and otherwise exploit products for the treatment of human disease throughout the world, but excluding products in the microbiome field in Asia. In addition, we granted Bio Palette an exclusive (even as to us and our affiliates) license under certain patent rights related to base editing and gene editing owned or controlled by us to research, make, have made, import, export, distribute, use, have used, sell, have sold or offer for sale, and otherwise exploit products in the microbiome field in Asia, subject to our right, in its sole discretion, to expand Bio Palette’s license (and the applicable royalty obligations) to the entire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territory. Each party to the Bio Palette Agreement retains non-exclusive rights to develop and manufacture products in the microbiome field worldwide for the sole purpose of exploiting those products in its own territory. Each party agrees to certain coordination obligations in the microbiome field in the event that either party determines not to exploit their rights in such field.</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Bio Palette comes into the control of any other patent right that is useful for the treatment, diagnosis or prevention of any human diseases or conditions and intends to grant a license under that patent right in certain defined fields and in certain defined territories, we have the exclusive right of first negotiation for an exclusive license under that patent right in those fields and territories. If we come into the control of any other patent right that is useful in certain defined fields and intend to grant a license under that patent right in those fields in certain defined territories, Bio Palette has the exclusive right of first negotiation for an exclusive license under that patent right in those fields and territories.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required to use commercially reasonable efforts to develop a licensed product in the United States, Japan, the U.K., France, Germany, Italy and Spain. For any licensed product in our licensed field and territory that receives regulatory approval, we are required to use commercially reasonable efforts to commercialize that licensed product in the relevant country. Bio Palette is required to use commercially reasonable efforts to develop a licensed product in Japan. For any licensed product that receives regulatory approval, Bio Palette is required to use commercially reasonable efforts to commercialize such licensed product in the relevant country.</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of the patents, or the Kobe Patents, licensed to us under the Bio Palette License Agreement were licensed to Bio Palette from Kobe University under a license agreement we refer to as the Kobe Head License. Accordingly, the licenses granted to us under the Bio Palette License Agreement are subject to the terms and conditions set forth in the Kobe Head License, which include provisions providing for certain rights to be retained by third parties including governmental authorities.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and Bio Palette are both permitted to sublicense the licensed patents to affiliates and third parties, provided that the applicable terms of the Bio Palette License Agreement and the Kobe Head License would apply to such affiliates and third parties. The sublicensing party is also responsible for any breaches of such terms by the applicable sublicensee and is responsible for all payments due under the Bio Palette License Agreement by operation of any such sublicense.</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the execution of the Bio Palette License Agreement, we paid Bio Palette an upfront fee of $0.5 million. In connection with the execution of the Bio Palette License Agreement, we issued to Bio Palette 16,725 shares of our common stock, with an agreement to issue additional shares of our common stock in the low six figures in the event that the referenced Bio Palette patent issues in the United States. Upon the issuance of a certain Bio Palette patent in the United States in June 2020, we made a milestone payment to Bio Palette of $2.0 million and, in July 2020, issued to Bio Palette 175,000 shares of our common stock valued at $0.3 million. We also agreed to pay a royalty at a fraction of a percent on net sales of products that are covered by the patents licensed by Bio Palette to us, and Bio Palette agreed to pay a royalty at a fraction of a percent on net sales of products that are covered by the patents licensed by us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intellectual property arising out of activities under the Bio Palette License Agreement will be owned by the party inventing such intellectual property. Bio Palette is responsible for the prosecution and maintenance of all patents licensed by Bio Palette to us, provided that we have customary consultation, comment and review rights with respect to such prosecution and maintenance activities solely with respect to national entries of a certain specified PCT application. We have the sole right to prosecute and maintain patents licensed by us to Bio Palette.</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Unless earlier terminated, the Bio Palette License Agreement will expire on a licensed product-by-licensed product and country-by-country basis upon the expiration of the applicable royalty term for each such licensed product and country. Each party has the right to terminate the Bio Palette License Agreement for convenience with respect to the license granted to such party subject to a specified notice period. Either party may terminate the Bio Palette License Agreement with respect to the license granted to the other party for a material breach by the other party, subject to a specified notice and cure period. Additionally, either party may also terminate the Bio Palette License Agreement in the event of the other party’s bankruptcy or insolvency or if the other party, its affiliates or sublicensees brings a patent challenge relating to any licensed patents (but, in the case of such a patent challenge by a sublicensee, subject to a cure period for such party to terminate its agreement with the sublicensee that has taken the applicable action).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License Agreement with Kobe University and Bio Palette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party to a standby license agreement, or the Standby License Agreement, with Kobe University and Bio Palette, dated February 6, 2026. Under the terms of the Standby License Agreement, if the Kobe Head License terminates for any reason other than (i) a termination by Kobe University due to Bio Palette’s default of the Kobe Head License, which default by Bio Palette is a result of our material breach of the Bio Palette License Agreement, or (ii) a termination after the execution of a new license agreement for the Kobe Patents in connection with a change of control transaction involving Bio Palette, which new license agreement includes a standby license in favor of us of the same scope set forth in the Standby License Agreement, Kobe University grants, as of the effective time of such termination, or the Effective Time, directly to us, an exclusive (even as to Kobe University and its affiliates) license to practice the Kobe Patents of the same scope as the license granted to us pursuant to the Bio Palette License Agreement. As financial consideration for the Standby License Agreement, after the Effective Time we will pay Kobe University amounts that subsequently become payable by us to Bio Palette pursuant to Section 4.4 of the Bio Palette License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or EU, extensively regulate, among other things, the research, development, testing, manufacturing, packaging, labeling, storage, record keeping, reimbursement, advertising, promotion, distribution, post-approval monitoring and reporting and import and export, pricing and reimbursement of pharmaceutical products, including biological products. The failure to comply with the applicable regulatory requirements at any time during the product development process or post-approval may subject a sponsor for marketing approval to delays in development or approval, as well as administrative and judicial sanctions. The regulatory requirements applicable to product development, approval and marketing are subject to change, and regulations and administrative guidance often are revised or reinterpreted by government agencies in ways that may have a significant impact on our business.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processes for obtaining marketing approvals in the United States and in foreign countries and jurisdictions and compliance with applicable statutes and regulatory requirements, both pre- and post-approval, and obtaining reimbursement status will continue to require the expenditure of substantial time and financial resources. The regulatory requirements applicable to biological product development, approval, and marketing are subject to change, and regulations and administrative guidance often are revised or reinterpreted by the agencies in ways that may have a significant impact on our business. Ethical, social and legal concerns about gene therapy, genetic testing and genetic research could result in additional regulations restricting or prohibiting the processes we may use.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Licensure and regulation of biologics in the United States</w:t>
      </w:r>
    </w:p>
    <w:p>
      <w:pPr>
        <w:spacing w:after="0" w:line="119"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In the United States, our candidate products are regulated as biological products, or biologics, under the Public Health Service Act, or the PHSA, and the Federal Food, Drug and Cosmetic Act, or the FDCA, the implementing regulations of the FDA and other federal, state and local statutes and regulations.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FDA must approve a product candidate for a therapeutic indication before it may be marketed in the United States. A company, institution, or organization which takes responsibility for the initiation and management of a clinical development program for such products is referred to as a sponsor. A sponsor seeking approval to market and distribute a new biologic in the United States generally must satisfactorily complete each of the following steps:</w:t>
      </w:r>
    </w:p>
    <w:p>
      <w:pPr>
        <w:spacing w:after="0" w:line="68" w:lineRule="exact"/>
        <w:rPr>
          <w:sz w:val="20"/>
          <w:szCs w:val="20"/>
          <w:color w:val="auto"/>
        </w:rPr>
      </w:pPr>
    </w:p>
    <w:p>
      <w:pPr>
        <w:ind w:left="1020" w:right="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investigational new drug, or IND, application for human clinical testing,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requesting marketing of the biological product for one or more proposed indications, including submission of detailed information on the manufacture and composition of the product and proposed labelling;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BLA by an FDA advisory committee, where applicable;</w:t>
      </w:r>
    </w:p>
    <w:p>
      <w:pPr>
        <w:spacing w:after="0" w:line="11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to assure that the facilities, methods, and controls are adequate to preserve the product’s identity, strength, quality,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1" w:name="page22"/>
    <w:bookmarkEnd w:id="21"/>
    <w:p>
      <w:pPr>
        <w:ind w:left="1020"/>
        <w:spacing w:after="0"/>
        <w:rPr>
          <w:sz w:val="20"/>
          <w:szCs w:val="20"/>
          <w:color w:val="auto"/>
        </w:rPr>
      </w:pPr>
      <w:r>
        <w:rPr>
          <w:rFonts w:ascii="Times New Roman" w:cs="Times New Roman" w:eastAsia="Times New Roman" w:hAnsi="Times New Roman"/>
          <w:sz w:val="18"/>
          <w:szCs w:val="18"/>
          <w:color w:val="auto"/>
        </w:rPr>
        <w:t>purity; and, if applicable, the FDA’s current Good Tissue Practice, or cGTP, requirements for the use of human cellular and tissue products;</w:t>
      </w:r>
    </w:p>
    <w:p>
      <w:pPr>
        <w:spacing w:after="0" w:line="117" w:lineRule="exact"/>
        <w:rPr>
          <w:sz w:val="20"/>
          <w:szCs w:val="20"/>
          <w:color w:val="auto"/>
        </w:rPr>
      </w:pPr>
    </w:p>
    <w:p>
      <w:pPr>
        <w:ind w:left="1020" w:right="4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GLPs and GCPs and the integrity of clinical data in support of the BLA;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application fee under the Prescription Drug User Free Act, or PDUFA, unless exempted;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which may be subject to additional post-approval requirements, including the potential requirement to implement a Risk Evaluation and Mitigation Strategy, or REMS, and any post-approval studies required by the FDA.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Before testing any investigational biological product in humans, including a gene editing product candidate, the product candidate must undergo preclinical testing. Preclinical tests include laboratory evaluations of product chemistry, formulation and stability, as well as studies to evaluate the potential for efficacy and toxicity in animal studies.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With the passage of the FDA’s Modernization Act 2.0 in December 2022, Congress eliminated provisions in both the FDCA and the Public Health Service Act, or PHSA, that required animal testing in support of an NDA or BLA. While animal testing may still be conducted, the FDA was authorized to rely on alternative non-clinical tests, including cell-based assays, microphysiological systems, or bioprinted or computer models. In April 2025, the FDA released a roadmap to replace animal testing in preclinical safety studies with scientifically validated new approach methodologies. The results of the preclinical tests, together with manufacturing information and analytical data, are submitted to the FDA as part of an IND application.</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or biological product to be shipped in interstate commerce for use in an investigational clinical trial. Such authorization must be secured prior to interstate shipment and administration of any product candidate that is not the subject of an approved new drug application, or NDA. In support of a request for an IND, applicants must submit a protocol for each clinical trial and any subsequent protocol amendments must be submitted to the FDA as part of the IND. An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or any issues surrounding chemistry, manufacturing and controls, or CMC, for the proposed product. In that case, the IND sponsor and the FDA must resolve any outstanding FDA concerns before the clinical trials can begin. Preclinical or nonclinical testing typically continues even after the IND is submitted.</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Expanded access to an investigational drug for treatment use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no requirement for a manufacturer to provide expanded access to an investigational product. However, if a manufacturer decides to make its investigational product available for expanded access, FDA reviews requests for expanded access and determines if treatment may proceed. Expanded access may be appropriate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2" w:name="page23"/>
    <w:bookmarkEnd w:id="22"/>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FDCA, sponsors of one or more investigational products for the treatment of a serious disease(s) or condition(s) must make publicly available their policy for evaluating and responding to requests for expanded access for individual patients.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an additional mechanism for patients with a life-threatening condition who have exhausted approved treatments and are unable to participate in clinical trials to access certain investigational products that have completed a Phase I clinical trial, are the subject of an active IND, and are undergoing investigation for FDA approval. Unlike the expanded access framework described above, the Right to Try Pathway does not require FDA to review or approve requests for use of the investigational product. There is no obligation for a manufacturer to make its investigational products available to eligible patients under the Right to Try Act.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Clinical trials must also comply with extensive GCP rules and the requirements for obtaining subjects’ informed consent. The FDA, IRB, or the clinical trial sponsor may suspend or discontinue a clinical trial at any time for various reasons, including a finding that the clinical trial is not being conducted in accordance with FDA requirements, including GCP, or the subjects or patients are being exposed to an unacceptable health risk.</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monitoring committee, or DMC. This group may recommend continuation of the study as planned, changes in study conduct, or cessation of the study at designated checkpoints based on access to certain data from the study. Finally, research activities involving infectious agents, hazardous chemicals, recombinant DNA, and genetically altered organisms and agents may be subject to review and approval of an Institutional Biosafety Committee, or IBC, in accordance with NIH Guidelines for Research Involving Recombinant or Synthetic Nucleic Acid Molecules.</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52" w:lineRule="exact"/>
        <w:rPr>
          <w:sz w:val="20"/>
          <w:szCs w:val="20"/>
          <w:color w:val="auto"/>
        </w:rPr>
      </w:pPr>
    </w:p>
    <w:p>
      <w:pPr>
        <w:ind w:left="1020" w:right="20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the case of some products for severe or life-threatening diseases, especially when the product may be too inherently toxic to ethically administer to healthy volunteers, in patients, such as cancer patients.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 acceptable safety profile. Clinical trials are undertaken within an expanded patient population at multiple geographically dispersed clinical study sites to further evaluate dosage, provide substantial evidence of clinical efficacy, and further test for safety.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purity and potency such that it can be used, alone or with other pivotal or non-pivotal trials, to support regulatory approval. Generally, pivotal trials are Phase 3 trials, but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they may be Phase 2 trials if the design provides a well-controlled and reliable assessment of clinical benefit, particularly in an area of unmet medical need.</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product candidate’s safety or effectiveness after approval. Such trials are typically referred to as post approval or post marketing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post approval or post marketing clinical trials could result in withdrawal of approval for products. The FDA generally recommends that sponsors observe subjects for potential gene-therapy related delayed adverse events in a long-term follow-up study of fifteen years for integrating vectors, up to fifteen years for herpes virus vectors capable of establishing latency, up to fifteen years for microbial vectors known to establish persistent infection, up to fifteen years for gene editing products, and up to five years for AAV vectors. The FDA recommends that these long-term follow-up studies include, at a minimum, five years of annual physical examinations followed by annual queries, either in-person or by phone or written questionnaire, for the remaining observation period.</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Subsequently, in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DAPs in connection with its review of BLAs.</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September 2025, the FDA issued final guidance with updated recommendations for GCPs aimed at modernizing the design and conduct of clinical trials. The updates are intended to help pave the way for more efficient clinical trials to facilitate the development of medical products. The final guidance is adopted from the International Council for Harmonisation’s, or ICH, recently updated E6(R3) final guideline that was developed to enable the incorporation of rapidly developing technological and methodological innovations into the clinical trial enterprise. In addition, the FDA issued final guidance outlining recommendations for the implementation of decentralized clinical trials.</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October 2025, the FDA issued final guidance that focuses on patient-focused drug development. The guidance outlines how stakeholders, such as patients, caregivers, researchers and medical product developers, can submit patient experience data in support of the development and approval of drug products. To that end, the guidance provides an overview of clinical outcome assessments, or COAs, in clinical trials, and the role that COAs may play in evaluating the clinical benefit of a medical product.</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Sponsors of clinical trials of certain FDA-regulated products, including prescription drugs, are required to register and disclose certain clinical trial information on a public registry maintained by the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 The NIH’s Final Rule on ClinicalTrials.gov registration and reporting requirements became effective in 2017. As of January 31, 2026, the FDA has issued eight notices of non-compliance, thereby signaling the government’s willingness to begin enforcing these requirements against non-compliant clinical trial sponsors. While these notices did not result in civil monetary penalties, the failure to submit clinical trial information to clinicaltrials.gov is a prohibited act under the FDCA with violations subject to potential civil monetary penalties of up</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right="500"/>
        <w:spacing w:after="0" w:line="282" w:lineRule="auto"/>
        <w:rPr>
          <w:sz w:val="20"/>
          <w:szCs w:val="20"/>
          <w:color w:val="auto"/>
        </w:rPr>
      </w:pPr>
      <w:r>
        <w:rPr>
          <w:rFonts w:ascii="Times New Roman" w:cs="Times New Roman" w:eastAsia="Times New Roman" w:hAnsi="Times New Roman"/>
          <w:sz w:val="18"/>
          <w:szCs w:val="18"/>
          <w:color w:val="auto"/>
        </w:rPr>
        <w:t>to $10,000 for each day the violation continues. Violations may also result in injunctions and/or criminal prosecution or disqualification from federal grants.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Interactions with the FDA during the clinical development program</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end of Phase 2 meetings. A Type C meeting is any meeting other than a Type A or Type B meeting regarding the development and review of a product. A Type D meeting is focused on a narrow set of issues and should not require input from more than three disciplines or Divisions of FDA. Finally, INTERACT meetings are intended for novel products and development programs that present unique challenges in the early development of an investigational product.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studies outside the United States in support of FDA approval</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are planning to conduct trials at sites outside the United States. When a foreign clinical trial is conducted under an IND, all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trials must be conducted in accordance with GCP, including undergoing review and receiving approval by an independent ethics committee, or IEC, and seeking and receiving informed consent from subjects.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trials.</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acceptance by the FDA of trial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submit a pediatric study plan, or PSP, within 60 days of an end-of-Phase 2 meeting or as may be agreed between the sponsor and the FDA. The PSP outlines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sponsor may request an amendment to the plan at any time. In May 2023, the FDA issued new draft guidance that further describes the pediatric study requirements under PREA.</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 The FDA may, on its own initiative or at the request of the sponsor, grant deferrals for submission of some or all pediatric data until after approval of the product for use in adults, or full or partial waivers from the pediatric data requirements, under specified circumstances. Unless otherwise required by regulation, the pediatric data requirements do not apply to products with orphan designation.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5" w:name="page26"/>
    <w:bookmarkEnd w:id="25"/>
    <w:p>
      <w:pPr>
        <w:ind w:right="60"/>
        <w:spacing w:after="0" w:line="253"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law now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Unless otherwise required by regulation, the pediatric data requirements do not apply to products with orphan designation, although FDA has recently taken steps to limit what it considers abuse of this statutory exemption in PREA by announcing that it does not intend to grant any additional orphan drug designations for rare pediatric subpopulations of what is otherwise a common disease. The FDA also maintains a list of diseases that are exempt from PREA requirements due to low prevalence of disease in the pediatric population. In May 2023, the FDA issued new draft guidance that further describes the pediatric study requirements under PREA.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regulations and guidance governing gene therapy products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It is possible that the procedures and standards applied to gene therapy products and cell therapy products may be applied to any CRISPR/Cas9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be transferred to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prior to administration to the recipient. The Center for Biologics Evaluation and Research, or CBER, at FDA regulates gene therapy products. Within CBER, the review of gene therapy and related products is consolidated in the Office of Therapeutic Products, or OTP, and the FDA has established the Cellular, Tissue and Gene Therapies Advisory Committee to advise CBER on its reviews.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 has issued numerous guidance documents regarding gene therapies. Although the FDA’s guidance documents are not legally binding, compliance with certain aspects of them is likely necessary to gain approval for any product candidate we may develop. The guidance documents provide recommendations and additional clarity as to factors that the FDA will consider at each stage of gene therapy development and relate to, among other things, the proper preclinical assessment of gene therapies; the CMC information that should be included in an IND application; the proper design of tests to measure product potency in support of an IND or BLA application; measures to observe delayed adverse effects in subjects who have been exposed to investigational gene therapies; and gene therapy products for the treatment of rare diseases. In addition, in November 2024, the FDA issued draft guidance to address frequently asked questions surrounding the development of cellular and gene therapy products.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gene therapy trial is conducted at, or sponsored by, institutions receiving any NIH funding for research involving recombinant or synthetic nucleic acid molecules, the trial must be conducted in accordance with the NIH Guidelines for Research Involving Recombinant DNA Molecules. Research conducted at such institutions that involves the transfer of recombinant or synthetic nucleic acid molecules, or DNA or RNA derived from recombinant or synthetic nucleic acid molecules, into human subjects must undergo review and approval by an IBC before it commences. Many companies and other institutions not otherwise subject to the NIH Guidelines voluntarily follow them.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cGMP and cGTP requirements</w:t>
      </w:r>
    </w:p>
    <w:p>
      <w:pPr>
        <w:spacing w:after="0" w:line="11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FDA’s regulations require that pharmaceutical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are subject to periodic unannounced inspections by the FDA for compliance with cGMPs and other requirements. Inspections must follow a “risk-based schedule” that may result in certain establishments being inspected more frequently.</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product.</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 Material changes in manufacturing equipment, location, or process post-approval, may result in additional regulatory review and approval. The PREVENT Pandemics Act, which was enacted in December 2022, clarifies that foreign drug manufacturing establishments are subject to registration and listing requirements even if a drug or biologic undergoes further manufacture, preparation, propagation,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compounding, or processing at a separate establishment outside the United States prior to being imported or offered for import into the United States.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a gene therapy product, the FDA also will not approve the product if the manufacturer is not in compliance with cGTP. These standards are found in FDA regulations and guidance documents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The manufacturing facilities may be subject to periodic unannounced inspections by government authorities to ensure compliance with cGMPs and other laws. If a manufacturing facility is not in substantial compliance with the applicable regulations and requirements imposed when the product was approved, regulatory enforcement action may be taken, which may include a warning letter or an injunction against shipment of products from the facility and/or recall of products previously shipped.</w:t>
      </w:r>
    </w:p>
    <w:p>
      <w:pPr>
        <w:spacing w:after="0" w:line="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May 2025, the FDA disclosed plans to expand its use of unannounced inspections of foreign manufacturing facilities that produce drugs and biologics distributed in the United States. Subsequently, in August 2025, the FDA introduced a “PreCheck” program with the intention of supporting companies as they build new facilities in the United States. The PreCheck program provides manufacturers with more frequent FDA communication at critical development stages, including facility design, construction, and pre-production. These FDA initiatives flow from an Executive Order issued by President Trump on May 5, 2025, calling for actions to reduce regulatory barriers to pharmaceutical manufacturing in the United States.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a BLA</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along with information relating to the product’s CMC and proposed labeling, are submitted to the FDA as part of an application requesting approval to market the product candidate for one or more indications. The fee required for the submission of a BLA under the Prescription Drug User Fee Act, or PDUFA, is substantial (for example, for federal fiscal year 2026, this application fee is approximately $4.7 million), and the sponsor of an approved BLA is also subject to an annual program fee, set at $442,213 per eligible prescription drug product for federal fiscal year 2026. These fees are typically adjusted annually, and exemptions and waivers may be available under certain circumstances, such as where a waiver is necessary to protect the public health, where the fee would present a significant barrier to innovation, or where the sponsor is a small business submitting its first human therapeutic application for review.</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the BLA within 60 days of receipt and must inform the sponsor by that time whether the application is sufficiently complete to permit substantive review. In pertinent part, the FDA’s regulations for applications state that an application “shall not be considered as filed until all pertinent information and data have been received” by the FDA. In the event that the FDA determines that an application does not satisfy this standard, it will issue a Refuse to File, or RTF, determination to the sponsor. In October 2025, the FDA issued internal guidance clarifying that “materially incomplete or inadequately organized” applications that would not permit timely, efficient and complete review will be subjects of RTFs. The internal guidance also provides that the FDA will issue an RTF for an application that relies on a single adequate and well-controlled investigation to support approval if prior communications with the FDA determined the need for more than one clinical study and any justification for a single investigation is inadequate. The FDA may request additional information rather than accept a BLA for filing. In this event, the application must be resubmitted with the additional information. The resubmitted application is also subject to review before the FDA accepts it for filing.</w:t>
      </w:r>
    </w:p>
    <w:p>
      <w:pPr>
        <w:spacing w:after="0" w:line="8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After the submission is accepted for filing, the FDA begins an in-depth substantive review of the application. The FDA may inform the sponsor of certain requirements for information when it accepts the BLA or by the 74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receipt of the BLA. Thereafter, the FDA may submit “information requests” to the sponsor in the course of the FDA’s review of the BLA. The FDA reviews the BLA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for an investigational product that is a new molecular entity, and six months from the filing date for an application with “priority review.” The review process may be extended by the FDA for three additional months to consider new information or in the case of a clarification provided by the sponsor to address an outstanding deficiency identified by the FDA following the original submission. Despite these review goals, it is not uncommon for FDA review of a BLA to extend beyond the PDUFA goal date.</w:t>
      </w:r>
    </w:p>
    <w:p>
      <w:pPr>
        <w:spacing w:after="0" w:line="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Before approving a BLA, the FDA may inspect the sponsor and one or more clinical trial sites to assure compliance with IND and GCP requirements and the integrity of the clinical data submitted to the FDA. With passage of FDORA, Congress clarified the FDA’s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7" w:name="page28"/>
    <w:bookmarkEnd w:id="27"/>
    <w:p>
      <w:pPr>
        <w:ind w:right="40"/>
        <w:spacing w:after="0" w:line="282" w:lineRule="auto"/>
        <w:rPr>
          <w:sz w:val="20"/>
          <w:szCs w:val="20"/>
          <w:color w:val="auto"/>
        </w:rPr>
      </w:pPr>
      <w:r>
        <w:rPr>
          <w:rFonts w:ascii="Times New Roman" w:cs="Times New Roman" w:eastAsia="Times New Roman" w:hAnsi="Times New Roman"/>
          <w:sz w:val="18"/>
          <w:szCs w:val="18"/>
          <w:color w:val="auto"/>
        </w:rPr>
        <w:t>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Moreover, the FDA will review a sponsor’s financial relationship with the principal investigators who conducted the clinical trials in support of the NDA. This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purity and potency of the investigational product.</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Additionally, the FDA may refer the BLA,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sponsor during the review process.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FDA’s decision on a BLA</w:t>
      </w:r>
    </w:p>
    <w:p>
      <w:pPr>
        <w:spacing w:after="0" w:line="11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 FDA reviews a BLA to determine, among other things, whether the product is safe, pure and potent. To reach this determination, the FDA must determine that the expected benefits of the proposed product outweigh its potential risks to patients. This “benefit-risk” assessment is informed by the extensive body of evidence about the product’s safety, purity and potency in the BLA. This assessment is also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spacing w:after="0" w:line="7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FDA typically requires a robust safety database and substantial evidence of the efficacy of the product. The term “substantial evidence” has been interpreted by the FDA to require at least two adequate and well-controlled clinical investigations to establish effectiveness of a product. Under certain circumstances, however, the FDA has indicated that a single trial with certain characteristics and additional information may satisfy this standard. This approach was subsequently endorsed by Congress in 1998 with legislation providing, in pertinent part, that “If [the FDA] determines, based on relevant science, that data from one adequate and well-controlled clinical investigation and confirmatory evidence (obtained prior to or after such investigation) are sufficient to establish effectiveness, the FDA may consider such data and evidence to constitute substantial evidence.” In December 2019, the FDA issued draft guidance further explaining the studies that are needed to establish substantial evidence of effectiveness. It has not yet finalized that guidance, but the FDA did issue draft guidance in September 2023 that outlines considerations for relying on confirmatory evidence in lieu of a second clinical trial to demonstrate efficacy. More recently, in December 2025, the FDA signaled that it is considering only requiring one clinical study for approval of most products. The FDA indicated at such time that it may issue guidance regarding this change through a press release or other means; the FDA has not yet, however, issued such guidance.</w:t>
      </w:r>
    </w:p>
    <w:p>
      <w:pPr>
        <w:spacing w:after="0" w:line="8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addition, before approving an application, the FDA will determine whether the facility in which the product is manufactured, processed, packed or held meets standards designed to assure the product’s continued safety. The approval process is lengthy and often difficult, and the FDA may refuse to approve a BLA if the applicable regulatory criteria are not satisfied or may require additional clinical or other data and information. After evaluating the application and all related information, including the advisory committee recommendations, if any, and inspection reports of manufacturing facilities and clinical trial sites, the FDA may issue either an approval letter or a Complete Response Letter, or CRL.</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sponsor will have one year to respond to the deficiencies identified by the FDA, at which time the FDA can deem the application withdrawn or, in its discretion, grant the sponsor an additional six-month extension to respond. For those seeking to challenge the FDA’s CRL decision, the FDA has indicated that sponsors may request a formal hearing on the CRL or they may file a request for reconsideration or a request for a formal dispute resolution. While CRLs were previously treated by the FDA as confidential and were only disclosed in action packages for approved products, the FDA announced in September 2025 that it will now release CRLs promptly after they are issued to sponsors. Since that announcement, the FDA has posted a number of CRLs on its website.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During the product approval process, the FDA also will determine whether a REMS is necessary to assure the safe use of the product. If the FDA concludes a REMS is needed, the sponsor of the BLA must submit a proposed REMS; the FDA will not approve the BLA without a REMS, if required.</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indications. That is, the approval will be limited to the conditions of use (e.g., patient population or indication) described in the FDA-approved labeling. Further, depending on the specific risk(s) to be addressed, the FDA may require that contraindications, warnings or precautions be included in the product labeling, require that post-approval trials, including post-marketing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 and regenerative advanced therapy designations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 has several programs designed to expedite the development and approval of drugs and biological products intended to treat serious or life-threatening diseases or conditions. These programs include fast track designation, breakthrough therapy designation, priority review designation, and regenerative medicine advanced therapy (RMAT)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may grant a product fast track designation if it is intended for the treatment of a serious or life-threatening disease or condition, and nonclinical or clinical data demonstrate the potential to address an unmet medical need for such disease or condition. For fast track products, sponsors may have greater interactions with the FDA, and the FDA may initiate review of sections of a fast track product’s marketing application before the application is complete in some circumstances. Fast track designation may be rescinded if FDA believes that the product no longer meets the qualifying criteria.</w:t>
      </w:r>
    </w:p>
    <w:p>
      <w:pPr>
        <w:spacing w:after="0" w:line="7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aid sponsors in designing the clinical trials in an efficient manner. Breakthrough designation may be rescinded if a product no longer meets the qualifying criteria.</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passage of the 21st Century Cures Act in December 2016, Congress authorized an additional expedited program for regenerative medicine advanced therapies. A product is eligible for RMAT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 RMAT designation may be rescinded if a product no longer meets the qualifying criteria.</w:t>
      </w:r>
    </w:p>
    <w:p>
      <w:pPr>
        <w:spacing w:after="0" w:line="7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FDA may designate a product for priority review if it is a product that treats a serious condition and, if approved, would provide a significant improvement in safety or effectiveness of the treatment, prevention, or diagnosis of such condition. A priority designation is intended to direct overall attention and resources to the evaluation of such applications, and it shortens the FDA’s goal for taking action on a marketing application from ten months to six months.</w:t>
      </w:r>
    </w:p>
    <w:p>
      <w:pPr>
        <w:spacing w:after="0" w:line="5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17, 2025, the FDA announced the creation of a new voucher program to expedite the development and approval of new drug products. Vouchers issued under the new program, which is known as the Commissioner’s National Priority Voucher, or CNPV, Program, may reportedly be redeemed by sponsors to shorten the review time of an NDA from approximately 10-12 months to 1-2 months. The FDA has indicated that the new CNPV process will convene experts from the FDA’s offices for a team-based review rather than using the standard review system of a drug application being sent to numerous FDA offices. Clinical information will be reviewed by a multidisciplinary team of physicians and scientists who will pre-review the submitted information and convene for a one-day meeting. Vouchers under this program will reportedly be given to companies aligned with U.S. national priorities. As with the FDA’s other programs for expediting review and approval of new drug products, there is no guarantee it would result in approval of our marketing applications or that such approval, if granted, would be on an expedited basis.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ind w:right="580"/>
        <w:spacing w:after="0" w:line="261" w:lineRule="auto"/>
        <w:rPr>
          <w:sz w:val="20"/>
          <w:szCs w:val="20"/>
          <w:color w:val="auto"/>
        </w:rPr>
      </w:pPr>
      <w:r>
        <w:rPr>
          <w:rFonts w:ascii="Times New Roman" w:cs="Times New Roman" w:eastAsia="Times New Roman" w:hAnsi="Times New Roman"/>
          <w:sz w:val="18"/>
          <w:szCs w:val="18"/>
          <w:color w:val="auto"/>
        </w:rPr>
        <w:t>In September 2025, the FDA introduced a framework intended to streamline the approval of new therapies for ultrarare diseases. The Rare Disease Evidence Principles, or RDEP, is intended to allow sponsors to rely on a single-arm trial in support of approval of drugs and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w:t>
      </w:r>
    </w:p>
    <w:p>
      <w:pPr>
        <w:spacing w:after="0" w:line="7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drugs granted accelerated approval, FDA generally requires sponsors to conduct, in a diligent manner, additional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 candidates approved under accelerated approval are subject to prior review by the FDA unless FDA informs the sponsor otherwise.</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With passage of the FDORA in December 2022, Congress modified certain provisions governing accelerated approval of drug and biologic products. Specifically, the new legislation authorized the FDA to require (i) a sponsor to have its confirmatory clinical trial underway before accelerated approval is awarded; (ii) a sponsor of a product granted accelerated approval to submit progress reports on its post-approval studies to FDA every six months (until the study is completed); and (iii) use expedited procedures to withdraw accelerated approval of an NDA or BLA after the confirmatory trial fails to verify the product’s clinical benefit. Further, FDORA requires the agency to publish on its website “the rationale for why a post-approval study is not appropriate or necessary” whenever it decides not to require such a study upon granting accelerated approval.</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the FDA’s latest thinking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post-approval requirements that the FDA has imposed as part of the approval process. The sponsor will be required to report certain adverse reactions and production problems to the FDA, provide updated safety, purity and potency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a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FDA strictly regulates the advertising and labeling of prescription drug products, including biological products.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In addition, the sponsor of an approved drug in the United States may not promote that drug for unapproved, or off-label, uses, although a physician may prescribe a drug for an off-label use in accordance with the practice of medicine. It may be permissible, under very specific, narrow conditions, for a manufacturer to engage in nonpromotional, non-misleading communication regarding off-label information, such as distributing scientific or medical journal information.</w:t>
      </w:r>
    </w:p>
    <w:p>
      <w:pPr>
        <w:spacing w:after="0" w:line="8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September 9, 2025, President Trump issued a memorandum directing HHS to ensure transparency and accuracy in direct-to-consumer, or DTC,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In addition, in January 2025, the FDA published final guidance outlining its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administrative and judicial enforcement by the FDA, the DOJ,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ind w:right="80"/>
        <w:spacing w:after="0" w:line="282" w:lineRule="auto"/>
        <w:rPr>
          <w:sz w:val="20"/>
          <w:szCs w:val="20"/>
          <w:color w:val="auto"/>
        </w:rPr>
      </w:pPr>
      <w:r>
        <w:rPr>
          <w:rFonts w:ascii="Times New Roman" w:cs="Times New Roman" w:eastAsia="Times New Roman" w:hAnsi="Times New Roman"/>
          <w:sz w:val="18"/>
          <w:szCs w:val="18"/>
          <w:color w:val="auto"/>
        </w:rPr>
        <w:t>against companies for alleged improper promotion and has also requested that companies enter into consent decrees or permanent injunctions under which specified promotional conduct is changed or curtailed.</w:t>
      </w:r>
    </w:p>
    <w:p>
      <w:pPr>
        <w:spacing w:after="0" w:line="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or dosing regimens, manufacturing changes, or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7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FDA may withdraw product approval if compliance with regulatory requirements and standards is not maintained or if problems occur after the product reaches the market. Later discovery of previously unknown problems with a product, including adverse events of unanticipated severity or frequency or issues with manufacturing processes, may result in revisions to the approved labeling to add new safety information; imposition of post-market studies or clinical trials to assess new safety signals;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Finally, if there are any modifications to the product, including changes in indications, labeling or manufacturing processes or facilities, the sponsor may be required to submit and obtain FDA approval of a new BLA or a BLA supplement, which may require the sponsor to develop additional data or conduct additional preclinical studies and clinical trials. Securing FDA approval for new indications is similar to the process for approval of the original indication and requires, among other things, submitting data from adequate and well-controlled clinical trials to demonstrate the product’s safety, purity and potency in the new indication. Even if such trials are conducted, the FDA may not approve any expansion of the labeled indications for use in a timely fashion, or at all. There also are continuing, annual user fee requirements that are now assessed as program fees for certain approved drugs.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the treatment of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the product available for the disease or condition will be recovered from sales of the product in the United States.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Orphan drug designation qualifies a company for certain tax credits. In addition, if a drug candidate that has orphan drug designation subsequently receives the first FDA approval for that drug for the disease for which it has such designation, the product is entitled to orphan drug exclusivity, which means that the FDA may not approve any other applications to market the same drug for the same indication for seven years following product approval unless the subsequent product candidate is demonstrated to be clinically superior. Absent a showing of clinical superiority, FDA cannot approve the same product made by another manufacturer for the same indication during the market exclusivity period unless it has the consent of the sponsor or the sponsor is unable to provide sufficient quantities.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 To qualify for orphan exclusivity, however, the drug must be clinically superior to the previously approved product that is the same drug for the same condition.</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Gene therapy products present novel issues for assessing when two products are the “same” for orphan exclusivity purposes. In September 2021, the FDA issued a final guidance document describing its current thinking on when a gene therapy product is the “same” as another product for the purpose of orphan exclusivity. Under the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While the guidance provides some additional clarity on FDA’s approach to assessing “sameness,” significant ambiguity and uncertainty remain as to how FDA will assess viral vectors in the same class, what differences in vector or transgene are considered minor, and what additional features may be considered.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2" w:name="page33"/>
    <w:bookmarkEnd w:id="32"/>
    <w:p>
      <w:pPr>
        <w:ind w:right="40"/>
        <w:spacing w:after="0" w:line="254"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Orphan drug exclusivity will not bar approval of another product under certain circumstances, including if the company with orphan drug exclusivity is not able to meet market demand or the subsequent product with the same drug for the same condition is shown to be clinically superior to the approved product on the basis of greater efficacy or safety, or provide a major contribution to patient care. This is the case despite an earlier court opinion holding that the Orphan Drug Act unambiguously required the FDA to recognize orphan drug exclusivity regardless of a showing of clinical superiority. Under Omnibus legislation signed in December 2020, the requirement for a product to show clinical superiority applies to drugs and biologics that received orphan drug designation before enactment of the FDA Reauthorization Act of 2017, or FDARA, in 2017, but have not yet been approved or licensed by the FDA.</w:t>
      </w:r>
    </w:p>
    <w:p>
      <w:pPr>
        <w:spacing w:after="0" w:line="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The FDA and Congress may further reevaluate the Orphan Drug Act and its regulations and policies. This may be particularly true in light of a decision from the Court of Appeals for the 11th Circuit in September 2021.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the court held that, for the purpose of determining the scope of orphan drug exclusivity, the term “same disease or condition” in the statute means the designated “rare disease or condition” and could not be interpreted by the FDA to mean the “indication or use.” On January 23, 2023, the FDA announced that, in matters beyond the scope of the </w:t>
      </w:r>
      <w:r>
        <w:rPr>
          <w:rFonts w:ascii="Times New Roman" w:cs="Times New Roman" w:eastAsia="Times New Roman" w:hAnsi="Times New Roman"/>
          <w:sz w:val="18"/>
          <w:szCs w:val="18"/>
          <w:i w:val="1"/>
          <w:iCs w:val="1"/>
          <w:color w:val="auto"/>
        </w:rPr>
        <w:t xml:space="preserve">Catalyst </w:t>
      </w:r>
      <w:r>
        <w:rPr>
          <w:rFonts w:ascii="Times New Roman" w:cs="Times New Roman" w:eastAsia="Times New Roman" w:hAnsi="Times New Roman"/>
          <w:sz w:val="18"/>
          <w:szCs w:val="18"/>
          <w:color w:val="auto"/>
        </w:rPr>
        <w:t>court order, the FDA will continue to apply its existing regulations tying orphan-drug exclusivity to the uses or indications for which the orphan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drug is approved. More recently however, on February 14, 2025, a federal district court in Washington, D.C., fully embraced the reasoning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decision in another decision challenging the scope of orphan drug exclusivity. On April 17, 2025, the FDA appealed this decision to the U.S. Court of Appeals for the D.C. Circuit. The implications of this decision, and its impact on the FDA’s implementation of the Orphan Drug Act, are unclear at this point.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non-patent regulatory exclusivity in the United States. Specifically, the Best Pharmaceuticals for Children Act provides for the attachment of an additional six months of exclusivity, which is added on to the term of any remaining regulatory exclusivity at the time the pediatric exclusivity is granted. This six-month exclusivity may be granted if a BLA sponsor submits pediatric data that fairly respond to a written request from the FDA for such data, even if the data do not show the product to be effective in the pediatric population studied.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2010 Patient Protection and Affordable Care Act, or PPACA, which was signed into law in March 2010, included a subtitle called the Biologics Price Competition and Innovation Act of 2009, or BPCIA. The BPCIA established a regulatory scheme authorizing the FDA to approve biosimilars and interchangeable biosimilars.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first licensed. This 12-year exclusivity period is referred to as the reference product exclusivity period and bars approval of a biosimilar but notably does not prevent approval of a competing product pursuant to a full BLA (i.e., containing the sponsor’s own preclinical data and data from adequate and well-controlled clinical trials to demonstrate the safety, purity, and potency of the product). The BPCIA also created certain exclusivity periods for biosimilars approved as interchangeable products. In December 2022, Congress clarified through FDORA that the FDA may approve multiple first interchangeable biosimilar biological products so long as the products are all approved on the first day on which such a product is approved as interchangeable with the reference product. The law also includes an extensive process for the innovator biologic and biosimilar manufacturer to litigate patent infringement, validity, and enforceability prior to the approval of the biosimilar.</w:t>
      </w:r>
    </w:p>
    <w:p>
      <w:pPr>
        <w:spacing w:after="0" w:line="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Since the passage of the BPCIA, many states have passed laws or amendments to laws, including laws governing pharmacy practices, which are state-regulated, to regulate the use of biosimilars.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 patent claiming a new biological product may be eligible for a limited patent term extension under the Hatch-Waxman Act, which permits a patent restoration of up to five years for a single patent for an approved product as compensation for patent term lost during product development and FDA regulatory review. The restoration period granted on a patent covering a product is typically one-half the time between the effective date a clinical investigation involving human beings is begun and the submission date of a marketing application less any dime during which the sponsor failed to exercise due diligence, plus the time between the submission date of an application and the ultimate approval date less any dime during which the sponsor failed to exercise due diligence. Patent term restoration cannot be used to extend the remaining term of a patent past a total of 14 years from the product’s approval date. Only one patent applicable to an approved product is eligible for the extension, only those claims covering the approved drug, a method for using it, or a method for manufacturing it may be extended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approval of companion diagnostics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on issues related to co-development of the products.</w:t>
      </w:r>
    </w:p>
    <w:p>
      <w:pPr>
        <w:spacing w:after="0" w:line="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in April 2020, the FDA issued additional guidance which describes considerations for the development and labeling of companion diagnostic devices to support the indicated uses of multiple drug or biological oncology products, when appropriate. This guidance builds upon existing policy regarding the labeling of companion diagnostics. In its 2014 guidance, the FDA stated that if evidence is sufficient to conclude that the companion diagnostic is appropriate for use with a specific group of therapeutic products, the companion diagnostic’s intended use/indications for use should name the specific group of therapeutic products, rather than specific products. The 2020 guidance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w:t>
      </w:r>
    </w:p>
    <w:p>
      <w:pPr>
        <w:spacing w:after="0" w:line="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7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The FDA previously has required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intended to select the patients who will respond to the product candidate to obtain pre-market approval, or PMA, simultaneously with approval of the therapeutic product candidate. The PMA process, including the gathering of clinical and preclinical data and the submission to and review by the FDA, can take several years or longer. It involves a rigorous premarket review during which the sponsor must prepare and provide the FDA with reasonable assurance of the device’s safety and effectiveness and information about the device and its components regarding, among other things, device design, manufacturing and labeling. PMA applications are subject to an application fee, which for federal fiscal year 2025 is $540,783 and the small business fee is $139,196.</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34" w:name="page35"/>
    <w:bookmarkEnd w:id="34"/>
    <w:p>
      <w:pPr>
        <w:ind w:right="60"/>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data privacy and security laws</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federal Health Insurance Portability and Accountability Act of 1996, or HIPAA, HHS has issued regulations to protect the privacy and security of protected health information, or PHI, used or disclosed by covered entities including certain healthcare providers, health plans and healthcare clearinghouses.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Any clinical trials we conduct will be regulated by Subpart A of 45 CFR 46, also known as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Moreover, new laws and regulations governing privacy and security may be adopted in the future as well.</w:t>
      </w:r>
    </w:p>
    <w:p>
      <w:pPr>
        <w:spacing w:after="0" w:line="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potential enforcement by the HHS, we could also be potentially subject to privacy enforcement from the Federal Trade Commission, or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FTC is also in the process of developing rules related to commercial surveillance and data security. We will need to account for the FTC’s evolving rules and guidance for proper privacy and data security practices in order to mitigate risk for a potential enforcement action, which may be costly. Finally, both the FTC and HHS’s enforcement priorities, as well as those of other federal regulators, may be impacted by the change in administration and new leadership. These shifts in enforcement priorities may also impact our business.</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state level, California has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Additionally, effective starting on January 1, 2023, the California Privacy Rights Act, or CPRA, significantly modified the CCPA, including by expanding consumers’ rights with respect to certain sensitive personal information. The CPRA also creates a new state agency that will be vested with authority to implement and enforce the CCPA and the CPRA. The CCPA and CPRA could impact our business activities depending on how it is interpreted and exemplifies the vulnerability of our business to not only cyber threats but also the evolving regulatory environment related to personal data and individually identifiable health information. These provisions may apply to some of our business activities.</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additional laws that could go into effect in 2026 and beyond, and Congress has also been debating passing a federal privacy law. There are also states that are specifically regulating health information that may affect our business. For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ind w:right="100"/>
        <w:spacing w:after="0" w:line="258" w:lineRule="auto"/>
        <w:rPr>
          <w:sz w:val="20"/>
          <w:szCs w:val="20"/>
          <w:color w:val="auto"/>
        </w:rPr>
      </w:pPr>
      <w:r>
        <w:rPr>
          <w:rFonts w:ascii="Times New Roman" w:cs="Times New Roman" w:eastAsia="Times New Roman" w:hAnsi="Times New Roman"/>
          <w:sz w:val="18"/>
          <w:szCs w:val="18"/>
          <w:color w:val="auto"/>
        </w:rPr>
        <w:t>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75" w:lineRule="exact"/>
        <w:rPr>
          <w:sz w:val="20"/>
          <w:szCs w:val="20"/>
          <w:color w:val="auto"/>
        </w:rPr>
      </w:pPr>
    </w:p>
    <w:p>
      <w:pPr>
        <w:ind w:right="120" w:firstLine="45"/>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in the EU and the U.K.</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purity and potency, and governing, among other things, clinical trials, marketing authorization, commercial sales and distribution of products. Whether or not it obtains FDA approval for a product, a sponsor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purity and potency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Non-clinical studies are performed to demonstrate the health or environmental safety of new chemical or biological substances. Non-clinical (pharmaco-toxicological) studies must be conducted in compliance with the principles of good laboratory practice, or GLP, as set forth in EU Directive 2004/10/EC (unless otherwise justified for certain particular medicinal products – e.g., radio-pharmaceutical precursors for radio-labeling purposes). In particular, non-clinical studies,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CTR, became effective in the European Union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 or EU Member State, will only be required to submit a single application for approval. The submission will be made through the Clinical Trials Information System, a new clinical trials portal overseen by the European Medicines Agency, or the EMA, and available to clinical trial sponsors, competent authorities of the EU Member States and the public.</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Beyond streamlining the process, the CTR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or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Member State Concerned. However, overall related timelines will be defined by the CTR.</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CTR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clinical site after the applicable ethics committee has issued a favorable opinion. As of January 31, 2026, all clinical trials (including those which are ongoing) became subject to the provisions of the CTR.</w:t>
      </w:r>
    </w:p>
    <w:p>
      <w:pPr>
        <w:spacing w:after="0" w:line="7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Parties conducting certain clinical trials must, as in the United States, post clinical trial information in the EU at the EU Clinical Trials Register (https://eudract.ema.europa.eu).</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To obtain a marketing authorization, or MA, for a gene therapy product under the EU regulatory system, a sponsor must submit an application via the centralized procedure administered by the EMA. Specifically, the grant of an MA in the EU for products containing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8"/>
          <w:szCs w:val="18"/>
          <w:color w:val="auto"/>
        </w:rPr>
        <w:t>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EMA’s Committee for Advance Therapies which provides a draft opinion regarding the application for marketing authorization and which is subject to final approval by the EMA’s Committee for Medicinal Products for Human Use. The European Commission grants or refuses marketing authorization in light of that final approval.</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application for an MA is 210 days, excluding clock stops when additional information or written or oral explanation is to be provided by the sponsor in response to questions of the Committee for Medicinal Products for Human Use, or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Conditional marketing authorization</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specific circumstances, E.U. legislation (Article 14–a Regulation (EC) No 726/2004 (as amended by Regulation (EU) 2019/5 and Regulation (EC) No 507/2006 on Conditional MA for Medicinal Products for Human Use) enables sponsors to obtain a conditional MA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the benefit of the immediate availability on the market of the medicinal product concerned outweighs the risk inherent in the fact that additional data are still required; (4) the risk-benefit balance of the product candidate is positive; and (5) it is likely that the sponsor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Exceptional circumstances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and will not in the future, have to provide the missing data. Although the MA “under exceptional circumstances” is granted definitively, the risk-benefit balance of the medicinal product is reviewed annually and the MA is withdrawn in case the risk-benefit ratio is no longer favorable. Under these procedures, before granting the MA, the EMA or the competent authorities of the member states make an assessment of the risk-benefit balance of the product on the basis of scientific criteria concerning its quality, safety, and efficacy. Except conditional MAs, MAs have an initial duration of five years. After these five years, the authorization may be renewed on the basis of a reevaluation of the risk-benefit balance.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Regulatory exclusivity</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EU,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 from referencing the innovator’s data to assess a generic (abbreviated) application for a period of eight years. This also applies to biosimilars.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In addition, if a pediatric investigation plan is accepted, then a further year of market exclusivity might be obtained (or in the alternative a patent extension (SPC) of a further 6 months). For orphan medicinal products, the periods are separate and different in that there is a total of 10-year data exclusivity and if they have a PIP, there is a further two-year extension to that 10-year period. Even if a compound is considered to be a new chemical or biological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7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this context, it should be noted that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in April 2023 and includes, among other things, provisions that would potentially reduce the duration of regulatory data protection. The European Parliament requested several amendments in April 2024.</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4, 2025, after almost two years of negotiations among the EU Member States, the Council of the European Union adopted its position on the proposed overhaul of the EU general pharmaceutical legislative framework, which is known as the new Pharma Package. Thereafter, on December 11, 2025, the European Parliament and the Council reached a provisional political agreement on the legislation which is expected to be adopted by mid-2026. Key changes include updating regulatory data exclusivity to a new system with eight years of data exclusivity and reduced market exclusivity period to one year, which can be extended if specific conditions are fulfilled, adding launch/supply obligations, incentivizing antibiotic innovation with transferable vouchers, and streamlining approval procedures in the EU. There will likely be a transition period of 24 months, with these changes taking effect in mid-2028.</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purity and potency,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EU has a Priority Medicines, or PRIME, scheme that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Prior to obtaining a marketing authorization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provided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sponsor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a sponsor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extensions in the EU and other jurisdictions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EU also provides for patent term extension through SPCs. The rules and requirements for obtaining an SPC are similar to those in the United States. An SPC may extend the term of a patent for up to five years after its originally scheduled expiration date and can provide up to a maximum of fifteen years of marketing exclusivity for a drug. In certain circumstances, these periods may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EU Member States to restrict the range of products for which their national health insurance systems provide reimbursement and to control the prices of medicinal products for human use.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subject to the EU’s General Data Protection Regulation, or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are ongoing concerns about the ability of companies to transfer personal data from the EU to other countries. In July 2020, the Court of Justice of the European Union, or the CJEU, invalidated the EU-U.S. Privacy Shield framework, or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has led to increased scrutiny on data transfers from the EU to the U.S. generally and increase our costs of compliance with data privacy legislation as well as our costs of negotiating appropriate privacy and security agreements with our vendors and business partners.</w:t>
      </w:r>
    </w:p>
    <w:p>
      <w:pPr>
        <w:spacing w:after="0" w:line="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Following the CJEU decision, in October 2022, President Biden signed an executive order to implement the EU-U.S. Data Privacy Framework, or DPF, which would serve as a replacement to the EU-U.S. Privacy Shield. The European Commission initiated the process to adopt an adequacy decision for the DPF in December 2022, and has now adopted an adequacy decision to permit data transfers from the EU to the United States going forward. This development permits data transfers at this point under this framework and more broadly has made international data transfers more straightforward, but these provisions are being challenged in court. There is currently one pending litigation against the DPF before the Court of Justice of the European Union (CJEU), C-703/25 P – </w:t>
      </w:r>
      <w:r>
        <w:rPr>
          <w:rFonts w:ascii="Times New Roman" w:cs="Times New Roman" w:eastAsia="Times New Roman" w:hAnsi="Times New Roman"/>
          <w:sz w:val="18"/>
          <w:szCs w:val="18"/>
          <w:i w:val="1"/>
          <w:iCs w:val="1"/>
          <w:color w:val="auto"/>
        </w:rPr>
        <w:t>Latombe v Commission</w:t>
      </w:r>
      <w:r>
        <w:rPr>
          <w:rFonts w:ascii="Times New Roman" w:cs="Times New Roman" w:eastAsia="Times New Roman" w:hAnsi="Times New Roman"/>
          <w:sz w:val="18"/>
          <w:szCs w:val="18"/>
          <w:color w:val="auto"/>
        </w:rPr>
        <w:t>. The recent election in the United States and the new administration may also impact whether the DPF remains an adequate data transfer framework. The continuing uncertainty around this issue may further impact our business operations in the EU.</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June 23, 2016, the electorate in the U.K. voted in favor of leaving the EU, commonly referred to as Brexit. As with other issues related to Brexit, there are open questions about how personal data will be protected in the U.K. and whether personal information can transfer from the EU to the U.K. Following the withdrawal of the U.K. from the EU, the U.K. Data Protection Act of 2018 applies to the processing of personal data that takes place in the U.K. and includes parallel obligations to those set forth by the GDPR. While the Data Protection Act of 2018 in the U.K. that “implements” and complements the GDPR has achieved Royal Assent on May 23, 2018 and is now effective in the U.K., it is unclear whether transfer of data from the EEA to the U.K. will remain lawful under the GDPR.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0" w:name="page41"/>
    <w:bookmarkEnd w:id="40"/>
    <w:p>
      <w:pPr>
        <w:ind w:right="40"/>
        <w:spacing w:after="0" w:line="256" w:lineRule="auto"/>
        <w:rPr>
          <w:sz w:val="20"/>
          <w:szCs w:val="20"/>
          <w:color w:val="auto"/>
        </w:rPr>
      </w:pPr>
      <w:r>
        <w:rPr>
          <w:rFonts w:ascii="Times New Roman" w:cs="Times New Roman" w:eastAsia="Times New Roman" w:hAnsi="Times New Roman"/>
          <w:sz w:val="18"/>
          <w:szCs w:val="18"/>
          <w:color w:val="auto"/>
        </w:rPr>
        <w:t>The U.K. government has already determined that it considers all European Union 27 and EEA member states to be adequate for the purposes of data protection, ensuring that data flows from the U.K. to the EU/EEA remain unaffected. In addition, a recent decision from the European Commission appears to deem the U.K. as being “essentially adequate” for purposes of data transfer from the EU to the U.K. On December 19, 2025, the European Commission renewed this decision until December 27, 2031. The U.K. and the United States also have agreed on a framework for personal data to be transferred between the U.K. and the United States, called the U.K.-U.S. Data Bridge. The U.K.-U.S. Data Bridge may be challenged in the future. Continuing uncertainty about these data transfers, including the possibility of future changes, may impact our business operations.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Beyond the GDPR, there are privacy and data security laws in a growing number of countries around the world. While many loosely follow the GDPR as a model, other laws contain different or conflicting provisions. These laws will impact our ability to conduct our business activities, including both our clinical trials and any eventual sale and distribution of commercial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U.K.</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Brexit took place on January 31, 2020. The EU and the U.K. reached an agreement on their new partnership in the Trade and Cooperation Agreement, which entered into force on May 1, 2021.</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U.K.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U.K.’s clinical trials regulatory regime, and such amendments will take effect on April 28, 2026. These changes were needed since the current U.K. requirements are based upon the now-repealed EU Clinical Trials Directive (2001/20/EC), which has been replaced by the European Clinical Trials Regulation (Regulation EU No 536/2014). Since the U.K. left the EU prior to the date on which the EU CTR took effect, the U.K. legal framework did not benefit from the same revisions as occurred at the EU level.</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as of January 1, 2024,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the EMA and regulators in the EEA member states for approvals in the EU centralized procedure and mutual recognition procedure, as well as the FDA for product approvals granted in the United States. The RR assessment must have undergone a full and standalone review. RR assessments based on reliance or recognition cannot be used to support an IRP application. A CHMP positive opinion or an MRDC positive end of procedure outcome is an RR authorization for the purposes of IRP.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Sales of our products will depend, in significant part, on the availability of coverage and the adequacy of reimbursement from third-party payors.</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Within the United States, third-party payors include government authorities or government healthcare programs, such as Medicare and Medicaid,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drug product. Third-party payors may limit coverage to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Moreover, a third-party payor’s decision to provide coverage for a drug product does not imply that an adequate reimbursement rate will be approved. Adequate third-party reimbursement may not be available to enable us to maintain net price levels sufficient to realize an appropriate return on our investment in product development.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ind w:right="60"/>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cost-effectiveness of new products and services in addition to their safety, purity and potency. To obtain or maintain coverage and reimbursement for any current or future product,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noted above, the marketability of any product candidates for which we receive regulatory approval for commercial sale may suffer if the government and other third-party payors fail to provide coverage and adequate reimbursement. There is an emphasis on cost containment measures in the United States and we expect the pressure on pharmaceutical pricing will increase.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w:t>
      </w:r>
    </w:p>
    <w:p>
      <w:pPr>
        <w:spacing w:after="0" w:line="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we obtain appropriate approval in the future to market any of our current product candidates in the United States, we may be required to provide discounts or rebates under government healthcare programs or to certain 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because this is not yet the subject of harmonized EU law. Many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and others with “peg” their pricing to a basket of other countries. EU member states may approve a specific price for a product, or it may instead adopt a system of direct or indirect controls on the profitability of the company placing the product on the market. Some member states, in addition to controlling pricing will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law and regulation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healthcare providers and patient privacy laws and regulations and other healthcare laws and regulations that may constrain our business and/or financial arrangements. Restrictions under applicable federal and state healthcare laws and regulations, including certain laws and regulations applicable only if we have marketed products, include the following:</w:t>
      </w:r>
    </w:p>
    <w:p>
      <w:pPr>
        <w:spacing w:after="0" w:line="75" w:lineRule="exact"/>
        <w:rPr>
          <w:sz w:val="20"/>
          <w:szCs w:val="20"/>
          <w:color w:val="auto"/>
        </w:rPr>
      </w:pPr>
    </w:p>
    <w:p>
      <w:pPr>
        <w:ind w:left="1020" w:right="1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6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soliciting, receiving or providing remuneration, directly or indirectly, to induce either the referral of an individual for the purchasing or ordering of a good or service, for which payment may be made under federal healthcare programs such as Medicare and Medicaid;</w:t>
      </w:r>
    </w:p>
    <w:p>
      <w:pPr>
        <w:spacing w:after="0" w:line="6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20" w:right="10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which requires pharmaceutical and medical device companies to monitor and report certain financial interactions with certain healthcare providers and teaching hospitals to the Center for Medicare &amp; Medicaid Services within HHS for re-disclosure to the public, as well as ownership and investment interests held by physicians and their immediate family members;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6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and other reform</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2010, the United States Congress enacted the Patient Protection and Affordable Care Act, as amended by the Health Care and Education Reconciliation Act of 2010, or collectively the PPACA, which, among other things, includes changes to the coverage and payment for drug products under government healthcare programs.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current legislation the actual reduction in Medicare payments will vary from 1% in 2022 to up to 3% in the final fiscal year of this sequester. The Consolidated Appropriations Act, which was signed into law by President Biden in December 2022, made several changes to sequestration of the Medicare program. Section 1001 of the Consolidated Appropriations Act delays the 4% Statutory Pay-As-You-Go Act of 2010, or PAYGO,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2032 and lowers the payment reduction percentages in fiscal 2030 and 2031.</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43" w:name="page44"/>
    <w:bookmarkEnd w:id="43"/>
    <w:p>
      <w:pPr>
        <w:jc w:val="both"/>
        <w:ind w:right="160" w:firstLine="45"/>
        <w:spacing w:after="0" w:line="261"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Since enactment of the PPACA,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On June 17, 2021, the U.S. Supreme Court dismissed the most recent judicial challenge to the PPACA brought by several states without specifically ruling on the constitutionality of the PPACA. Litigation and legislation over the PPACA are likely to continue, with unpredictable and uncertain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products from Canada. On January 5, 2023,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 On May 21, 2025, the FDA announced that it would offer individual states the opportunity to submit a draft proposal for pre-review and meet with the FDA to obtain initial feedback from FDA prior to formally submitting their section 804 importation program (SIP) proposal. The intent of these meetings is to assist states in developing their proposals by further clarifying requirements, enhancing the quality of proposals submitted to the FDA and ultimately shortening the review timeline.</w:t>
      </w:r>
    </w:p>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IRA, further delayed implementation of this rule to January 1, 2032.</w:t>
      </w:r>
    </w:p>
    <w:p>
      <w:pPr>
        <w:spacing w:after="0" w:line="7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Drugs and biologics that have been approved for a single rare disease or condition were originally categorically excluded from price negotiation. With passage of the One Big Beautiful Bill Act, or OBBBA, on July 3, 2025, which was signed into law on July 4, 2025, Congress extended this exemption to drugs and biologics with multiple orphan drug designations.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right="60"/>
        <w:spacing w:after="0" w:line="254"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became effective January 1, 2026. On January 17, 2025, CMS announced its selection of 15 additional drugs covered by Part D for the second cycle of negotiations by February 1, 2025. While there had been some questions about the Trump Administration’s position on this program, CMS issued a public statement on January 29, 2025, declaring that lowering the cost of prescription drugs is a top priority of the new 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Pharmaceutical Research and Manufacturers of America, Novo Nordisk, Inc., Janssen Pharmaceuticals, Inc., Novartis AG, AstraZeneca plc and Boehringer Ingelheim International GMBH, also filed lawsuits in various courts with similar constitutional claims against HHS and CMS. HHS has generally won the substantive disputes in these cases or succeeded in getting claims dismissed for lack of standing. Most of these cases are now on appeal. On October 30, 2024, the U.S. Court of Appeals for the Third Circuit heard oral arguments in three of these cases. In April 2025, the U.S. Court of Appeals for the Second Circuit and the U.S. Court of Appeals for the Third Circuit heard arguments in an additional three cases. On May 8, 2025, the U.S. Court of Appeals for the Third Circuit rejected AstraZeneca L.P.’s challenge to the Medicare price negotiation program, finding that the program did not violate the company’s due process rights under the Constitution since there is no protected property interest in selling goods to Medicare beneficiaries at a price higher than what the government is willing to pay in reimbursement. Litigation involving these and other provisions of the IRA will continue with unpredictable and uncertain results.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Trump Administration has taken a number of actions to reduce the costs of pharmaceutical products. For example, on April 15, 2025, President Trump issued an Executive Order which directs HHS to take steps to reduce the prices of pharmaceutical products. Such measures include streamlining the state drug importation program and modifying provisions of the 340B program. Further, on May 12, 2025, President Trump issued an additional Executive Order calling on pharmaceutical manufacturers to voluntarily reduce the prices of medicines in the United States. The order provides that if such actions do not lower the costs of pharmaceuticals, the Secretary of HHS will pursue other actions, including proposing a rulemaking that imposes most-favored-nation, or MFN, pricing in the United States. Thereafter,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Since that time, virtually all of these pharmaceutical companies have entered into agreements with the Trump Administration to provide for lower prices on certain pharmaceuticals.</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drugs, has become intense. As a result, increasingly high barriers are being erected to the entry of new products. Political, economic and</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right="360"/>
        <w:spacing w:after="0" w:line="261" w:lineRule="auto"/>
        <w:rPr>
          <w:sz w:val="20"/>
          <w:szCs w:val="20"/>
          <w:color w:val="auto"/>
        </w:rPr>
      </w:pPr>
      <w:r>
        <w:rPr>
          <w:rFonts w:ascii="Times New Roman" w:cs="Times New Roman" w:eastAsia="Times New Roman" w:hAnsi="Times New Roman"/>
          <w:sz w:val="18"/>
          <w:szCs w:val="18"/>
          <w:color w:val="auto"/>
        </w:rPr>
        <w:t>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31, 2025, we had 511 team members employed with us full-time, of which 118 had a M.D. or Ph.D. degree. Of these team members, 399 were engaged in research and development activities and 112 were in general and administrative roles. None of our team members are represented by a labor union or covered by a collective bargaining agreement. The human capital measures and objectives we focus on in managing our business are our employee retention rate and our internal engagement survey participation rate. We seek to maintain an annual retention rate of greater than 85% and a survey participation rate of greater than 90%.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website address is www.beamtx.com, and our investor relations website is located at investors.beamtx.com.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one or more of the following: SEC filings, press releases and our corporate website, including without limitation the “Investors &amp; Media” section of our website. We use these channels, as well as social media channels such as X and LinkedIn, in order to achieve broad, non-exclusionary distribution of information to the public and for complying with our disclosure obligations under Regulation FD. It is possible that the information we post on our corporate website or other social media could be deemed to be material information. Therefore, we encourage investors, the media, and others interested in our company to review the information we post on the “Investor Center” section of our corporate website and on our social media channels. The contents of our corporate website and social media channels are not, however, a part of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together with all of the other information contained in this Annual Report on Form 10-K, including our consolidated financial statements and related notes appearing at the end of this Annual Report on Form 10-K, in evaluating our company. If any of the events or developments described below were to occur, our business, prospects, operating results and financial condition could suffer materially, and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for the foreseeable future and may never achieve or maintain profitability.</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$80.0 million, $376.7 million and $132.5 million for the years ended December 31, 2025, 2024 and 2023, respectively. As of December 31, 2025, we had an accumulated deficit of $1.6 billion. We have financed our operations primarily through private placements of our preferred stock, proceeds from sales of our common stock, collaboration revenue and our credit facility with Sixth Street Lending Partners. We have devoted substantially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79"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programs and our preclinical development of other product candidates from our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and clinical trials for any other product candidates we identify and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6" w:name="page47"/>
    <w:bookmarkEnd w:id="46"/>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medicines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medicines, and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not completed any pivotal clinical trials of any product candidates and do not, and may never, have a product candidate approved for commercialization. To become and remain profitable, we must develop and, either directly or through collaborators, eventually commercialize a medicine or medicines with significant market potential. This will require us to be successful in a range of challenging activities, including identifying product candidates, completing preclinical studies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Because of the numerous risks and uncertainties associated with developing base editing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47" w:name="page48"/>
    <w:bookmarkEnd w:id="47"/>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our operating expenses to increase as we continue research and development activities, expand clinical trials,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Accordingly, we will need to obtain substantial additional funding in connection with our continuing operations. We have in the past delayed, reduced and eliminated certain research and product development programs to decrease operating expenses. If in the future we are unable to raise capital when needed or on attractive terms, we may again be forced to delay, reduce, or eliminate programs or curtail commercialization efforts.</w:t>
      </w:r>
    </w:p>
    <w:p>
      <w:pPr>
        <w:spacing w:after="0" w:line="8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At December 31, 2025, our cash, cash equivalents, and marketable securities were $1.2 billion. We believe that our existing cash, cash equivalents, and marketable securities will enable us to fund our operating expenses and capital expenditure requirements for at least the next 12 months. However, our operating plan may change as a result of factors currently unknown to us, and we may need to seek additional funding sooner than planned. Our future capital requirements will depend on many factors, including:</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licenses for the delivery modalities that will be used with our product candidates;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may develop;</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for and undertaking future activities, including product sales, medical affairs, marketing, manufacturing, distribution, coverage and reimbursement for any product candidates for which we receive regulatory approval to commercialize;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agreements and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license agreements and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additional license agreements or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success liabilities to Harvard and Broad Institute, should we choose to pay in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contingent liabilities require cash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expanding our manufacturing capacity;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 sales, marketing, and distribution infrastructure to commercialize any product candidates for which we may obtain marketing approval.</w:t>
      </w:r>
    </w:p>
    <w:p>
      <w:pPr>
        <w:spacing w:after="0" w:line="5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product candidates are approved, we may not achieve commercial success. Our commercial revenues, if any, will be derived from sales of medicines that we do not expect to be commercially available for years, if ever. Accordingly, we will need to continue to rely on additional financing to achieve our business objectives. Adequate additional financing may not be available to us on acceptable terms, or at all.</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additional fundraising efforts may divert the attention of our management from their day-to-day activities, which may adversely affect our ability to develop and, if approved, commercialize our product candidates. We cannot be certain that additional funding will be available to us on acceptable terms, or at all. Other than our credit facility with Sixth Street Lending Partners, we have no committed source of additional capital and, if we are unable to raise additional capital in sufficient amounts or on terms acceptable to us on a timely basis, we may have to significantly delay, scale back or discontinue the development or, if approved, commercialization of our product candidates or other research and development initiatives. For example, in October 2023, we announced a portfolio reprioritization and strategic restructuring, including cost-reduction initiatives which resulted in the pausing or elimination of certain pipeline programs.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48" w:name="page49"/>
    <w:bookmarkEnd w:id="48"/>
    <w:p>
      <w:pPr>
        <w:ind w:right="100"/>
        <w:spacing w:after="0" w:line="261" w:lineRule="auto"/>
        <w:rPr>
          <w:sz w:val="20"/>
          <w:szCs w:val="20"/>
          <w:color w:val="auto"/>
        </w:rPr>
      </w:pPr>
      <w:r>
        <w:rPr>
          <w:rFonts w:ascii="Times New Roman" w:cs="Times New Roman" w:eastAsia="Times New Roman" w:hAnsi="Times New Roman"/>
          <w:sz w:val="18"/>
          <w:szCs w:val="18"/>
          <w:color w:val="auto"/>
        </w:rPr>
        <w:t>Our current and any future license agreements and collaboration agreements may also be terminated if we are unable to meet the payment or other obligations under the agreements.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also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Other than our credit facility with Sixth Street Lending Partners, we do not have any committed external source of capital. To the extent that we raise additional capital through the sale of equity or convertible debt securities, your ownership interest will be diluted. The terms of these securities may include liquidation or other preferences that adversely affect your rights as a common stockholder. Our financing agreement with Sixth Street Lending Partners includes covenants limiting or restricting our ability to take specific actions, such as incurring additional debt, making capital expenditures, declaring dividends, and other restrictions, and future debt financings may contain similar restrictions.</w:t>
      </w:r>
    </w:p>
    <w:p>
      <w:pPr>
        <w:spacing w:after="0" w:line="8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we may develop,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In addition, we have and may in the future enter collaboration and acquisition agreements, pursuant to which we are required to issue additional shares of our common stock in connection with future milestone payment obligations. These and other future issuances to our partners and collaborators may cause substantial dilution to our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you to evaluate the success of our business to date and to assess our future viability.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an early-stage company. We were founded in January 2017 and began operations in July 2017. Our operations to date have been limited to organizing and staffing our company, business planning, raising capital, acquiring and developing our platform and technology, identifying potential product candidates, undertaking preclinical studies, operating clinical trials and preparing for the potential commercial launch of product candidates. Many of our product development programs are still in the early clinical, preclinical or research stage of development, and their risk of failure is high. We have not yet demonstrated an ability to successfully complete any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you make about our future success or viability may not be as accurate as they could be if we had a longer operating history.</w:t>
      </w:r>
    </w:p>
    <w:p>
      <w:pPr>
        <w:spacing w:after="0" w:line="8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limited operating history, particularly in light of the rapidly evolving base editing and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early-stage companies in rapidly evolving fields. If we do not address these risks successfully, our business will suffer.</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other unforeseen expenses, difficulties, complications, delays, and other known and unknown factors. We are currently transitioning from a company with a research focus to a company capable of supporting commercial activities. We may not be successful in such a transition.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become profitable.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9" w:name="page50"/>
    <w:bookmarkEnd w:id="49"/>
    <w:p>
      <w:pPr>
        <w:ind w:left="1020" w:right="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 and complete research and preclinical and clinical development of the product candidates we or our collaborators may identify;</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and marketing approvals for any of our product candidates for which we or our collaborators successfully complete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adequate coverage and reimbursement by government and third-party payors for our product candidates for which we or our collaborators obtain regulatory and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or our collaborators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that can provide adequate, in both amount and quality, products, and services to support clinical development and the market demand for our product candidates for which we or our collaborators obtain regulatory and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 acceptance of any product candidates we or our collaborators may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internal systems and infrastructure, as needed;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 and performing our obligations in such collaborations, licensing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defend, and expand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and defend against third-party interference, infringement, and other intellectual property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Even if one or more of the product candidates we or our collaborators may develop are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ability to utilize our net operating loss carryforwards and certain other tax attributes may be limited.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we may never achieve profitability. To the extent that we continue to generate taxable losses, any unused U.S. federal losses generated after 2017 will carry forward indefinitely to offset future taxable income; any U.S. federal taxable losses generated prior to 2018 will carry forward for 20 tax years from the year of generation. Additionally, we continue to generate business tax credits, including U.S. federal research and development tax credits, which generally may be carried forward 20 tax years from the year of generation to offset a portion of our future tax liability, if any. Additionally, Sections 382 and 383 of the Internal Revenue Code of 1986, as amended, limit a corporation’s ability to utilize tax attributes to the extent the corporation experiences an “ownership change,” generally defined as a greater than 50 percentage point change in ownership, measured by value, among 5% or greater shareholders over a rolling three-year testing period. To the extent a corporation experiences an ownership change, utilization of pre-ownership change tax attributes (e.g., net operating losses and general business tax credits) to offset post-ownership change taxable income or taxes, is subject to an annual limitation, generally calculated as the pre-ownership change equity value of the corporation, subject to certain prescribed adjustments, multiplied by the long-term tax exempt rate published monthly by the Internal Revenue Service. We completed a Section 382 study as of December 31, 2024, and determined that no historical ownership changes occurred since December 2021. However, we may have experienced ownership changes since December 31, 2024 and may experience additional ownership changes in the future as a result of shifts in our stock ownership, some of which are outside of our control. As a result, if we earn net taxable income, our ability to use our pre-ownership change net operating losses or other tax attributes to offset U.S. federal taxable income or taxes may be subject to limitations, which could potentially result in increased future tax liability to us. There may also be limitations on our ability to use net operating losses and business tax credits at the state level. Additional limitations on our ability to utilize our net operating losses and other tax attributes to offset future taxable income or taxes may arise as a result of our corporate structure, whereby net operating losses or other tax attributes generated by certain of our subsidiaries or controlled entities may not be available to offset taxable income or taxes of other subsidiaries or controlled entities.</w:t>
      </w:r>
    </w:p>
    <w:p>
      <w:pPr>
        <w:spacing w:after="0" w:line="84"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There is also a risk that due to regulatory changes or other unforeseen reasons, our existing net operating losses or business tax credits could expire or otherwise become unavailable to offset future income tax liabilities. At the state level, there may also be periods during which the use of net operating losses or business tax credits is suspended or otherwise limited, which could accelerate or permanently increase state taxes owed. In addition, state net operating losses generated in one state cannot be used to offset income generated in another state. For these reasons, we may not be able to realize a tax benefit from the use of our net operating losses or tax credits, even if we attain profitability.</w:t>
      </w:r>
    </w:p>
    <w:p>
      <w:pPr>
        <w:spacing w:after="0" w:line="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financing agreement with Sixth Street Lending Partners and our indebtedness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24, 2026, we entered into a financing agreement with Sixth Street Lending Partners as the administrative agent and collateral agent for several lenders, or the Financing Agreement. The Financing Agreement establishes a senior secured term loan facility of $500.0 million, or the Credit Facility, consisting of $100.0 million funded on the closing date; up to $300 million available upon the achievement of certain clinical, regulatory and commercial milestones for risto-cel; and an additional $100 million available at our option, subject to mutual agreement between the parties, during the seven-year term of the Financing Agreement.</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Financing Agreement contains customary representations and warranties and affirmative and negative covenants. For example, it requires us to make certain payments over time and, subject to certain exceptions, restricts our ability to incur additional indebtedness, grant liens, make investments (including acquisitions), effectuate mergers or consolidations, engage in asset sales and licensing transactions, pay dividends, modify material agreements, pay subordinated indebtedness, and undertake other matters customarily restricted in such agreements. Among other requirements of the Financing Agreement, we and our subsidiaries party to the Financing Agreement must maintain certain minimum liquidity requirements if our market capitalization falls below an agreed threshold. We are also subject to restrictions on sales and licensing transactions with respect to our core intellectual property and product assets, including, but not limited to, risto-cel and BEAM-302, subject to certain exceptions. These and other terms in the Financing Agreement could restrict our ability to grow our business or enter into transactions that we believe would be beneficial to our business. Additionally, if we fail to comply with the covenants under the Financing Agreement, it will result in an event of default. Upon the occurrence of an event of default, and subject to any specified cure periods, all amounts owed under the Financing Agreement may be declared immediately due and payable by the lenders, and the lenders may foreclose on the collateral, which could have a material adverse effect on our business, financial condition and results of operations.</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current and potential indebtedness could affect our business in the following ways, among other things: make it more difficult for us to satisfy our contractual and commercial commitments; require us to use a substantial portion of our cash flow subject to mandatory prepayments to pay interest and principal when due,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our competitors that may have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1" w:name="page52"/>
    <w:bookmarkEnd w:id="51"/>
    <w:p>
      <w:pPr>
        <w:ind w:right="240"/>
        <w:spacing w:after="0" w:line="282" w:lineRule="auto"/>
        <w:rPr>
          <w:sz w:val="20"/>
          <w:szCs w:val="20"/>
          <w:color w:val="auto"/>
        </w:rPr>
      </w:pPr>
      <w:r>
        <w:rPr>
          <w:rFonts w:ascii="Times New Roman" w:cs="Times New Roman" w:eastAsia="Times New Roman" w:hAnsi="Times New Roman"/>
          <w:sz w:val="18"/>
          <w:szCs w:val="18"/>
          <w:color w:val="auto"/>
        </w:rPr>
        <w:t>proportionately less debt; limit management’s discretion in operating our business; and limit our flexibility in planning for, or reacting to, changes in our business, the industry in which we operate or the general economy.</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 and support our growth strategies. In addition, our ability to generate sufficient cash flows to meet our debt obligations depends upon several factors, such as the ability of us and our licensees to timely complete clinical trials and obtain marketing approval for our clinical-stage product candidates, to successfully commercialize our clinical-stage product candidates, our receipt of regulatory approval for risto-cel and our other product candidates, and our future performance, which is subject to financial, business, and other impacts on our operations, many of which are beyond our control. If we are unable to generate sufficient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Base editing is a novel technology that has only recently been clinically validated for human therapeutic use. The approaches we are taking to discover and develop novel therapeutics are early in their development and may never lead to marketable products.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are focused on developing potentially curative medicines utilizing base editing technology. Although there have been significant advances in the field of gene therapy, which typically involves introducing a copy of a gene into a patient’s cell, and gene editing in recent years, including the approval of an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nuclease editing product for treatment of sickle cell disease, base editing technologies are new and early in their development. The technologies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 have licensed and are developing have not yet completed any clinical trials. The scientific evidence to support the feasibility of developing product candidates based on these technologies is both preliminary and limited, and base editing and delivery modalities for it are novel. Successful development of product candidates by us will require solving a number of issues, including safely delivering a therapeutic into target cells within the human body or in an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setting, optimizing the efficiency and specificity of such product candidates, and ensuring the therapeutic selectivity of such product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biological steps are required for delivery of base editing medicines to translate into therapeutically active medicines. These processing steps may differ between individuals and differ based on the targeted tissue. These differences could lead to variable levels of therapeutic protein, variable activity, immunogenicity, or variable distribution to tissues further increasing the risk inherent in the development of base editing medicines. There can be no assurance we will be successful in solving any or all of these issues, or that we will be able to progress our preclinical studies or clinical trials in accordance with anticipated timelines.</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only recently brought therapeutics to the clinic, and our future success is highly dependent on the successful development of base editing technologies, cellular delivery methods and therapeutic applications of that technology. While other gene editing technologies have progressed through clinical trials, they continue to suffer from various limitations, and such limitations may affect our future success. We may decide to alter or abandon our initial programs as new data become available and we gain experience in developing base editing therapeutics. We cannot be sure that our technologies will yield satisfactory products that are safe and effective, scalable or profitable in our initial indications or any other indication we pursue.</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Development activities in the field of base editing are currently subject to a number of risks related to the ownership and use of certain intellectual property rights that are subject to patent interference proceedings in the United States and opposition proceedings in Europe. For additional information regarding the risks that may apply to our and our licensors’ intellectual property rights, see the section entitled “—Risks related to our intellectual property”.</w:t>
      </w:r>
    </w:p>
    <w:p>
      <w:pPr>
        <w:spacing w:after="0" w:line="6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product candidates are still in preclinical or clinical development and we have not, and may never, commercialize a product candidate.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early in our development efforts and our future success depends heavily on the successful development of our base editing product candidates and the results of our clinical trials, none of which have yet been completed. Our ability to generate product revenue will depend heavily on the successful development and, if approved, eventual commercialization of our product candidates, which may never occur. We currently generate no revenue from sales of any product, and we may never be able to develop or commercialize a marketable product.</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our investigational new drug applications, or INDs, and finalizing the trial design based on discussions with the FDA and other regulatory authorities. Similarly, in the European Union, or EU, a CTA must be obtained from each member state’s national competent authority where the study is conducted, and a positive opinion of an independent ethics committee.</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Even after we receive and incorporate guidance from these regulatory authorities, the FDA, European national competent authority, or other regulatory authorities could disagree that we have satisfied their requirements to commence our clinical trial or change their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ind w:right="200"/>
        <w:spacing w:after="0" w:line="282" w:lineRule="auto"/>
        <w:rPr>
          <w:sz w:val="20"/>
          <w:szCs w:val="20"/>
          <w:color w:val="auto"/>
        </w:rPr>
      </w:pPr>
      <w:r>
        <w:rPr>
          <w:rFonts w:ascii="Times New Roman" w:cs="Times New Roman" w:eastAsia="Times New Roman" w:hAnsi="Times New Roman"/>
          <w:sz w:val="18"/>
          <w:szCs w:val="18"/>
          <w:color w:val="auto"/>
        </w:rPr>
        <w:t>position on the acceptability of our data, trial design or the clinical endpoints selected, which may require us to complete additional preclinical studies or clinical trials or impose stricter requirements for approval than we currently expect.</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FDORA, Congress required sponsors to develop and submit a DAP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Thereafter, following litigation, the FDA was directed by a federal district court to restore the draft guidance to the FDA website. When the FDA did so, it stated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BLAs.</w:t>
      </w:r>
    </w:p>
    <w:p>
      <w:pPr>
        <w:spacing w:after="0" w:line="8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in January 2022, the new Clinical Trials Regulation (EU) No 536/2014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clinical trials portal overseen by the European Medicines Agency, or EMA, and available to clinical trial sponsors, competent authorities of the EU Member States and the public.</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Commercialization of our product candidates we may develop will require additional preclinical and clinical development; regulatory and marketing approval in any jurisdictions where our product candidates would be marketed, including by the FDA for the U.S. market and the European Commission upon a positive benefit/risk assessment provided by the EMA in the EEA; obtaining or creating manufacturing supply, capacity and expertise; building of a commercial organization; and significant marketing efforts. The success of product candidates we identify and develop will depend on many factors, including the following:</w:t>
      </w:r>
    </w:p>
    <w:p>
      <w:pPr>
        <w:spacing w:after="0" w:line="75"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IND/CTA-enabling studies, and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clearance of IND applications, CTAs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 in accordance with all applicable current Good Clinical Practice guidelines, or GCPs, current Good Laboratory Practice guidelines adopted by the International Conference on Harmonization of Technical Requirements for Pharmaceuticals for Human Use, or ICH, and other regulatory requirements from foreign regulatory authorities;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and, where required, pricing and reimbursement decisions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for clinical supply and commercial manufacturing and, where applicable, commercial manufacturing capabilities;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internal manufacturing processes and transfer to larger-scale facilities operated by either a contract manufacturing organization, or CMO, or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non-patent exclusivity for our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medicines,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the medicines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and proprietary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supplying the product at a price that is acceptable to the pricing or reimbursement authorities in different countries.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3" w:name="page54"/>
    <w:bookmarkEnd w:id="53"/>
    <w:p>
      <w:pPr>
        <w:spacing w:after="0" w:line="266" w:lineRule="auto"/>
        <w:rPr>
          <w:sz w:val="20"/>
          <w:szCs w:val="20"/>
          <w:color w:val="auto"/>
        </w:rPr>
      </w:pPr>
      <w:r>
        <w:rPr>
          <w:rFonts w:ascii="Times New Roman" w:cs="Times New Roman" w:eastAsia="Times New Roman" w:hAnsi="Times New Roman"/>
          <w:sz w:val="18"/>
          <w:szCs w:val="18"/>
          <w:color w:val="auto"/>
        </w:rPr>
        <w:t>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our product candidates, we may not be able to continue our operations.</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0" w:right="459" w:bottom="1440" w:gutter="0" w:footer="0" w:header="0"/>
        </w:sectPr>
      </w:pPr>
    </w:p>
    <w:bookmarkStart w:id="54" w:name="page55"/>
    <w:bookmarkEnd w:id="54"/>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the product candidates we may develop, or the delivery modalities we rely on to administer them,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not completed pivotal clinical trials of any of our product candidates. Moreover, there have been only a limited number of clinical trials involving the use of base editing technology similar to our technology. We do not yet know whether any product candidates we develop will prove safe in humans. In the genetic medicine field, there have been several significant adverse events from gene therapy treatments in the past, including reported cases of leukemia, serious blood disorders and death. There can be no assurance that base editing technologies, or components of our product candidates or methods of delivery, will not cause undesirable side effects, as improper editing of a patient’s DNA and other effects could lead to lymphoma, leukemia, or other cancers, other serious conditions or syndromes or other aberrantly functioning cells.</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significant risk in any base editing product candidate is that “off-target” edits may occur, which could cause serious adverse events, undesirable side effects or unexpected characteristics. For example, Erwei Zuo et al. reported that cytosine base editors generated substantial off-target edits, that is, edits in unintended locations on the DNA, when tested in mouse embryos. Such unintended edits are referred to as “spurious deamination.” We cannot be certain that off-target editing will not occur in any of our planned or future clinical studies, and the lack of observed side effects in preclinical studies does not guarantee that such side effects will not occur in human clinical studies. We have developed assays that can detect off-target edits, even when such edits occur at very low frequencies. Using these assays, we have observed off-target edits in our base editing product candidates. As the sensitivity of these assays increases, it is possible that we will continue to detect more such off-target edits. While we do not believe that the off-target edits we have observed to date have had a material adverse impact on the safety or benefit of our product candidates, if, in the future, we detect off-target edits for a product candidate that negatively impact safety or efficacy, our ability to develop the product candidate as a therapeutic could be adversely affected.</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is also the potential risk of delayed adverse events following exposure to base editing therapy due to the permanence of edits to DNA or due to other components of product candidates used to carry the genetic material. Further, because base editing makes a permanent change, the therapy cannot be withdrawn, even after a side effect is observed. In addition, Rees et al. and Grunewald et al. have reported that the deaminases we currently use in our C base editors and our A base editors for use in DNA base editing also cause unintended mutations in RNA for as long as the editor is present in the cell.</w:t>
      </w:r>
    </w:p>
    <w:p>
      <w:pPr>
        <w:spacing w:after="0" w:line="7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Although we and others have demonstrated the ability to engineer base editors to improve the specificity of their edits in a laboratory setting, we cannot be sure that our engineering efforts will be effective in any product candidates that we may develop. For example, we might not be able to engineer an editor to make the desired change or a by-stander edit could diminish the effectiveness of an edit that we make.</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certain of our programs, we plan to use LNPs to deliver our base editors. LNPs have been shown to induce oxidative stress in the liver at certain doses, as well as initiate systemic inflammatory responses that can be fatal in some cases. While we aim to continue to optimize our LNPs, there can be no assurance that our LNPs will not have undesired effects. Our LNPs could contribute, in whole or in part, to one or more of the following: immune reactions; infusion reactions; complement reactions; opsonization reactions; antibody reactions including IgA, IgM, IgE or IgG or some combination thereof; or reactions to the polyethylene glycol from some lipids or polyethylene glycol otherwise associated with the LNP. Certain aspects of our investigational medicines may induce immune reactions from either the mRNA or the lipid as well as adverse reactions within liver pathways or degradation of the mRNA or the LNP, any of which could lead to significant adverse events in one or more of our current or future clinical trials. Many of these types of side effects have been seen for legacy LNPs. There may be uncertainty as to the underlying cause of any such adverse event, which would make it difficult to accurately predict side effects in future clinical trials and would result in significant delays in our programs.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addition to side effects and adverse events caused by our product candidates, the conditioning administration process or related procedures used in risto-cel and potentially other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product candidates also can cause adverse side effects and adverse events. For example, a patient in our BEACON trial for the treatment of sickle cell disease died due to respiratory failure four months after busulfan conditioning and infusion with risto-cel. While the investigator determined that the patient’s death was likely related to busulfan conditioning and deemed the event unrelated to risto-cel, we cannot be certain of these conclusions, nor that other patients will not experience adverse events from the trial’s conditioning regimen or otherwise. If in the future we are unable to demonstrate that such adverse events were not caused by the conditioning regimens used, or administration process or related procedure, the FDA, the European Commission, EMA or other regulatory authorities could order us to cease further development of, or deny or limit approval of, our product candidates using such regimens, processes or procedures for any or all target indications. Even if we are able to demonstrate that adverse events are not related to the product candidate or the administration of such product candidate, such occurrences could affect patient recruitment, the ability of enrolled patients to complete the clinical trial, or the commercial viability of any product candidates that obtain regulatory approval.</w:t>
      </w:r>
    </w:p>
    <w:p>
      <w:pPr>
        <w:spacing w:after="0" w:line="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any product candidates we develop are associated with serious adverse events, undesirable side effects, or unexpected characteristics, we may need to abandon their development or limit development to certain uses or subpopulations in which the serious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5" w:name="page56"/>
    <w:bookmarkEnd w:id="55"/>
    <w:p>
      <w:pPr>
        <w:ind w:right="40"/>
        <w:spacing w:after="0" w:line="261" w:lineRule="auto"/>
        <w:rPr>
          <w:sz w:val="20"/>
          <w:szCs w:val="20"/>
          <w:color w:val="auto"/>
        </w:rPr>
      </w:pPr>
      <w:r>
        <w:rPr>
          <w:rFonts w:ascii="Times New Roman" w:cs="Times New Roman" w:eastAsia="Times New Roman" w:hAnsi="Times New Roman"/>
          <w:sz w:val="18"/>
          <w:szCs w:val="18"/>
          <w:color w:val="auto"/>
        </w:rPr>
        <w:t>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in the future we are unable to demonstrate that any of the above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8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If we successfully develop a product candidate and it receives marketing approval, we are required to present a comprehensive, concise, and critical analysis of new or emerging information on the risks of the approved product and on its benefit in approved indications, to enable an appraisal of benefit-risk profile in a Periodic Benefit Risk Evaluation Report, or PBRER, according to an internationally harmonized standard. Additionally, the FDA or a comparable regulatory authority such as the EMA could require us to adopt a Risk Evaluation and Mitigation Strategy, or REMS, or similar requirement such as Risk Management Plan, or RMP,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FDA, EMA, or other comparable regulatory authorities may require specific post-approval trials to be carried out to further characterize the clinical efficacy and/or safety of the product candidate. Furthermore, if we or others later identify undesirable side effects caused by any product candidate that we develop, several potentially significant negative consequences could result, including:</w:t>
      </w:r>
    </w:p>
    <w:p>
      <w:pPr>
        <w:spacing w:after="0" w:line="8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the approved use of such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any product candidates we may identify and develop and could have a material adverse effect on our business, financial condition, and results of operations.</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recently begun testing our proposed delivery modalities and product candidates in clinical trials and any favorable preclinical results, or initial clinical results, are not necessarily predictive of results that may be observed in later clinical trials.</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There is a high failure rate for drugs and biologics proceeding through clinical trials. Even if initial clinical trials in any of our product candidates are successful, these product candidates may fail to show the desired safety, purity and potency in later stages of clinical development despite having successfully advanced through preclinical studies and initial clinical trials. Data obtained from preclinical and clinical activities are also subject to varying interpretations, and the FDA, EMA, or other regulatory authorities may disagree with our interpretations, which may delay, limit, or prevent regulatory approval. In addition, regulatory delays or rejections may be encountered as a result of many factors, including changes in regulatory policy during the period of product development.</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such adverse events may cause us to delay, limit, or terminate ongoing or planned clinical trials, any of which would have a material adverse effect on our business, financial condition, results of operations, and prospects.</w:t>
      </w:r>
    </w:p>
    <w:p>
      <w:pPr>
        <w:spacing w:after="0" w:line="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or treatment of patients in clinical trials, our receipt of necessary regulatory approvals could be delayed or prevented.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for any product candidates we identify or develop if we are unable to locate, enroll, and treat a sufficient number of eligible patients in these trials as required by the FDA, the EMA or other analogous regulatory authorities outside the United States, or as needed to provide appropriate statistical power for a given trial. Enrollment may be particularly challenging for some of the rare genetically defined diseases we are targeting in our most advanced programs, as well as for some of our product candidates for pediatric populations, due to a number of factors, including small patient populations as well as screening and testing requirements that limit patient eligibility. In addition, if patients are unwilling to participate in our base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obtaining regulatory approval of any product candidates we may develop</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6" w:name="page57"/>
    <w:bookmarkEnd w:id="56"/>
    <w:p>
      <w:pPr>
        <w:ind w:right="20"/>
        <w:spacing w:after="0" w:line="261" w:lineRule="auto"/>
        <w:rPr>
          <w:sz w:val="20"/>
          <w:szCs w:val="20"/>
          <w:color w:val="auto"/>
        </w:rPr>
      </w:pPr>
      <w:r>
        <w:rPr>
          <w:rFonts w:ascii="Times New Roman" w:cs="Times New Roman" w:eastAsia="Times New Roman" w:hAnsi="Times New Roman"/>
          <w:sz w:val="18"/>
          <w:szCs w:val="18"/>
          <w:color w:val="auto"/>
        </w:rPr>
        <w:t>may be delayed. Moreover, some of our competitors currently and may in the future have ongoing clinical trials for product candidates that treat the same indications as product candidates we are developing and may develop in the future, and patients who would otherwise be eligible for our clinical trials may instead enroll in clinical trials of our competitors’ product candidates. Treatment of enrolled patients may also be delayed or prevented due to a number of factors, including the complexity of our trials.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patient enrollment is also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informed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23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base editing as a therapeutic approach;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especially for those conditions which have small patient pools.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ability to successfully initiate, enroll, and complete a clinical trial in any foreign country is subject to numerous risks unique to conducting business in foreign countries, including:</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contract research organizations, or CROs, and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standard-of-care for patients with a particular disease;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locating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burden of complying with a variety of foreign laws, medical standards, and regulatory requirements, including the regulation of pharmaceutical and biotechnology products and treatment and of gene editing technologies.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Enrollment or treatment delays in our clinical trials may result in increased development costs for any product candidates we may develop, which would cause the value of our company to decline and limit our ability to obtain additional financing. If we or our collaborators have difficulty enrolling or treating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6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any product candidates we identify and develop fail to demonstrate safety, purity and potency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candidates we identify and develop, we must complete preclinical development and then conduct extensive clinical trials to demonstrate their safety, purity and potency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and our collaborators may experience numerous unforeseen events during, or as a result of, clinical trials that could delay or prevent our ability to receive marketing approval or commercialize any product candidates we identify and develop, including:</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regulators on trial design and endpoints;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independent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clinical trial contracts or clinical trial protocols with prospective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selecting endpoints for diseases that have not been well-studied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any product candidates we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require that we or our investigators suspend or terminate clinical research or clinical trials of any product candidates we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product candidates we may develop may be greater than we anticipate;</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any product candidates we may develop or other materials necessary to conduct clinical trials of any product candidates we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cancellations of clinical trials as a result of efforts by the Trump Administration to reduce research funding by the NIH of medical research;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any product candidates we may develop that are viewed to outweigh their potential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the operations of the FDA, EMA or other relevant regulatory authority;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otherwise complying with additional requirements.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or our collaborators are required to conduct additional clinical trials or other testing of any product candidates we develop beyond those that we currently contemplate, if we or our collaborators are unable to successfully complete clinical trials or other testing of any product candidates we develop, or if the results of these trials or tests are not positive or are only modestly positive or if there are safety concerns, we or our collaborators may: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any such product candidates we may develop or 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REMS or through modification to an existing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Because we have limited financial, scientific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in October 2023, we implemented a strategic restructuring to prioritize development of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sickle cell disease programs, as well as our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base editor BEAM-302. While we may identify new collaboration partners who can progress some of these programs, we may not be successful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doing so in a timely manner, on acceptable terms or at all. We may otherwise fail to raise sufficient additional capital in order to progress these programs ourselves or we may determine, for internal resource allocation purposes or for other reasons, to abandon development of these programs. As a result, we could miss valuable opportunities to capitalize on the potential of the programs. We may also allocate internal resources to a product candidate in a therapeutic area in which it would have been more advantageous to enter into a collaboration or that does not prove to have viable commercial opportunities. Any failure to use our financial and human resources efficiently could harm our business and operations.</w:t>
      </w:r>
    </w:p>
    <w:p>
      <w:pPr>
        <w:spacing w:after="0" w:line="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at sites outside the United States. The FDA may not accept data from trials conducted in such locations, and the conduct of trials outside the United States could subject us to additional delays and expense.</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conducting clinical trials with one or more trial sites that are located outside the United States. The acceptance by the FDA or other regulatory authorities of trial data from clinical trials conducted outside their jurisdiction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59" w:name="page60"/>
    <w:bookmarkEnd w:id="59"/>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clinical trials outside the U.S.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trials resulting from geopolitical events, such as war or terrorism.</w:t>
      </w:r>
    </w:p>
    <w:p>
      <w:pPr>
        <w:spacing w:after="0" w:line="113"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 product candidate we develop in the United States or any other jurisdiction, and any such approval may be for a narrower indication than we seek.</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any product candidates we may develop meet their safety, purity and potency endpoints in clinical trials, the regulatory authorities may not complete their review processes in a timely manner, or we may not be able to obtain regulatory approval. Additional delays may result if an FDA Advisory Committee, EMA’s Committee for Medicinal Products for Human Use, or CHMP,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7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or a REMS or an RMP.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Marketing approval by the FDA in the United States, or by the EMA in the EEA,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8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commercial success of any of our product candidates we may develop will depend upon its degree of market acceptance by physicians, patients, third-party payors, and others in the medical community. Ethical, social, and legal concerns about genetic medicines generally and base editing technologies specifically could result in additional regulations restricting or prohibiting the marketing of our product candidates we may develop.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7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ind w:left="1020" w:right="4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to our targeted patient population and limitations or warnings contained in approved labeling by the FDA, EMA, or other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medicines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the EMA, or other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attitudes regarding genetic medicine generally and gene editing and base editing technologies specifically;</w:t>
      </w:r>
    </w:p>
    <w:p>
      <w:pPr>
        <w:spacing w:after="0" w:line="11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novel therapies and of physicians to prescribe these therapies, as well as their willingness to accept a therapeutic intervention that involves the editing of the patient’s gene;</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European Commission, the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Even if any of our product candidates we may develop are approved, such products may not achieve an adequate level of acceptance, we may not generate significant product revenues, and we may not become profitable.</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early in our commercial readiness activities, do not yet have a sales or marketing infrastructure and do not have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we develop if and when they are approved.</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we may develop on our own include:</w:t>
      </w:r>
    </w:p>
    <w:p>
      <w:pPr>
        <w:spacing w:after="0" w:line="117" w:lineRule="exact"/>
        <w:rPr>
          <w:sz w:val="20"/>
          <w:szCs w:val="20"/>
          <w:color w:val="auto"/>
        </w:rPr>
      </w:pPr>
    </w:p>
    <w:p>
      <w:pPr>
        <w:ind w:left="1020" w:right="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medicines;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 candidates we may develop to segments of the patient population;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1" w:name="page62"/>
    <w:bookmarkEnd w:id="61"/>
    <w:p>
      <w:pPr>
        <w:ind w:right="20"/>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we may develop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 we may develop.</w:t>
      </w:r>
    </w:p>
    <w:p>
      <w:pPr>
        <w:spacing w:after="0" w:line="7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6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base editing and delivery technology fields are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There are several other companies utilizing base editing technology, including Life Edit (an ElevateBio company), Metagenomi, Revvity, Aurora Therapeutics, Mammoth Biosciences, YolTech Therapeutics, HuidaGene Therapeutics and Intellia Therapeutics. In addition, we face competition from companies utilizing other gene editing modalities and various other genetic medicines. Within the disease areas that we focus on, we are also aware of competing companies that have approved therapies, those with therapies in development, and others that may emerge in the future. For sickle cell disease, these companies include CRISPR Therapeutics, Vertex Pharmaceuticals, Editas Medicine, Genetix Biotherapeutics (formerly bluebird bio), YolTech Therapeutics, Novartis Pharmaceuticals, Kamau Therapeutics, Fulcrum Therapeutics, Tessera Therapeutics, Cimeio Therapeutics and Agios Pharmaceuticals. For our AATD targeted therapies, these include Wave Life Sciences, YolTech Therapeutics, Prime Medicine, CRISPR Therapeutics, Moderna, Korro Bio, Tessera Therapeutics and Arrowhead Pharmaceuticals.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we may develop. This may include other types of therapies, such as small molecule, antibody, and/or protein therapies.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EMA,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candidates that we may develop and commercialize.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public perception of genetic medicines, and gene editing and base editing in particular, may negatively impact regulatory approval of, and/or demand for, our potential products.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Public attitudes may be influenced by claims that gene editing is unsafe, unethical, or immoral, and, consequently, our product candidates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gene editing technology is subject to public debate and heightened regulatory scrutiny due to ethical concerns relating to the application of gene editing technology to human embryos or the human germline.</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Although we do not use our technologies to edit human embryos or the human germline, such public debate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 candidates we may develop. Adverse events in our preclinical studies or clinical trials or those of our competitors or of academic researchers utilizing gene editing technologies, even if not ultimately attributable to product candidates we may identify and develop, and the gene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gene editing technology by a third party or government to develop biological agents or products that threaten U.S. national security could similarly result in such negative impacts to us.</w:t>
      </w:r>
    </w:p>
    <w:p>
      <w:pPr>
        <w:spacing w:after="0" w:line="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or might even prevent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we may develop, even if any product candidates we may develop obtain marketing approval.</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medicines successfully also will depend in part on the extent to which reimbursement for these medicines and related treatments will be available from government authorities or healthcare programs, private health plans, and other organizations. Government authorities and third-party payors, such as private health plans,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For example, the Inflation Reduction Act of 2022, or IRA, includes several provisions that may impact our business, including provisions that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We cannot yet predict the effect the IRA will have on our business and the healthcare industry in general.</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also challenging the prices charged for medical products and requiring that drug companies provide them with predetermined discounts from list prices. Novel medical products, if covered at all, may be subject to enhanced utilization management controls designed to ensure that the products are used only when medically necessary. Such utilization management controls may discourage the prescription or use of a medical product by increasing the administrative burden associated with its prescription or creating coverage uncertainties for prescribers and patients. We cannot be sure that reimbursement will be available for any medicine that we commercialize and, if reimbursement is available, that the level of reimbursement will be adequate.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8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medicines, and coverage may be more limited than the purposes for which the medicine is approved by the FDA, the EMA or other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3" w:name="page64"/>
    <w:bookmarkEnd w:id="63"/>
    <w:p>
      <w:pPr>
        <w:ind w:right="100"/>
        <w:spacing w:after="0" w:line="255" w:lineRule="auto"/>
        <w:rPr>
          <w:sz w:val="20"/>
          <w:szCs w:val="20"/>
          <w:color w:val="auto"/>
        </w:rPr>
      </w:pPr>
      <w:r>
        <w:rPr>
          <w:rFonts w:ascii="Times New Roman" w:cs="Times New Roman" w:eastAsia="Times New Roman" w:hAnsi="Times New Roman"/>
          <w:sz w:val="18"/>
          <w:szCs w:val="18"/>
          <w:color w:val="auto"/>
        </w:rPr>
        <w:t>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77" w:lineRule="exact"/>
        <w:rPr>
          <w:sz w:val="20"/>
          <w:szCs w:val="20"/>
          <w:color w:val="auto"/>
        </w:rPr>
      </w:pPr>
    </w:p>
    <w:p>
      <w:pPr>
        <w:ind w:right="7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expect the cost of a single administration of the genetic medicines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w:t>
      </w:r>
    </w:p>
    <w:p>
      <w:pPr>
        <w:spacing w:after="0" w:line="6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candidates we may develop are smaller than we believe they are, our potential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focus a substantial portion of our research and product development on treatments for rare genetically defined diseases. Many of our product candidates we may develop are expected to target a single mutation; as a result, the relevant patient population may therefore be small.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of patients in the United States, Europe, and elsewhere may turn out to be lower than expected, and patients may not be amenable to treatment with our product candidates we may develop, or may become increasingly difficult to identify or gain access to, all of which would adversely affect our business, financial condition, results of operations, and prospects. Additionally, because of the potential that any product candidates we develop could cure a target disease, we may not receive recurring revenues from patients and may deplete the patient population prevalence through curative therapy.</w:t>
      </w:r>
    </w:p>
    <w:p>
      <w:pPr>
        <w:spacing w:after="0" w:line="6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68" w:lineRule="exact"/>
        <w:rPr>
          <w:sz w:val="20"/>
          <w:szCs w:val="20"/>
          <w:color w:val="auto"/>
        </w:rPr>
      </w:pPr>
    </w:p>
    <w:p>
      <w:pPr>
        <w:ind w:left="1020" w:right="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any product candidates may be adversely affected if we are unable to appropriately select patients for enrollment in our clinical trials; and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Any product candidates we develop may require use of a companion diagnostic to identify patients who are likely to benefit from therapy.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5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medicines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medicines that we may develop.</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as we continue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regulatory and operational risks associated with our internal manufacturing facility.</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an approximately 100,000 square foot manufacturing facility in Research Triangle Park, North Carolina intended to support clinical and commercial production of certain of our product candidates and components thereof. We aim to follow cGMP processes necessary to release product for our clinical trials and to meet all requirements from regulatory agencies, including the FDA, to allow us to support research, clinical and, if approved, commercial production of certain of our product candidates and components thereof. However, we can provide no assurances that our facility will be able to support our intended internal manufacturing capabilities and/or needs or comply with regulatory agency requirements. Furthermore, while the design of our facility is based on current standards for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5" w:name="page66"/>
    <w:bookmarkEnd w:id="65"/>
    <w:p>
      <w:pPr>
        <w:ind w:right="20"/>
        <w:spacing w:after="0" w:line="254" w:lineRule="auto"/>
        <w:rPr>
          <w:sz w:val="20"/>
          <w:szCs w:val="20"/>
          <w:color w:val="auto"/>
        </w:rPr>
      </w:pPr>
      <w:r>
        <w:rPr>
          <w:rFonts w:ascii="Times New Roman" w:cs="Times New Roman" w:eastAsia="Times New Roman" w:hAnsi="Times New Roman"/>
          <w:sz w:val="18"/>
          <w:szCs w:val="18"/>
          <w:color w:val="auto"/>
        </w:rPr>
        <w:t>biotechnology facilities, it was not pre-approved by any regulatory agency, nor has the facility been inspected by any regulatory agency such as the FDA. If we are unable to operate our facility at the intended capacity, or if our facility is determined not to comply with applicable regulatory requirements, we may be unable to manufacture our products or product candidates in a timely manner, which could significantly impair our ability to develop, obtain approval for, or commercialize our product candidates. Additionally, we have incurred substantial expenditures in constructing our facility, and expect to incur significant additional expenditures operating our facility in the future. To the extent our facility does not operate at capacity or comply with regulatory requirements, we may incur expenditures beyond those we currently contemplate, including costs associated with engaging third parties to meet our manufacturing needs or undertaking remediation efforts to bring our facility into compliance with regulatory standards. Any such delays, interruptions or increased costs arising from the operation of our manufacturing facility could materially harm our business, operating results, financial condition and prospects.</w:t>
      </w:r>
    </w:p>
    <w:p>
      <w:pPr>
        <w:spacing w:after="0" w:line="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Further, while we carry biological or hazardous waste insurance coverage, such insurance coverage may not be adequate to cover losses,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regulatory filings.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In addition, our product candidates we may develop will require complicated delivery modalities, such as electroporation and LNPs, each of which will introduce additional complexities in the manufacturing process.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6" w:name="page67"/>
    <w:bookmarkEnd w:id="66"/>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Furthermore, we intend to use novel technologies to deliver the base editor and guide RNA constructs of product candidates, however scientific evidence to support the feasibility of developing product candidates based on these technologies is both preliminary and limited.</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 parties to manufacture components of our product candidates we may develop, conduct our clinical trials and some aspects of our research and preclinical testing, and those third parties may not perform satisfactorily, including failing to meet deadlines for the completion of such trials, research, or testing.</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and expect to continue to rely on third parties, such as CMOs, CROs, clinical data management organizations, medical institutions, and clinical investigators, to conduct some aspects of our research and preclinical testing, to manufacture components of our product candidates and to conduct our clinical trials. Any of these third parties may terminate their engagements with us at any time under certain criteria. If we need to enter into alternative arrangements, it may delay our product development activities.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design the clinical trials for our product candidates, we rely on and expect to continue to rely on CROs to conduct some or all of the clinical trials. As a result, many important aspects of our development programs, including their conduct and timing, will be outside of our direct control. Our reliance on third parties to conduct preclinical studies and clinical trials also results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7" w:name="page68"/>
    <w:bookmarkEnd w:id="67"/>
    <w:p>
      <w:pPr>
        <w:ind w:right="20"/>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7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and supply of materials for our research programs, preclinical studies and clinical trials and expect to continue to do so for at least a portion of our future research programs, preclinical studies and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rely on third-parties for the manufacture and supply of materials for a portion of our preclinical studies and clinical trials, and may continue to do so for future research programs, preclinical studies, clinical testing and for commercial supply of any product candidates that we may develop and for which we or our collaborators obtain marketing approval.</w:t>
      </w:r>
    </w:p>
    <w:p>
      <w:pPr>
        <w:spacing w:after="0" w:line="6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While we have built a manufacturing facility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diseases in Research Triangle Park, North Carolina, we cannot be certain that we will be able to maintain cGMP compliance, expand our internal manufacturing capacity, or meet the planned manufacturing needs of our programs.</w:t>
      </w:r>
    </w:p>
    <w:p>
      <w:pPr>
        <w:spacing w:after="0" w:line="6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may be unable to establish long-term supply agreements with third-party suppliers or to do so on acceptable terms. Even if we are able to establish long-term supply agreements with third-parties, reliance on third-parties entails additional risks, including:</w:t>
      </w:r>
    </w:p>
    <w:p>
      <w:pPr>
        <w:spacing w:after="0" w:line="5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or supply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of third-party suppliers to supply and/or transport materials, components and products to us in a timely manner as a result of disruptions to the global supply chain or other factors.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Third-party suppliers may not be able to comply with cGMP regulations or other regulatory requirements outside the United States. Our failure, or the failure of third-party suppliers,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we rely on various CROs to obtain non-human primates, or NHPs, for use in preclinical development work. While we believe we currently have access to a supply of NHPs adequate to meet our near-term needs, such supply may nevertheless be adversely affected by supply chain limitations. If we are unable to secure adequate supply of NHPs certain of our preclinical development efforts will be delayed, and the cost of conducting discovery projects and preclinical development activities may substantially increase. Such delays or cost increases could materially adversely affect our discovery and preclinical development activities and our business.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medicines that we develop may compete with other product candidates and products for access to manufacturing facilities or supplies. There are a limited number of manufacturers that operate under cGMP regulations and that might be capable of manufacturing drug components and drug product necessary for gene editing. Any performance failure on the part of our existing or future suppliers could delay preclinical or clinical development or marketing approval. We do not currently have arrangements in place for redundant supply of all drug components and drug products necessary for our gene editing product candidates. If any one of our current contract manufacturers or suppliers cannot perform as agreed, we may be required to replace that manufacturer or supplier. Although we believe that there are several potential alternative suppliers to support any product candidates we may develop, we may incur added costs and delays in identifying and qualifying any such replacement.</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8" w:name="page69"/>
    <w:bookmarkEnd w:id="68"/>
    <w:p>
      <w:pPr>
        <w:jc w:val="both"/>
        <w:ind w:right="2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As our drug development pipeline increases and matures, the increased demand for clinical supplies from our facilities and third parties may impact our ability to operate. We will require increased capacity across our entire supply chain. Furthermore, we rely on many service providers, including those that provide manufacturing or testing services, all of whom have inherent risks in their operations that may adversely impact our operations.</w:t>
      </w:r>
    </w:p>
    <w:p>
      <w:pPr>
        <w:spacing w:after="0" w:line="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if approved, at commercial-scale. We have limited experience manufacturing any of our product candidates in the volumes that are necessary to support clinical trials and no experience manufacturing at volumes that are necessary to support commercial sales. Efforts to establish these capabilities may not meet initial expectations as to scheduling, scale-up, reproducibility, yield, purity, cost, potency or quality. In addition, other companies, many with substantial resources, compete with us for access to the materials needed to manufacture our product candidates.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utilize, and expect to continue to utilize, third parties to, among other things, manufacture raw materials, components, parts, and consumables, and to perform quality testing. If the field of base editing and other genetic medicines continues to expand, we may encounter increasing competition for these materials and services. Demand for third-party manufacturing or testing facilities may grow at a faster rate than their existing capacity, which could disrupt our ability to find and retain third-party manufacturers capable of producing sufficient quantities of such raw materials, components, parts, and consumables required to manufacture our product candidates. The use of service providers and suppliers could expose us to risks, including, but not limited to:</w:t>
      </w:r>
    </w:p>
    <w:p>
      <w:pPr>
        <w:spacing w:after="0" w:line="7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supply and service agreements with third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these suppliers and service providers caused by conditions unrelated to our business or operations, including the bankruptcy of the supplier or service provider;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third-party facilities by regulatory authorities that could have a negative outcome and result in delays to or termination of their ability to supply our requirements.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reliance on third-party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product candidates on a clinical and, if approved, a commercial scale, replacement of a manufacturer may be expensive and time-consuming and may cause interruptions in the production of our product candidates. A third-party manufacturer may also encounter difficulties in production. These problems may include:</w:t>
      </w:r>
    </w:p>
    <w:p>
      <w:pPr>
        <w:spacing w:after="0" w:line="75"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 up and yields;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supplies;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strictly enforced federal, state and foreign regulations that vary in each country where products might be sold;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any delay or interruption could have a material adverse effect on our business, financial condition, or results of operations.</w:t>
      </w:r>
    </w:p>
    <w:p>
      <w:pPr>
        <w:spacing w:after="0" w:line="11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enter into collaborations with third parties for the research, development, and commercialization of certain of the product candidates we develop. If any such collaborations are not successful, we may not be able to capitalize on the market potential of those product candidates.</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and may in the future seek third-party collaborators for the research, development, and commercialization of certain of the product candidates we develop. Under the agreements we have entered into and any agreements we may enter into in the future with any third parties, we have and will likely have limited control over the amount and timing of resources that our collaborators dedicate to the development or commercialization of any product candidates we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our research programs or any product candidates we may develop pose numerous risks to us, including the following:</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33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9" w:name="page70"/>
    <w:bookmarkEnd w:id="69"/>
    <w:p>
      <w:pPr>
        <w:ind w:left="1020" w:right="2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medicines or product candidates we develop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medicines may not commit sufficient resources to the marketing and distribution of such medicine or medicines.</w:t>
      </w:r>
    </w:p>
    <w:p>
      <w:pPr>
        <w:spacing w:after="0" w:line="175"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we may develop.</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7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0" w:name="page71"/>
    <w:bookmarkEnd w:id="70"/>
    <w:p>
      <w:pPr>
        <w:ind w:right="100"/>
        <w:spacing w:after="0" w:line="282" w:lineRule="auto"/>
        <w:rPr>
          <w:sz w:val="20"/>
          <w:szCs w:val="20"/>
          <w:color w:val="auto"/>
        </w:rPr>
      </w:pPr>
      <w:r>
        <w:rPr>
          <w:rFonts w:ascii="Times New Roman" w:cs="Times New Roman" w:eastAsia="Times New Roman" w:hAnsi="Times New Roman"/>
          <w:sz w:val="18"/>
          <w:szCs w:val="18"/>
          <w:color w:val="auto"/>
        </w:rPr>
        <w:t>strategic partners or to which the collaborators or strategic partners have rights, may result in the withdrawal of partner support for our product candidates we may develop.</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development and commercialization plans.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6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8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if approved, delay its potential commercialization or reduce the scope of any sales or marketing activities, or increase our expenditures and undertake development or, if approved, commercialization activities at our own expense. If we elect to increase our expenditures to fund development or, if approved,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any product candidates we develop and for our platform technologies, or if the scope of the patent and other intellectual property protection obtained is not sufficiently broad, our competitors could develop and commercialize products and technology similar or identical to ours, and our ability to successfully commercialize any product candidates we may develop, and our platform technologies may be adversely affected.</w:t>
      </w:r>
    </w:p>
    <w:p>
      <w:pPr>
        <w:spacing w:after="0" w:line="7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trademark, trade secret and other intellectual property protection of our base editing platform technology, product candidates and other technology, including delivery platform technology methods used to manufacture them and methods of treatment, as well as successfully defending our patent and other intellectual property rights against third-party challenges. It is difficult and costly to protect our base editing platform technology and protect candidates, and we may not be able to ensure their protection. Our ability to stop unauthorized third parties from making, using, selling, offering to sell, importing or otherwise commercializing our product candidates we may develop is dependent upon the extent to which we have rights under valid and enforceable patents or trade secrets that cover these activities.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seek to protect our proprietary position by in-licensing intellectual property relating to our platform technology and filing patent applications in the United States and abroad related to our base editing platform technology, delivery platform technology and product candidates that are important to our business. If we or our licensors are unable to obtain or maintain patent protection with respect to our base editing platform technology, delivery platform technology and product candidates we may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In addition, we may not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1" w:name="page72"/>
    <w:bookmarkEnd w:id="71"/>
    <w:p>
      <w:pPr>
        <w:ind w:right="40"/>
        <w:spacing w:after="0" w:line="253" w:lineRule="auto"/>
        <w:rPr>
          <w:sz w:val="20"/>
          <w:szCs w:val="20"/>
          <w:color w:val="auto"/>
        </w:rPr>
      </w:pPr>
      <w:r>
        <w:rPr>
          <w:rFonts w:ascii="Times New Roman" w:cs="Times New Roman" w:eastAsia="Times New Roman" w:hAnsi="Times New Roman"/>
          <w:sz w:val="18"/>
          <w:szCs w:val="18"/>
          <w:color w:val="auto"/>
        </w:rPr>
        <w:t>pursue or obtain patent protection in all relevant markets.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any licensed patents or pending patent applications, or that we or our licensors were the first to file for patent protection of such inventions.</w:t>
      </w:r>
    </w:p>
    <w:p>
      <w:pPr>
        <w:spacing w:after="0" w:line="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The field of gene editing, especially in the area of base editing technology, has been the subject of extensive patenting activity and litigation. As a result, the issuance, scope, validity, enforceability, and commercial value of our patent rights are highly uncertain, and we may become involved in complex and costly litigation. Our pending and future patent applications may not result in patents being issued which protect our base editing platform technology, delivery platform technology and product candidates we may develop, or which effectively prevent others from commercializing competitive technologies and product candidates.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 consistent policy regarding the scope of claims allowable in the field of gene editing, including base editing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enforce and defend our intellectual property rights and, more generally, could affect the value of our intellectual property or narrow the scope of our owned and licensed patent rights. With respect to both in-licensed and owned intellectual property, we cannot predict whether the patent applications we and our licensors are currently pursuing will issue as patents in any particular jurisdiction or whether the claims of any issued patents will be valid and enforceable and provide sufficient protection from competitors.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any of our platform advances and product candidates we may develop will be protectable or remain protected by valid and enforceable patents. Our competitors or other third parties may be able to circumvent our patents by developing similar or alternative technologies or products in a non-infringing manner.</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by us with third parties. For example, a patent application directed to our potential HBG1 and HBG2 product candidates is co-owned by us, the President and Fellows of Harvard College, or Harvard, and Broad Institute. At present, we do not have a license to the ownership interest of Harvard or Broad Institute. If we are unable to obtain an exclusive license to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base editing platform technology and product candidates are subject, in part, to the terms and conditions of licenses granted to us by others.</w:t>
      </w:r>
    </w:p>
    <w:p>
      <w:pPr>
        <w:spacing w:after="0" w:line="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2" w:name="page73"/>
    <w:bookmarkEnd w:id="72"/>
    <w:p>
      <w:pPr>
        <w:ind w:right="220"/>
        <w:spacing w:after="0" w:line="254" w:lineRule="auto"/>
        <w:rPr>
          <w:sz w:val="20"/>
          <w:szCs w:val="20"/>
          <w:color w:val="auto"/>
        </w:rPr>
      </w:pPr>
      <w:r>
        <w:rPr>
          <w:rFonts w:ascii="Times New Roman" w:cs="Times New Roman" w:eastAsia="Times New Roman" w:hAnsi="Times New Roman"/>
          <w:sz w:val="18"/>
          <w:szCs w:val="18"/>
          <w:color w:val="auto"/>
        </w:rPr>
        <w:t>We have licensed and are dependent on certain patent rights and proprietary technology from third parties that are important or necessary to the development of our base editing technology and product candidates. For example, we are a party to license agreements with Broad Institute, Editas, Harvard, and Bio Palette, and others, pursuant to which we in-license key patents and patent applications for our base editing platform technology and product candidates (the Editas License Agreement, the Harvard License Agreement and the Bio Palette License Agreement, respectively). These license agreements impose various diligence, milestone payment, royalty, insurance, and other obligations on us. If we fail to comply with these obligations, our licensors may have the right to terminate our license, in which event we would not be able to develop or market our base editing platform or any other technology or product candidates covered by the intellectual property licensed under these agreements. For example, under the Harvard License Agreement, we are required to meet certain development milestones for the development of a licensed product covered by certain sub-categories of licensed patents. If we fail to meet such milestones, our rights with respect to the sub-category of licensed patents will terminate.</w:t>
      </w:r>
    </w:p>
    <w:p>
      <w:pPr>
        <w:spacing w:after="0" w:line="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These and other licenses may not provide exclusive rights to use such intellectual property and technology in all relevant fields of use and in all territories in which we may wish to develop or commercialize our base editing platform technology and product candidates in the future. Some licenses granted to us are expressly subject to certain preexisting rights held by the licensor or certain third parties. As a result, we may not be able to prevent competitors from developing and commercializing competitive products in certain territories or fields. For example, certain licensed patents developed by employees of the Howard Hughes Medical Institute, or HHMI, and subsequently assigned to Harvard and licensed to us under the Harvard License Agreement remain subject to a non-exclusive license between Harvard and HHMI. The Editas License Agreement provides that our field of use excludes the use of certain gene editing technologies for the diagnosis, treatment, and prevention of human cancers through certain engineered T-cells, which are licensed to Juno Therapeutics, Inc. (a subsidiary of Bristol-Myers Squibb Company). If we determine that rights to such excluded field are necessary to commercialize any of our product candidates or maintain our competitive advantage, we may need to obtain a license from such third party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pursuant to our license agreement with Harvard, under certain specific circumstances Harvard may grant a license to the patents that are the subject of such license agreement to a third party in the same field as such patents are licensed to us. Such third party may then have full rights that are the subject of the Harvard License Agreement, which could impact our competitive position and enable a third party to commercialize products similar to our potential future product candidates and technology. Any grant of rights to a third party in this scenario would narrow the scope of our exclusive rights to the patents and patent applications we have in-licensed from Broad Institute and/or Harvard, as applicable.</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do not have complete control in the preparation, filing, prosecution, maintenance, enforcement, and defense of patents and patent applications covering the technology that we license from third parties. For example, pursuant to each of our intellectual property licenses with Broad Institute, Harvard, Editas and Bio Palette, our licensors retain control of preparation, filing, prosecution, and maintenance, and, in certain circumstances, enforcement and defense of their patents and patent applications.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inventions contained within some of our in-licensed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For example, the U.S. government could have certain rights in such in-licensed patents, including a non-exclusive license authorizing the U.S. government to use the invention or to have others use the invention on its behalf. If the U.S. government decides to exercise these rights, it is not required to engage us as its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ind w:right="20"/>
        <w:spacing w:after="0" w:line="255" w:lineRule="auto"/>
        <w:rPr>
          <w:sz w:val="20"/>
          <w:szCs w:val="20"/>
          <w:color w:val="auto"/>
        </w:rPr>
      </w:pPr>
      <w:r>
        <w:rPr>
          <w:rFonts w:ascii="Times New Roman" w:cs="Times New Roman" w:eastAsia="Times New Roman" w:hAnsi="Times New Roman"/>
          <w:sz w:val="18"/>
          <w:szCs w:val="18"/>
          <w:color w:val="auto"/>
        </w:rPr>
        <w:t>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event any of our third-party licensors determine that, in spite of our efforts, we have materially breached a license agreement or have failed to meet certain obligations thereunder, it may elect to terminate the applicable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patents under a third-party in-license fail to provide the intended exclusivity, competitors would have the freedom to seek regulatory approval of, and to market, products identical to ours. Any of these events could have a material adverse effect on our competitive position, business, financial conditions, results of operations, and prospects.</w:t>
      </w:r>
    </w:p>
    <w:p>
      <w:pPr>
        <w:spacing w:after="0" w:line="7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platform technologies, our product candidates and our future product candidates or result in any competitive advantage.</w:t>
      </w:r>
    </w:p>
    <w:p>
      <w:pPr>
        <w:spacing w:after="0" w:line="5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We have in-licensed a number of issued U.S. patents and patent applications that cover base editing and gene targeting technologies, as well as our delivery platform technology. We have applied for provisional patent applications or Patent Cooperation Treaty, or PCT, applications intended to specifically cover our base editing platform technology and uses with respect to treatment of particular diseases and conditions, and currently own three issued U.S. patents.</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We have applied for provisional patent applications or PCT applications intended to specifically cover our delivery platform technology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technology, delivery platform technology or our product candidates, or that such patents will not be challenged, narrowed, circumvented, invalidated or held unenforceable. Any failure to obtain or maintain patent protection with respect to our base editing platform technology, delivery platform technology and product candidates could have a material adverse effect on our business, financial condition, results of operations and growth prospects.</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owned patents and patent applications and our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4" w:name="page75"/>
    <w:bookmarkEnd w:id="74"/>
    <w:p>
      <w:pPr>
        <w:spacing w:after="0" w:line="252"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patents and patent applications we own or the patents and patent applications we in-license with respect to our base editing platform technology, delivery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delivery platform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5" w:name="page76"/>
    <w:bookmarkEnd w:id="75"/>
    <w:p>
      <w:pPr>
        <w:spacing w:after="0" w:line="255" w:lineRule="auto"/>
        <w:rPr>
          <w:sz w:val="20"/>
          <w:szCs w:val="20"/>
          <w:color w:val="auto"/>
        </w:rPr>
      </w:pPr>
      <w:r>
        <w:rPr>
          <w:rFonts w:ascii="Times New Roman" w:cs="Times New Roman" w:eastAsia="Times New Roman" w:hAnsi="Times New Roman"/>
          <w:sz w:val="18"/>
          <w:szCs w:val="18"/>
          <w:color w:val="auto"/>
        </w:rPr>
        <w:t>Likewise, our currently owned patents and patent applications, if issued as patents, and in-licensed patents and patent applications, if issued as patents, directed to our proprietary base editing technologies and our product candidates are expected to expire from 2034 through 2046,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owned patents and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of the U.S. patents and one U.S. patent application to which we hold an option are co-owned by Broad Institute and MIT, and in some cases co-owned by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24, 2019, the PTAB declared an interference (U.S. Interference No. 106,115) between ten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result of the declaration of interference, an adversarial proceeding in the USPTO before the PTAB has been initiated, which is declared to ultimately determine priority, specifically and which party was first to invent the claimed subject matter.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The ten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On February 28, 2022, the PTAB issued a decision that the Boston Licensing Parties have priority of invention over University of California with respect to a single RNA CRISPR-Cas9 system that functions in eukaryotic cells. This decision is being appealed. There can be no assurance that the U.S. interference will be resolved in favor of the Boston Licensing Parties on appeal.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or our licensors may be subject to similar interferences in the future with the same risks as described above. For example, on December 14, 2020, the PTAB declared an interference (U.S. Interference No. 106,126) between 14 U.S. patents and two U.S. patent applications (U.S. Patent Nos. 8,697,359; 8,771,945; 8,795,965; 8,865,406; 8,871,445; 8,889,356; 8,889,418; 8,895,308; 8,906,616; 8,932,814; 8,945,839; 8,993,233; 8,999,641; and 9,840,713, and U.S. Serial Nos. 14/704,551 and 15/330,876) that are co-owned by the Boston Licensing Parties, which we have an option to under the Editas License Agreement, and one U.S. patent application (U.S. Serial Nos. 14/685,510) that is owned by Toolgen, Inc, or Toolgen. In the declared interference, the Boston Licensing Parties have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6" w:name="page77"/>
    <w:bookmarkEnd w:id="76"/>
    <w:p>
      <w:pPr>
        <w:ind w:right="80"/>
        <w:spacing w:after="0" w:line="261" w:lineRule="auto"/>
        <w:rPr>
          <w:sz w:val="20"/>
          <w:szCs w:val="20"/>
          <w:color w:val="auto"/>
        </w:rPr>
      </w:pPr>
      <w:r>
        <w:rPr>
          <w:rFonts w:ascii="Times New Roman" w:cs="Times New Roman" w:eastAsia="Times New Roman" w:hAnsi="Times New Roman"/>
          <w:sz w:val="18"/>
          <w:szCs w:val="18"/>
          <w:color w:val="auto"/>
        </w:rPr>
        <w:t>been designated as the junior party and Toolgen has been designated as the senior party. On September 28, 2022, the PTAB issued an order suspending proceedings in the priority phase of the interference. We cannot predict with any certainty when a decision will be made. The 14 U.S. patents and two U.S. patent applications co-owned by the Boston Licensing Parties involved in U.S. Interference No. 106,126 generally relate to CRISPR/Cas9 systems or eukaryotic cells comprising CRISPR/Cas9 systems having fused or covalently linked RNA and the use thereof in eukaryotic cells.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21, 2021, the PTAB declared an interference (U.S. Interference No. 106,133) between the same 14 U.S. patents and two U.S. patent applications (U.S. Patent Nos. 8,697,359; 8,771,945; 8,795,965; 8,865,406; 8,871,445; 8,889,356; 8,889,418; 8,895,308; 8,906,616; 8,932,814; 8,945,839; 8,993,233; 8,999,641; and 9,840,713, and U.S. Serial Nos. 14/704,551 and 15/330,876, co-owned by the Boston Licensing Parties) as named in the interference with Toolgen, and one U.S. patent application (U.S. Serial Nos. 15/456,204) that is owned by Sigma-Aldrich Co., LLC, or Sigma-Aldrich. In the declared interference, the Boston Licensing Parties have been designated as the junior party and Sigma-Aldrich has been designated as the senior party. On December 14, 2022, the PTAB issued an order suspending proceedings in the priority phase of the interference. We cannot predict with any certainty when a decision will be made.</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or our licensors may also be subject to claims that former employees, collaborators, or other third parties have an interest in our owned patents or patent applications or in-licensed patents or patent applications or other intellectual property as an inventor or co-inventor. If we are unable to obtain an exclusive license to any such third-party co-owners’ interest in such patents or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(for example, European Patent No. EP3,115,457 B1, which we sublicensed from Bio Palette and which was subsequently revoked), or such patent claims may be narrowed (for example, European Patent No. EP3,604,511 B1, which we licensed from Harvard and which was subsequently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7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7" w:name="page78"/>
    <w:bookmarkEnd w:id="77"/>
    <w:p>
      <w:pPr>
        <w:ind w:right="80"/>
        <w:spacing w:after="0" w:line="282" w:lineRule="auto"/>
        <w:rPr>
          <w:sz w:val="20"/>
          <w:szCs w:val="20"/>
          <w:color w:val="auto"/>
        </w:rPr>
      </w:pPr>
      <w:r>
        <w:rPr>
          <w:rFonts w:ascii="Times New Roman" w:cs="Times New Roman" w:eastAsia="Times New Roman" w:hAnsi="Times New Roman"/>
          <w:sz w:val="18"/>
          <w:szCs w:val="18"/>
          <w:color w:val="auto"/>
        </w:rPr>
        <w:t>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71" w:lineRule="exact"/>
        <w:rPr>
          <w:sz w:val="20"/>
          <w:szCs w:val="20"/>
          <w:color w:val="auto"/>
        </w:rPr>
      </w:pPr>
    </w:p>
    <w:p>
      <w:pPr>
        <w:ind w:right="780" w:firstLine="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including base editing technology, delivery platform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each of our license agreements, we are generally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or base editing platform technology, delivery platform technology or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spacing w:after="0" w:line="80"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to third parties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base editing platform, delivery platform,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or in-licensing necessary rights to key technologies or any product candidates we may develop.</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currently have rights to intellectual property, through licenses from third parties, to identify and develop product candidates, and we expect to seek to expand our product candidate pipeline in part by in-licensing the rights to key technologies. The future growth of our business will depend in part on our ability to in-license or otherwise acquire the rights to additional product candidates and technologies. Although we have succeeded in licensing technologies from third party licensors, including Harvard, Broad Institute, Editas, and Bio Palette in the past, we cannot assure you that we will be able to in-license or acquire the rights to any product candidates or technologies from third parties on acceptable terms or at all.</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example, our agreements with certain of our third-party licensors provide that our field of use excludes particular fields, for example, the use of certain gene editing technologies for the diagnosis, treatment, and prevention of human cancers through certain engineered T-cells, which are licensed exclusively or non-exclusively to a third-party licensee. If we determine that rights to such fields are necessary to commercialize our drug candidates or maintain our competitive advantage, we may need to obtain a license from such third party in order to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there has been extensive patenting activity in the fields of gene editing and delivery technologies, and pharmaceutical companies, biotechnology companies, and academic institutions are competing with us or are expected to compete with us in the fields of gene editing and delivery technologies and filing patent applications potentially relevant to our business and we are aware of certain third-party patents, as well as patent applications that, if issued, may allow the third party to circumvent our patent rights. For example, we are aware of several third-party patents, and patent applications that, if issued, may be construed to cover our base editing technology, delivery technology and product candidates. In order to market our product candidates, we may find it necessary or prudent to obtain licenses from such third-party intellectual property holders. However, we may be unable to secure such licenses or otherwise acquire or in-license any compositions, methods of use, processes, or other intellectual property rights from third parties that we identify as necessary for product candidates we may develop and base editing and delivery technologies. We may also require licenses from third parties for additional non-base editing technologies, including additional delivery methods that we are evaluating for use with product candidates we are developing and may develop in the future. In addition, some of our owned patents and patent applications and in-licensed patents and patent applications are co-owned with third parties. With respect to any patents co-owned with third parties, we may require licenses to such co-owners’ interest to such patents.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8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6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field of gene editing, especially in the area of base editing technology, is still in its infancy, and no base editing product candidates have reached the market. Due to the intense research and development that is taking place by several companies, including us and our competitors, in this field and in the field of delivery technology,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79" w:name="page80"/>
    <w:bookmarkEnd w:id="79"/>
    <w:p>
      <w:pPr>
        <w:ind w:right="20"/>
        <w:spacing w:after="0" w:line="253"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delivery platform technology and any product candidates we may develop, including interference proceedings, post-grant review, inter partes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the biotechnology and pharmaceutical industries expand and more patents are issued, the risk increases that our base editing platform technology, delivery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patents and patent applications that, if issued, may be construed to cover our base editing technology, delivery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10,428,352; 10,443,076; 10,487,341; 10,513,712; 10,519,467; 10,526,619; 10,533,190; 10,550,407; 10,563,227; 10,570,419; 10,577,631; 10,597,680; 10,612,045; 10,626,419; 10,640,791; 10,669,560; 10,676,759; 10,752,920; 10,774,344; 10,793,878; 10,900,054; 10,982,230; 10,982,231; 10,988,780; 10,988,782; 11,001,863; 11,008,589; 11,008,590; 11,028,412; 11,186,849; 11,242,543; 11,274,318; 11,293,034; 11,332,761; 11,401,532; 11,473,108; 11,479,794; 11,549,127; 11,634,730; 11,674,159; 11,814,645; 11,970,711; 12,123,015; 12,180,503; 12,180,504; 12,215,343, which are expected to expire around March 2033, excluding any additional term for patent term adjustment, or PTA, or patent term extension, or PTE, and any disclaimed term for terminal disclaimers. The University of California portfolio also includes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have been or are being opposed in Europe by multiple parties. For example, European Patent Nos. EP2,800,811 B1, and EP3,241,902 B1, EP3,401,400 B1 and EP3,597,749 B1 have been opposed, which patents are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In April 2021, the claims of European patent EP3,241,902 B1 were revoked in their entirety by the Opposition Division, and that decision was not appealed. In November 2024, European patents EP2,800,811 B1 and EP3,401,400 B1 were revoked by the Boards of Appeal of the European Patent Office. In November 2025, the claims of European patent EP3,597,749 B1 were revoked in their entirety by the Opposition Division, and that decision is being appealed. It is uncertain how oppositions filed against EP3,597,749 B1 will be resolved. If this patent is maintained by the Boards of Appeal with claims similar to those that were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0" w:name="page81"/>
    <w:bookmarkEnd w:id="80"/>
    <w:p>
      <w:pPr>
        <w:ind w:right="140"/>
        <w:spacing w:after="0" w:line="266" w:lineRule="auto"/>
        <w:rPr>
          <w:sz w:val="20"/>
          <w:szCs w:val="20"/>
          <w:color w:val="auto"/>
        </w:rPr>
      </w:pPr>
      <w:r>
        <w:rPr>
          <w:rFonts w:ascii="Times New Roman" w:cs="Times New Roman" w:eastAsia="Times New Roman" w:hAnsi="Times New Roman"/>
          <w:sz w:val="18"/>
          <w:szCs w:val="18"/>
          <w:color w:val="auto"/>
        </w:rPr>
        <w:t>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ability to commercialize our product candidates in the United States and abroad may be adversely affected if we cannot obtain a license on commercially reasonable terms to relevant third-party patents that cover our product candidates, delivery platform technology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future patents or the patents of our licensors, which could be expensive, time consuming, and unsuccessful and could result in a finding that such patents are unenforceable or invalid.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future patents or the patents of our licensing partners, or we may be required to defend against claims of infringement. In addition, our patents, future patents or the patents of our licensing partners also are, and may in the future become, involved in inventorship, priority, validity or enforceability disputes. Countering or defending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interference proceedings, derivation proceedings, and</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1" w:name="page82"/>
    <w:bookmarkEnd w:id="81"/>
    <w:p>
      <w:pPr>
        <w:ind w:right="160"/>
        <w:spacing w:after="0" w:line="255" w:lineRule="auto"/>
        <w:rPr>
          <w:sz w:val="20"/>
          <w:szCs w:val="20"/>
          <w:color w:val="auto"/>
        </w:rPr>
      </w:pPr>
      <w:r>
        <w:rPr>
          <w:rFonts w:ascii="Times New Roman" w:cs="Times New Roman" w:eastAsia="Times New Roman" w:hAnsi="Times New Roman"/>
          <w:sz w:val="18"/>
          <w:szCs w:val="18"/>
          <w:color w:val="auto"/>
        </w:rPr>
        <w:t>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licensors,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technology and/or product candidates. Defense of these types of claims, regardless of their merit, would involve substantial litigation expense and would be a substantial diversion of employee resources from our business.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Conversely, we may choose to challenge the patentability of claims in a third party’s U.S. patent by requesting that the USPTO review the patent claims in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We are currently challenging, and in the future may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base editing platform technology, delivery platform technology or other or proprietary technologies.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example, as discussed above, elements of the University of California patent portfolio are being opposed in Europe by multiple parties and we are participating in the opposition proceedings. The EPO Opposition Division, or the Opposition Division, has initiated opposition proceedings against European patents estimated to expire in March 2033 (excluding any patent term adjustments or extensions) and co-owned by the University of California.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these European patents.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w:t>
      </w:r>
    </w:p>
    <w:p>
      <w:pPr>
        <w:spacing w:after="0" w:line="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In certain circumstances, we rely on our licensing partners to pay these fees due to U.S. and non-U.S. patent agencies.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ind w:right="60"/>
        <w:spacing w:after="0" w:line="282" w:lineRule="auto"/>
        <w:rPr>
          <w:sz w:val="20"/>
          <w:szCs w:val="20"/>
          <w:color w:val="auto"/>
        </w:rPr>
      </w:pPr>
      <w:r>
        <w:rPr>
          <w:rFonts w:ascii="Times New Roman" w:cs="Times New Roman" w:eastAsia="Times New Roman" w:hAnsi="Times New Roman"/>
          <w:sz w:val="18"/>
          <w:szCs w:val="18"/>
          <w:color w:val="auto"/>
        </w:rPr>
        <w:t>enter the market with similar or identical products or technology, which could have a material adverse effect on our business, financial condition, results of operations, and prospects.</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platform technologies and product candidates.</w:t>
      </w:r>
    </w:p>
    <w:p>
      <w:pPr>
        <w:spacing w:after="0" w:line="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 a new post-grant review system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Because of a lower evidentiary standard in USPTO proceedings compared to the evidentiary standard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some of these changes are currently unclear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Assoc. for Molecular Pathology v. Myriad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Genetics, Inc., </w:t>
      </w:r>
      <w:r>
        <w:rPr>
          <w:rFonts w:ascii="Times New Roman" w:cs="Times New Roman" w:eastAsia="Times New Roman" w:hAnsi="Times New Roman"/>
          <w:sz w:val="18"/>
          <w:szCs w:val="18"/>
          <w:color w:val="auto"/>
        </w:rPr>
        <w:t>the U.S. Supreme Court held that certain claims to DNA molecules are not patentable. We cannot predict how this and future decisions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PTE and data exclusivity for any product candidates we may develop, our business may be materially harmed.</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 parties, to protect our confidential and proprietary information, especially where we do not believe patent protection is appropriate or obtainable.</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4" w:name="page85"/>
    <w:bookmarkEnd w:id="84"/>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asserted and may in the future assert that we, our employees, consultants, or advisors have wrongfully used or disclosed confidential information or misappropriated trade secrets.</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In addition, we regularly enter into non-disclosure and confidentiality agreements to protect the proprietary positions of third parties, such as research institutions, outside scientific collaborators, CROs, third-party manufacturers, consultants, advisors, potential partners and other third parties in order to evaluate technology for potential development. Although we try to ensure that we and our employees, consultants, and advisors do not use the proprietary information or know-how of others, we have received and may in the future be subject to claims that we or these individuals have inadvertently or otherwise wrongfully used or disclosed intellectual property, including trade secrets or other proprietary information, of third parties, including any such individual’s current or former employer. Also, we have in the past and may in the future be subject to claims that these individuals are violating non-compete agreements with their former employers. We may then have to pursue litigation to defend against any of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may develop will eventually become commercially available in generic or biosimilar product forms;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any product candidates we may develop or utilize similar base editing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5" w:name="page86"/>
    <w:bookmarkEnd w:id="85"/>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or parts of our owned or in-licensed patents;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89"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unenforceable, or narrowed in scope,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312" w:lineRule="auto"/>
        <w:tabs>
          <w:tab w:leader="none" w:pos="10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31" w:lineRule="exact"/>
        <w:rPr>
          <w:rFonts w:ascii="Times New Roman" w:cs="Times New Roman" w:eastAsia="Times New Roman" w:hAnsi="Times New Roman"/>
          <w:sz w:val="17"/>
          <w:szCs w:val="17"/>
          <w:color w:val="auto"/>
        </w:rPr>
      </w:pPr>
    </w:p>
    <w:p>
      <w:pPr>
        <w:ind w:left="1020" w:right="7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3"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licensed and regulated as biologics may face competition from biosimilars approved through an abbreviated regulatory pathway.</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was enacted as part of the Patient Protection and Affordable Care Act, as amended by the Health Care and Education Affordability Reconciliation Act, or collectively,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6" w:name="page87"/>
    <w:bookmarkEnd w:id="86"/>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2022, Congress clarified through FDORA that the FDA may approve multiple first interchangeable biosimilar biological products so long as the products are all approved on the first day on which such a product is approved as interchangeable with the reference product and the exclusivity period may be shared amongst multiple first interchangeable products. There have been recent government proposals to reduce the 12-year reference product exclusivity period, but none has been enacted to date. At the same time, since passage of the BPCIA, many states have passed laws, or amendments to laws, which address pharmacy practices involving biosimilar products.</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any of the product candidates we develop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Nonetheless, the approval of a biosimilar to our product candidates may have a material adverse impact on our business due to increased competition and pricing pressure.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other legal compliance matters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genetic medicines, and in particular any novel genetic medicines we may develop, have changed frequently and may continue to change in the future.</w:t>
      </w:r>
    </w:p>
    <w:p>
      <w:pPr>
        <w:spacing w:after="0" w:line="5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Regulatory requirements governing genetic and cellular medicines, and in particular any novel genetic medicine products we may develop, have changed frequently and may continue to change in the future. We are aware of a limited number of genetic medicines that have received marketing authorization from the FDA and EMA. Even with respect to more established products in the genetic medicine field, the regulatory landscape is still developing. For example, the FDA has established the Office of Tissues and Advanced Therapies (formerly the Office of Cellular, Tissue and Gene Therapies) within CBER to consolidate the review of genetic medicines and related products, and the Cellular, Tissue and Gene Therapies Advisory Committee to advise CBER on its review. Genetic medicine clinical trials conducted at institutions that receive funding for recombinant DNA research from the NIH also are potentially subject to review by the Office of Biotechnology Activities’ Recombinant DNA Advisory Committee, or the RAC; however, the NIH announced that the RAC will only publicly review clinical trials if the trials cannot be evaluated by standard oversight bodies and pose unusual risks.</w:t>
      </w:r>
    </w:p>
    <w:p>
      <w:pPr>
        <w:spacing w:after="0" w:line="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same applies in the European Union, or EU. The EMA’s Committee for Advanced Therapies, or CAT, is responsible for assessing the quality, safety, purity and potency of advanced-therapy medicinal products. The role of the CAT is to prepare a draft opinion on an application for marketing authorization for a genetic medicinal candidate that is submitted to the CHMP before CHMP adopts its final opinion. In the EU, the development and evaluation of a genetic medicinal product must be considered in the context of the relevant EU guidelines. The EMA may issue new guidelines concerning the development and marketing authorization for genetic medicinal products and require that we comply with these new guidelines. As a result, the procedures and standards applied to genetic medicines and cell therapy products may be applied to any product candidates we may develop, but that remains uncertain at this point.</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As we advance any product candidates we may develop, we will be required to consult with these regulatory and advisory groups and comply with applicable guidelines. If we fail to do so, we may be required to delay or discontinue development of these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the FDA decides whether individual genetic medicine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IBC as well as its IRB would need to review the proposed clinical trial to assess the safety of the trial. In addition, adverse developments in clinical trials of genetic medicine products conducted by others may cause the FDA or other oversight bodies to change the requirements for approval of any product candidates we may develop. Similarly, the EMA may issue new guidelines concerning the development and marketing authorization for genetic medicine products and require that we comply with these new guidelines.</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we are initially seeking to identify and develop product candidates to treat diseases using novel technologies, there is heightened risk that the FDA, the EMA or other regulatory authority may not consider the clinical trial endpoints that we propose to provide clinically meaningful results. Even if the endpoints are deemed clinically meaningful, we may not achieve these endpoints to a degree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7" w:name="page88"/>
    <w:bookmarkEnd w:id="87"/>
    <w:p>
      <w:pPr>
        <w:spacing w:after="0" w:line="254" w:lineRule="auto"/>
        <w:rPr>
          <w:sz w:val="20"/>
          <w:szCs w:val="20"/>
          <w:color w:val="auto"/>
        </w:rPr>
      </w:pPr>
      <w:r>
        <w:rPr>
          <w:rFonts w:ascii="Times New Roman" w:cs="Times New Roman" w:eastAsia="Times New Roman" w:hAnsi="Times New Roman"/>
          <w:sz w:val="18"/>
          <w:szCs w:val="18"/>
          <w:color w:val="auto"/>
        </w:rPr>
        <w:t>of statistical significance, particularly because many of the diseases we are targeting with our platform have small patient populations, making development of large and rigorous clinical trials more difficult.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 and only a limited number of gene therapy products have received marketing authorization or marketing approval from the European Commission or the FDA. Some of these products have taken years to register and have had to address significant issues in their post-marketing experience.</w:t>
      </w:r>
    </w:p>
    <w:p>
      <w:pPr>
        <w:spacing w:after="0" w:line="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Adverse developments in post-marketing experience or in clinical trials conducted by others of genetic medicines or cell therapy products may cause the FDA, the EMA, and other regulatory bodies to revise the requirements for development or approval of any product candidates we may develop or limit the use of products utilizing non-viral genetic medicinal technologies, either of which could materially harm our business. In addition, the clinical trial requirements of the FDA, the EMA, and other regulatory authorities and the criteria these regulators use to determine the safety, purity and potency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non-viral genetic medicine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ethical, social and legal concerns about genetic medicine,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any product candidates we may develop are unsafe or pose a hazard could prevent us from commercializing any products. New government requirements may be established that could delay or prevent regulatory approval of any product candidates we may develop under development. It is impossible to predict whether legislative changes will be enacted, regulations, policies or guidance changed, or interpretations by agencies or courts changed, or what the impact of such changes, if any, may be.</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we advance any product candidates we develop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7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Any product candidates we may develop and the activities associated with their development and commercialization, including their design, testing, manufacture, recordkeeping, labeling, storage, approval, advertising, promotion, sale, import, export, and distribution, are subject to comprehensive regulation by the FDA, the EMA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 parties to assist us in this process. Securing regulatory approval requires the submission of extensive preclinical and clinical data and supporting information to the various regulatory authorities for each therapeutic indication to establish the biological product candidate’s safety, purity, and potency. Securing regulatory approval also requires the submission of extensive information about the product manufacturing process,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8" w:name="page89"/>
    <w:bookmarkEnd w:id="88"/>
    <w:p>
      <w:pPr>
        <w:ind w:right="360"/>
        <w:spacing w:after="0" w:line="256" w:lineRule="auto"/>
        <w:rPr>
          <w:sz w:val="20"/>
          <w:szCs w:val="20"/>
          <w:color w:val="auto"/>
        </w:rPr>
      </w:pPr>
      <w:r>
        <w:rPr>
          <w:rFonts w:ascii="Times New Roman" w:cs="Times New Roman" w:eastAsia="Times New Roman" w:hAnsi="Times New Roman"/>
          <w:sz w:val="18"/>
          <w:szCs w:val="18"/>
          <w:color w:val="auto"/>
        </w:rPr>
        <w:t>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under the Pediatric Research Equity Act, or PREA,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EMA or to obtain a waiver or deferral from the conduct of these studies by this Pediatric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we could be adversely affected by several significant administrative law cases decided by the U.S. Supreme Court in 2024.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v. Raimondo</w:t>
      </w:r>
      <w:r>
        <w:rPr>
          <w:rFonts w:ascii="Times New Roman" w:cs="Times New Roman" w:eastAsia="Times New Roman" w:hAnsi="Times New Roman"/>
          <w:sz w:val="18"/>
          <w:szCs w:val="18"/>
          <w:color w:val="auto"/>
        </w:rPr>
        <w:t>, for example, the court overruled</w:t>
      </w:r>
      <w:r>
        <w:rPr>
          <w:rFonts w:ascii="Times New Roman" w:cs="Times New Roman" w:eastAsia="Times New Roman" w:hAnsi="Times New Roman"/>
          <w:sz w:val="18"/>
          <w:szCs w:val="18"/>
          <w:i w:val="1"/>
          <w:iCs w:val="1"/>
          <w:color w:val="auto"/>
        </w:rPr>
        <w:t xml:space="preserve"> Chevron U.S.A., Inc. v. Natural Resources Defense Council, Inc</w:t>
      </w:r>
      <w:r>
        <w:rPr>
          <w:rFonts w:ascii="Times New Roman" w:cs="Times New Roman" w:eastAsia="Times New Roman" w:hAnsi="Times New Roman"/>
          <w:sz w:val="18"/>
          <w:szCs w:val="18"/>
          <w:color w:val="auto"/>
        </w:rPr>
        <w:t>., which for 40 years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the APA. Additionally, in </w:t>
      </w:r>
      <w:r>
        <w:rPr>
          <w:rFonts w:ascii="Times New Roman" w:cs="Times New Roman" w:eastAsia="Times New Roman" w:hAnsi="Times New Roman"/>
          <w:sz w:val="18"/>
          <w:szCs w:val="18"/>
          <w:i w:val="1"/>
          <w:iCs w:val="1"/>
          <w:color w:val="auto"/>
        </w:rPr>
        <w:t>Corner Post, Inc. v. Board of Governors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Federal Reserve System</w:t>
      </w:r>
      <w:r>
        <w:rPr>
          <w:rFonts w:ascii="Times New Roman" w:cs="Times New Roman" w:eastAsia="Times New Roman" w:hAnsi="Times New Roman"/>
          <w:sz w:val="18"/>
          <w:szCs w:val="18"/>
          <w:color w:val="auto"/>
        </w:rPr>
        <w:t>, the court held that actions to challenge a federal regulation under the APA can be initiated within six years of the date of injury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plaintiff, rather than the date the rule is finalized. The decision appears to give prospective plaintiffs a personal statute of limitations to challenge longstanding agency regulations. Another decision, </w:t>
      </w:r>
      <w:r>
        <w:rPr>
          <w:rFonts w:ascii="Times New Roman" w:cs="Times New Roman" w:eastAsia="Times New Roman" w:hAnsi="Times New Roman"/>
          <w:sz w:val="18"/>
          <w:szCs w:val="18"/>
          <w:i w:val="1"/>
          <w:iCs w:val="1"/>
          <w:color w:val="auto"/>
        </w:rPr>
        <w:t>Securities and Exchange Commission v. Jarkesy</w:t>
      </w:r>
      <w:r>
        <w:rPr>
          <w:rFonts w:ascii="Times New Roman" w:cs="Times New Roman" w:eastAsia="Times New Roman" w:hAnsi="Times New Roman"/>
          <w:sz w:val="18"/>
          <w:szCs w:val="18"/>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the FDA’s actions. On January 16, 2025, the district court agreed to allow these states to file an amended complaint and continue to pursue this challenge. Thereafter, on September 30, 2025, the district court declined to dismiss the case and, instead, transferred it to the federal district court in the Eastern District of Missouri. Depending on the outcome of this litigation, our ability to develop new drug product candidates and to maintain approval of existing drug products could be delayed, undermined or subject to protracted litigation.</w:t>
      </w:r>
    </w:p>
    <w:p>
      <w:pPr>
        <w:spacing w:after="0" w:line="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Finally, with the change in presidential administrations in 2025, there continues to be substantial uncertainty as to how the new administration will seek to modify or revise the requirements and policies of the FDA and other regulatory agencies with jurisdiction over our product candidates. The uncertainty could present new challenges or potential opportunities as we navigate the clinical development and approval process for our product candidates.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9" w:name="page90"/>
    <w:bookmarkEnd w:id="89"/>
    <w:p>
      <w:pPr>
        <w:ind w:right="38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and sell any product candidates we may develop in the EU and other foreign jurisdictions, we or our third-party collaborators must obtain separate marketing approvals (a single one for the EU)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U.K. as a result of the withdrawal of the U.K. from the EU, commonly referred to as Brexit. The U.K.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U.K.’s clinical trials regulatory regime, and such amendments will take effect on April 28, 2026. These changes were needed since the current U.K. requirements are based upon the now-repealed EU Clinical Trials Directive (2001/20/EC), which has been replaced by the European Clinical Trials Regulation (Regulation EU No 536/2014). Since the U.K. left the EU prior to the date on which the EU CTR took effect, the U.K. legal framework did not benefit from the same revisions as occurred at the EU level.</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same time, as of January 1, 2025,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the EMA and regulators in the EU/European Economic Area, or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may force us to restrict or delay efforts to seek regulatory approval in the U.K. for our product candidates, which could significantly and materially harm our business.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June 4, 2025, after almost two years of negotiations among the EU Member States, the Council of the European Union adopted its position on the proposed overhaul of the EU general pharmaceutical legislative framework, which is known as the new Pharma Package. Thereafter, on December 11, 2025, the European Parliament and the Council reached a provisional political agreement on the legislation which is expected to be adopted by mid-2026. The revisions may have a significant impact on the pharmaceutical industry and our business. They would, among other things, set a baseline period of eight years of data exclusivity and one year of market exclusivity with possible extensions for new indications, up to a maximum of 11 years total. There will likely be a transition period of 24 months, with the changes taking effect in mid-2028.</w:t>
      </w:r>
    </w:p>
    <w:p>
      <w:pPr>
        <w:spacing w:after="0" w:line="8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any of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example, on September 9, 2025, the President issued a memorandum directing HHS to “ensure transparency and accuracy in DTC prescription drug advertising, including by increasing the amount of information regarding any risks associated with the use of any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0" w:name="page91"/>
    <w:bookmarkEnd w:id="90"/>
    <w:p>
      <w:pPr>
        <w:spacing w:after="0" w:line="256" w:lineRule="auto"/>
        <w:rPr>
          <w:sz w:val="20"/>
          <w:szCs w:val="20"/>
          <w:color w:val="auto"/>
        </w:rPr>
      </w:pPr>
      <w:r>
        <w:rPr>
          <w:rFonts w:ascii="Times New Roman" w:cs="Times New Roman" w:eastAsia="Times New Roman" w:hAnsi="Times New Roman"/>
          <w:sz w:val="18"/>
          <w:szCs w:val="18"/>
          <w:color w:val="auto"/>
        </w:rPr>
        <w:t>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non-binding policies governing the distribution of scientific information on unapproved uses to healthcare providers. This final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 The FDA may also impose requirements for costly post-marketing studies or clinical trials and surveillance to monitor the safety or efficacy of a product.</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1" w:name="page92"/>
    <w:bookmarkEnd w:id="91"/>
    <w:p>
      <w:pPr>
        <w:ind w:right="80"/>
        <w:spacing w:after="0" w:line="282" w:lineRule="auto"/>
        <w:rPr>
          <w:sz w:val="20"/>
          <w:szCs w:val="20"/>
          <w:color w:val="auto"/>
        </w:rPr>
      </w:pPr>
      <w:r>
        <w:rPr>
          <w:rFonts w:ascii="Times New Roman" w:cs="Times New Roman" w:eastAsia="Times New Roman" w:hAnsi="Times New Roman"/>
          <w:sz w:val="18"/>
          <w:szCs w:val="18"/>
          <w:color w:val="auto"/>
        </w:rPr>
        <w:t>promotion and advertising of prescription drugs may lead to investigations or allegations of violations of federal and state health care fraud and abuse laws and state consumer protection laws.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7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breakthrough, or regenerative medicine advanced therapy designation by the FDA may not actually lead to a faster development or regulatory review or approval process and does not assure FDA approval of any product candidates we may develop.</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FDA’s fast track, breakthrough, and regenerative medicine advanced therapy, or RMAT, programs are intended to expedite the development of certain qualifying products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 A product candidate may be designated as a breakthrough therapy if it is intended to treat a serious or life-threatening condition and preliminary clinical evidence indicates that the product candidate may demonstrate substantial improvement over existing therapies on one or more clinically significant endpoints. A product candidate may receive RMAT designation if it is a regenerative medicine therapy that is intended to treat, modify, reverse or cure a serious or life-threatening condition, and preliminary clinical evidence indicates that the product candidate has the potential to address an unmet medical need for such condition. While we have in the past sought, and may again in the future seek, fast track, breakthrough, and/or RMAT designation, there is no guarantee that we will be successful in obtaining any such designation. Even if we do obtain such designation, we may not experience a faster development process, review or approval compared to conventional FDA procedures. A fast track, breakthrough, or RMAT designation does not ensure that the product candidate will receive marketing approval or that approval will be granted within any particular timeframe. In addition, the FDA may withdraw fast track, breakthrough, or RMAT designation if it believes that the designation is no longer supported by data from our clinical development program. Fast track, breakthrough, and/or RMAT designation alone do not guarantee qualification for the FDA’s priority review procedures.</w:t>
      </w:r>
    </w:p>
    <w:p>
      <w:pPr>
        <w:spacing w:after="0" w:line="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2" w:name="page93"/>
    <w:bookmarkEnd w:id="92"/>
    <w:p>
      <w:pPr>
        <w:spacing w:after="0" w:line="256" w:lineRule="auto"/>
        <w:rPr>
          <w:sz w:val="20"/>
          <w:szCs w:val="20"/>
          <w:color w:val="auto"/>
        </w:rPr>
      </w:pPr>
      <w:r>
        <w:rPr>
          <w:rFonts w:ascii="Times New Roman" w:cs="Times New Roman" w:eastAsia="Times New Roman" w:hAnsi="Times New Roman"/>
          <w:sz w:val="18"/>
          <w:szCs w:val="18"/>
          <w:color w:val="auto"/>
        </w:rPr>
        <w:t>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7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our product candidates,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where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platform technology as a designated platform technology, but we might not receive such designation, and even if we do, such designation may not lead to a faster regulatory review or approval process.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seek designation for our platform technology as a designated platform technology. Under FDORA, a platform technology incorporated within or utilized by a drug or biological product is eligible to be a designated platform technology if (1) the platform technology is incorporated in, or utilized by, a drug approved under a BLA;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drug will be developed more quickly or receive FDA approval. Moreover, the FDA may revoke a designation if the FDA determines that a designated platform technology no longer meets the criteria for such designation.</w:t>
      </w:r>
    </w:p>
    <w:p>
      <w:pPr>
        <w:spacing w:after="0" w:line="7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Disruptions at the FDA, EMA and other agencies may also slow the time necessary for new drugs to be reviewed and/or approved by necessary government agencies, which would adversely affect our business. For example, in recent years, the U.S. government shut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3" w:name="page94"/>
    <w:bookmarkEnd w:id="93"/>
    <w:p>
      <w:pPr>
        <w:ind w:right="100"/>
        <w:spacing w:after="0" w:line="256" w:lineRule="auto"/>
        <w:rPr>
          <w:sz w:val="20"/>
          <w:szCs w:val="20"/>
          <w:color w:val="auto"/>
        </w:rPr>
      </w:pPr>
      <w:r>
        <w:rPr>
          <w:rFonts w:ascii="Times New Roman" w:cs="Times New Roman" w:eastAsia="Times New Roman" w:hAnsi="Times New Roman"/>
          <w:sz w:val="18"/>
          <w:szCs w:val="18"/>
          <w:color w:val="auto"/>
        </w:rPr>
        <w:t>down and certain regulatory agencies, such as the FDA and the SEC, had to furlough critical employees and stop critical activities. In addition, disruptions may also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while the FDA’s review of marketing applications and other activities for new drugs and biologics is largely funded through the user fee program established under PDUFA, it remains unclear how the current administration’s reduction in force and budget cuts will impact this program and the ability of the FDA to provide guidance and review our product candidates in a timely manner. There also continues to be uncertainty as to how other measures being implemented by the current administration across the government will impact our activities and those of the FDA and its operations. For example, the potential loss of FDA personnel could lead to further disruptions and delays in FDA review of our product candidates.</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emergency related disruption occurs, it could significantly impact the ability of the FDA to timely review and process our regulatory submissions, which could have a material adverse effect on our business. Future emergency-related disruptions could also affect other government agencies such as the SEC, which may also impact our business by delaying review of our public filings, to the extent such review is necessary, and our ability to access the public markets.</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spacing w:after="0" w:line="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While we have received orphan drug designation for a product candidate in the past, the FDA’s standards for granting orphan drug exclusivity in the gene therapy context remain unclear and evolving. For example,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will determine whether two vectors from the same viral class are the same on a case-by-case basis and may consider additional key features in assessing sameness. In addition, in order for the FDA to grant orphan drug exclusivity to one of our product candidates, the FDA must find that the product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Orphan drug exclusivity may also be lost if the FDA or EMA determines that the request for designation was materially defective or if the manufacturer is unable to assure sufficient quantity of the product to meet the needs of the patients with the rare disease or condition. In addition, even after an orphan drug is approved, the FDA can subsequently approve the same drug for the same condition if the FDA concludes that the later product candidate is clinically superior in that it is shown to be safer, more effective or makes a major contribution to patient care compared with the product that has orphan exclusivity.</w:t>
      </w:r>
    </w:p>
    <w:p>
      <w:pPr>
        <w:spacing w:after="0" w:line="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Further, under Omnibus legislation signed in December 2020, the requirement for a product to show clinical superiority applies to drugs and biologics that received orphan drug designation before enactment of FDARA in 2017, but have not yet been approved or licensed by the FDA.</w:t>
      </w:r>
    </w:p>
    <w:p>
      <w:pPr>
        <w:spacing w:after="0" w:line="7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 xml:space="preserve">The FDA may further reevaluate the Orphan Drug Act and its regulations and policies. This may be particularly true in light of a decision from the Court of Appeals for the 11th Circuit in September 2021.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the court held that, for the purpose of determining the scope of orphan drug exclusivity, the term “same disease or condition” in the statute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4" w:name="page95"/>
    <w:bookmarkEnd w:id="94"/>
    <w:p>
      <w:pPr>
        <w:spacing w:after="0" w:line="256" w:lineRule="auto"/>
        <w:rPr>
          <w:sz w:val="20"/>
          <w:szCs w:val="20"/>
          <w:color w:val="auto"/>
        </w:rPr>
      </w:pPr>
      <w:r>
        <w:rPr>
          <w:rFonts w:ascii="Times New Roman" w:cs="Times New Roman" w:eastAsia="Times New Roman" w:hAnsi="Times New Roman"/>
          <w:sz w:val="18"/>
          <w:szCs w:val="18"/>
          <w:color w:val="auto"/>
        </w:rPr>
        <w:t xml:space="preserve">means the designated “rare disease or condition” and could not be interpreted by the FDA to mean the “indication or use.” On January 23, 2023, the FDA announced that, in matters beyond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court order, the FDA will continue to apply its existing regulations tying orphan-drug exclusivity to the uses or indications for which the orphan drug is approved. More recently however, on February 14, 2025, a federal district court in Washington, D.C., fully embraced the reasoning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decision in another decision challenging the scope of orphan drug exclusivity. On April 17, 2025, the FDA appealed this decision to the U.S. Court of Appeals for the D.C. Circuit. The implications of this decision, and its impact on the FDA’s implementation of the Orphan Drug Act, are unclear at this point.</w:t>
      </w:r>
    </w:p>
    <w:p>
      <w:pPr>
        <w:spacing w:after="0" w:line="75"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including certain laws and regulations applicable only if we have marketed products, include the following:</w:t>
      </w:r>
    </w:p>
    <w:p>
      <w:pPr>
        <w:spacing w:after="0" w:line="75" w:lineRule="exact"/>
        <w:rPr>
          <w:sz w:val="20"/>
          <w:szCs w:val="20"/>
          <w:color w:val="auto"/>
        </w:rPr>
      </w:pPr>
    </w:p>
    <w:p>
      <w:pPr>
        <w:ind w:left="1020" w:right="20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6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20" w:righ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under the Healthcare Reform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71"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also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 The provision of benefits or advantages to physicians is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5" w:name="page96"/>
    <w:bookmarkEnd w:id="95"/>
    <w:p>
      <w:pPr>
        <w:ind w:right="540"/>
        <w:spacing w:after="0" w:line="282" w:lineRule="auto"/>
        <w:rPr>
          <w:sz w:val="20"/>
          <w:szCs w:val="20"/>
          <w:color w:val="auto"/>
        </w:rPr>
      </w:pPr>
      <w:r>
        <w:rPr>
          <w:rFonts w:ascii="Times New Roman" w:cs="Times New Roman" w:eastAsia="Times New Roman" w:hAnsi="Times New Roman"/>
          <w:sz w:val="18"/>
          <w:szCs w:val="18"/>
          <w:color w:val="auto"/>
        </w:rPr>
        <w:t>also governed by the national anti-bribery laws of EU Member States, such as the U.K. Bribery Act 2010. Infringement of these laws could result in substantial fines and imprisonment.</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and any future collaborators to obtain marketing approval of and commercialize our product candidates and affect the prices we, or they, may obtain.</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any product candidates we may develop,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March 2010, the United States Congress enacted the 2010 Patient Protection and Affordable Care Act, or the PPACA. 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7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Other legislative changes have been adopted since the PPACA was enacted, including aggregate reductions to Medicare payments to providers of up to 2% per fiscal year, which went into effect in April 2013 and will remain in effect through 2031. Under current legislation, the actual reductions in Medicare payments may vary up to 4%. The Consolidated Appropriations Act, or CAA, which was signed into law by President Biden in December 2022, made several changes to sequestration of the Medicare program. Section 1001 of the CAA delays the 4% Statutory Pay-As-You-Go Act of 2010, or PAYGO, sequester for two years, through the end of calendar year 2024. Triggered by the enactment of the American Rescue Plan Act of 2021, the 4% cut to the Medicare program would have taken effect in January 2023. The CAA’s health care offset title includes Section 4163, which extends the 2% Budget Control Act of 2011 Medicare sequester for six months into fiscal year 2032 and lowers the payment reduction percentages in fiscal years 2030 and 2031.</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Act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spacing w:after="0" w:line="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the EU,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6" w:name="page97"/>
    <w:bookmarkEnd w:id="96"/>
    <w:p>
      <w:pPr>
        <w:spacing w:after="0" w:line="254"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51"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been the subject of considerable discussion in the United States. There have been several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7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products from Canada. On May 21, 2025, the FDA announced that it would offer individual states the opportunity to submit a draft proposal for pre-review and meet with the FDA to obtain initial feedback from FDA prior to formally submitting their SIP proposal. The intent of these meetings is to assist states in developing their proposals by further clarifying requirements, enhancing the quality of proposals submitted to the FDA and ultimately shortening the review timeline.</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IRA further delayed implementation of this rule to January 1, 2032.</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Drugs and biologics that have been approved for a single rare disease or condition were originally categorically excluded from price negotiation. With passage of the OBBBA on July 3, 2025, which was signed into law on July 4, 2025, Congress extended this exemption to drugs and biologics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On August 15, 2024, the HHS published the results of the first Medicare drug price negotiations for ten selected drugs that treat a range of conditions, including diabetes, chronic kidney disease, and rheumatoid arthritis. The prices of these ten drugs became effective January 1, 2026. On January 17, 2025, CMS announced its selection of 15 additional drugs covered by Part D for the second cycle of negotiations by February 1, 2025. While there had been some questions about the Trump Administration’s position on this program, CMS issued a public statement on January 29, 2025, declaring that lowering the cost of prescription drugs is a top priority of the new</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7" w:name="page98"/>
    <w:bookmarkEnd w:id="97"/>
    <w:p>
      <w:pPr>
        <w:ind w:right="440"/>
        <w:spacing w:after="0" w:line="266" w:lineRule="auto"/>
        <w:rPr>
          <w:sz w:val="20"/>
          <w:szCs w:val="20"/>
          <w:color w:val="auto"/>
        </w:rPr>
      </w:pPr>
      <w:r>
        <w:rPr>
          <w:rFonts w:ascii="Times New Roman" w:cs="Times New Roman" w:eastAsia="Times New Roman" w:hAnsi="Times New Roman"/>
          <w:sz w:val="18"/>
          <w:szCs w:val="18"/>
          <w:color w:val="auto"/>
        </w:rPr>
        <w:t>administration and CMS is committed to considering opportunities to bring greater transparency in the negotiation program. The second cycle of negotiations with participating drug companies will occur during 2025, and any negotiated prices for this second set of drugs will be effective starting January 1, 2027.</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8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Pharmaceutical Research and Manufacturers of America, Novo Nordisk, Inc., Janssen Pharmaceuticals, Inc., Novartis AG, AstraZeneca plc and Boehringer Ingelheim International GMBH, also filed lawsuits in various courts with similar constitutional claims against HHS and CMS. There have been various decisions by the courts considering these cases since they were filed. HHS has generally won the substantive disputes in these cases or succeeded in getting claims dismissed for lack of standing. Most of these cases are now on appeal. On October 30, 2024, the U.S. Court of Appeals for the Third Circuit heard oral arguments in three of these cases. In April 2025, the U.S. Court of Appeals for the Second Circuit and the U.S. Court of Appeals for the Third Circuit heard arguments in an additional three cases. On May 8, 2025, the U.S. Court of Appeals for the Third Circuit rejected AstraZeneca L.P.’s challenge to the Medicare price negotiation program, finding that the program did not violate the company’s due process rights under the Constitution since there is no protected property interest in selling goods to Medicare beneficiaries at a price higher than what the government is willing to pay in reimbursement. Litigation involving these and other provisions of the IRA will continue with unpredictable and uncertain results.</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markets outside of the United States and the EU, reimbursement and healthcare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principal investigators and any commercial partners we may have. Misconduct by these parties could include intentional failures to comply with FDA regulations or the regulations applicable in the EU and other jurisdictions, provide accurate information to the FDA, the EMA, and other regulatory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8" w:name="page99"/>
    <w:bookmarkEnd w:id="98"/>
    <w:p>
      <w:pPr>
        <w:ind w:right="40"/>
        <w:spacing w:after="0" w:line="253" w:lineRule="auto"/>
        <w:rPr>
          <w:sz w:val="20"/>
          <w:szCs w:val="20"/>
          <w:color w:val="auto"/>
        </w:rPr>
      </w:pPr>
      <w:r>
        <w:rPr>
          <w:rFonts w:ascii="Times New Roman" w:cs="Times New Roman" w:eastAsia="Times New Roman" w:hAnsi="Times New Roman"/>
          <w:sz w:val="18"/>
          <w:szCs w:val="18"/>
          <w:color w:val="auto"/>
        </w:rPr>
        <w:t>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 candidates outside of the United States and require us to develop and implement costly compliance programs.</w:t>
      </w:r>
    </w:p>
    <w:p>
      <w:pPr>
        <w:spacing w:after="0" w:line="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Similarly, the U.K. Bribery Act 2010 has extra-territorial effect for companies and individuals having a connection with the U.K.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uncertainty surrounding U.S. and international trade policies may adversely impact our business and operating results.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spring of 2025, the U.S. government initiated a series of tariff-related actions against U.S. trading partners. On April 2, 2025, President Trump issued an executive order announcing a “baseline” reciprocal tariff of 10% on all U.S. trading partners effective April 5, 2025, and higher individualized reciprocal tariffs on 57 countries (with certain product exemptions for pharmaceutical-related products, among others). Previously, the Trump Administration had imposed a 25% tariff on Canada and Mexico for goods not covered by the United States-Mexico-Canada Agreement, or USMCA,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Trump Administration delayed the effective date of such tariffs for all countries except China to August 1, 2025. Later, the United States and China reached a framework agreement that ultimately resulted in the suspension of the higher reciprocal tariffs on China until November 10, 2025.</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9" w:name="page100"/>
    <w:bookmarkEnd w:id="99"/>
    <w:p>
      <w:pPr>
        <w:ind w:right="140"/>
        <w:spacing w:after="0" w:line="266" w:lineRule="auto"/>
        <w:rPr>
          <w:sz w:val="20"/>
          <w:szCs w:val="20"/>
          <w:color w:val="auto"/>
        </w:rPr>
      </w:pPr>
      <w:r>
        <w:rPr>
          <w:rFonts w:ascii="Times New Roman" w:cs="Times New Roman" w:eastAsia="Times New Roman" w:hAnsi="Times New Roman"/>
          <w:sz w:val="18"/>
          <w:szCs w:val="18"/>
          <w:color w:val="auto"/>
        </w:rPr>
        <w:t>Shortly before that expiration date, the United States and China reached a one-year agreement with an expiration of November 10, 2026, that includes the continued suspension of the heightened reciprocal tariffs on China and delayed enforcement of new U.S. export rules targeting affiliates of blacklisted firms.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Since the April 2025 reciprocal tariffs announcement, the European Union, Japan, South Korea, Switzerland and the United Kingdom, among others, have reached deals with the United States that include reduced tariff rates to varying levels and other measures. On July 31, 2025, President Trump issued an Executive Order detailing new reciprocal tariff rates for individual countries that took effect on August 7, 2025. The new reciprocal rates, which are consistent with the rates reflected in the trade deals already announced, range from 10% to 41%. The new rates do not apply to Canada, China, Mexico and a few other countries. For China, the 10% baseline reciprocal tariff announced in April remains in effect, in addition to a minimum of a 10% tariff due to drug trafficking. Regarding Canada and Mexico, the rate remains 25% for goods that are not covered by the USMCA for Mexico and, effective August 1, 2025, was increased to 35% on imports from Canada that are not covered by the USMCA. President Trump also announced a further 10% increase on non-USMCA goods from Canada, but it is unclear when such increase will take effect. The European Union, Japan, South Korea, Switzerland (and Liechtenstein), the United Kingdom and others have reached agreements with the United States that cap pharmaceutical tariffs at 15%. In addition, an agreement with Malaysia provides a zero percent tariff exemption for pharmaceutical products that are not patented in the United States and are used in pharmaceutical applications and an agreement with Switzerland and Liechtenstein caps tariffs on pharmaceuticals imported from Switzerland and Liechtenstein at 15%. Finally, the United States signed an agreement with Taiwan on January 15, 2026 that eliminates U.S. tariffs on generic pharmaceuticals, and their active ingredients, imported from Taiwan.</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reciprocal tariffs and the drug trafficking tariffs were imposed by President Trump pursuant to the International Emergency Economic Powers Act, or IEEPA. These tariffs were found to be unconstitutional by multiple federal courts in the spring and summer of 2025. The U.S. Supreme Court agreed to review those decisions on an expedited schedule and is expected to issue its ruling in early 2026. In the meantime, the lower court decisions were stayed, which means that the tariffs remain in effect pending the U.S. Supreme Court’s decision.</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CMOs and other service providers that operate in China.</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Separately, in April 2025, the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President Trump announced, via a post on Truth Social, that, beginning on October 1, 2025, all branded or patented drugs imported into the United States would face a 100% tariff. At the same time, President Trump indicated that these tariffs could be avoided by building pharmaceutical manufacturing facilities in the United States. Thereafter, President Trump delayed the October 1, 2025 effective date of the tariffs on branded or patented pharmaceutical products, announcing that the administration had now “begun preparing” tariffs on manufacturers that do not build in the United States or enter into an MFN drug pricing agreement with the Trump Administration.</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of changes in tariffs that have been announced and/or implemented, and the underlying uncertainty currently surrounding international trade, we could experience a negative impact on our costs of materials and production processes, and supply chain disruptions and delays due to new or revised tariff policies or trade restrictions. If we are unable to obtain necessary raw materials or product components in sufficient quantities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and failure to comply with such requirements could subject us to significant fines and penalties and other consequences, which may have a material adverse effect on our business, financial condition or results of operations.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EU, U.K. and other countries in which we may conduct business.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00" w:name="page101"/>
    <w:bookmarkEnd w:id="100"/>
    <w:p>
      <w:pPr>
        <w:ind w:right="280"/>
        <w:spacing w:after="0" w:line="282" w:lineRule="auto"/>
        <w:rPr>
          <w:sz w:val="20"/>
          <w:szCs w:val="20"/>
          <w:color w:val="auto"/>
        </w:rPr>
      </w:pPr>
      <w:r>
        <w:rPr>
          <w:rFonts w:ascii="Times New Roman" w:cs="Times New Roman" w:eastAsia="Times New Roman" w:hAnsi="Times New Roman"/>
          <w:sz w:val="18"/>
          <w:szCs w:val="18"/>
          <w:color w:val="auto"/>
        </w:rPr>
        <w:t>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w:t>
      </w:r>
    </w:p>
    <w:p>
      <w:pPr>
        <w:spacing w:after="0" w:line="7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recent months, the Officer of Civil Rights, or OCR, has been especially active in enforcing the HIPAA rules.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Additionally, OCR is looking to amend the HIPAA Security Rule, which, if and when finalized, could create additional compliance obligations and risk for our business.</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potential enforcement by the HHS, we could also be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FTC is also in the process of developing rules related to commercial surveillance and data security. We will need to account for the FTC’s evolving rules and guidance for proper privacy and data security practices in order to mitigate risk for a potential enforcement action, which may be costly. Finally, both the FTC and HHS’s enforcement priorities, as well as those of other federal regulators, may be impacted by the change in administration and new leadership. These shifts in enforcement priorities may also impact our business.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also increased restrictions at the federal level relating to transferring sensitive data outside of the U.S.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7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States are also active in creating specific rules relating to the processing of personal information. In 2018, California passed into law the California Consumer Privacy Act or CCPA, which took effect on January 1, 2020 and imposed many requirements on businesses that process the personal information of California residents. Many of the CCPA’s requirements are similar to those found in the European General Data Protection Regulation, or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w:t>
      </w:r>
    </w:p>
    <w:p>
      <w:pPr>
        <w:spacing w:after="0" w:line="8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November 2020, California voters passed a ballot initiative for the California Privacy Rights Act, or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the sole responsibility of which is to enforce the CPRA and other California privacy laws, which will further increase compliance risk. The provisions in the CPRA may apply to some of our business activities.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additional laws that could go into effect in 2026 and beyond, and Congress has also been debating passing a federal privacy law. There are also states that are specifically regulating health information that may affect our business. For example, Washington state passed the My Health My Data Act in 2023 that specifically regulates the collection and sharing of health</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1" w:name="page102"/>
    <w:bookmarkEnd w:id="101"/>
    <w:p>
      <w:pPr>
        <w:ind w:right="140"/>
        <w:spacing w:after="0" w:line="261" w:lineRule="auto"/>
        <w:rPr>
          <w:sz w:val="20"/>
          <w:szCs w:val="20"/>
          <w:color w:val="auto"/>
        </w:rPr>
      </w:pPr>
      <w:r>
        <w:rPr>
          <w:rFonts w:ascii="Times New Roman" w:cs="Times New Roman" w:eastAsia="Times New Roman" w:hAnsi="Times New Roman"/>
          <w:sz w:val="18"/>
          <w:szCs w:val="18"/>
          <w:color w:val="auto"/>
        </w:rPr>
        <w:t>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Similar to the laws in the U.S., 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group of companies of the preceding financial year, whichever is higher, as well as compensation claims by affected individuals, negative publicity, reputational harm and a potential loss of business and goodwill.</w:t>
      </w:r>
    </w:p>
    <w:p>
      <w:pPr>
        <w:spacing w:after="0" w:line="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 to countries that have not been found by the EC to offer adequate data protection legislation. There are ongoing concerns about the ability of companies to transfer personal data from the EU to other countries. In July 2020, the Court of Justice of the EU, or CJEU, invalidated the EU-U.S. Privacy Shield, one of the mechanisms used to legitimize the transfer of personal data from the EEA to the U.S. The CJEU decision also drew into question the long-term viability of an alternative means of data transfer, the standard contractual clauses, for international transfers of personal data from the EEA. This CJEU decision resulted in increased scrutiny on data transfers and increased our costs of compliance with data privacy legislation, as well as our costs of negotiating appropriate privacy and security agreements with our vendors and business partners.</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Some privacy advocacy groups have already suggested that they will be challenging the DPF, and there is currently one pending litigation against the DPF before the Court of Justice of the European Union (CJEU), C-703/25 P – </w:t>
      </w:r>
      <w:r>
        <w:rPr>
          <w:rFonts w:ascii="Times New Roman" w:cs="Times New Roman" w:eastAsia="Times New Roman" w:hAnsi="Times New Roman"/>
          <w:sz w:val="18"/>
          <w:szCs w:val="18"/>
          <w:i w:val="1"/>
          <w:iCs w:val="1"/>
          <w:color w:val="auto"/>
        </w:rPr>
        <w:t>Latombe v Commission</w:t>
      </w:r>
      <w:r>
        <w:rPr>
          <w:rFonts w:ascii="Times New Roman" w:cs="Times New Roman" w:eastAsia="Times New Roman" w:hAnsi="Times New Roman"/>
          <w:sz w:val="18"/>
          <w:szCs w:val="18"/>
          <w:color w:val="auto"/>
        </w:rPr>
        <w:t>. If these challenges are successful, they may not only impact the DPF, but also further limit the viability of the so-called standard contractual clauses and other data transfer mechanisms.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serves as a replacement to the EU-U.S. Privacy Shield. The EC adopted the adequacy decision on July 10, 2023. The adequacy decision permits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 Following the withdrawal of the U.K. from the EU, the U.K. Data Protection Act of 2018 applies to the processing of personal data that takes place in the U.K. and includes parallel obligations to those set forth by the GDPR. In relation to data transfers, both the U.K. and the EU have determined, through separate “adequacy” decisions, that data transfers between the two jurisdictions are in compliance with the U.K. Data Protection Act of 2018 and the GDPR, respectively. The U.K. and the U.S. have also agreed to a U.S.-U.K. “Data Bridge,” which functions similarly to the EU-U.S. Data Privacy Framework and provides an additional legal mechanism for companies to transfer data from the U.K. to the U.S.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Switzerland has also approved an adequacy decision in relation to the Swiss-U.S. Data Privacy Framework (which functions similarly to the EU-U.S. Data Privacy Framework and the U.S.-U.K. Data Bridge in relation to data transfers from Switzerland to the U.S.). Any changes or updates to these developments have the potential to impact our business.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2" w:name="page103"/>
    <w:bookmarkEnd w:id="102"/>
    <w:p>
      <w:pPr>
        <w:ind w:right="160"/>
        <w:spacing w:after="0" w:line="255" w:lineRule="auto"/>
        <w:rPr>
          <w:sz w:val="20"/>
          <w:szCs w:val="20"/>
          <w:color w:val="auto"/>
        </w:rPr>
      </w:pPr>
      <w:r>
        <w:rPr>
          <w:rFonts w:ascii="Times New Roman" w:cs="Times New Roman" w:eastAsia="Times New Roman" w:hAnsi="Times New Roman"/>
          <w:sz w:val="18"/>
          <w:szCs w:val="18"/>
          <w:color w:val="auto"/>
        </w:rPr>
        <w:t>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present new risks and challenges to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If any of these events were to occur or we otherwise fail to comply with applicable regulations, we could incur liability, face restrictive regulatory actions or incur other harm to our business including quick and irreversible damage to our reputation, brand image and goodwill.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information technology</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acquire businesses or technologies, and if we do not successfully do so, or otherwise fail to integrate any new businesses or technologies into our operations, we may have limited growth opportunities and it could result in significant impairment charges or other adverse financial consequences.</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continuing to seek to acquire businesses or technologies that we believe are a strategic fit with our business strategy. Future acquisitions, however, may entail numerous operational and financial risks, including:</w:t>
      </w:r>
    </w:p>
    <w:p>
      <w:pPr>
        <w:spacing w:after="0" w:line="54"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our current financial resources;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 and in connection with future milestone payment obligations under such acquisition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development activities for those acquired or in-licensed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customer base and diversion of our management’s time and attention to develop acquired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not have sufficient resources to acquire businesses and technologies and integrate them into our current infrastructure. In particular, we may compete with larger biotechnology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 candidates and the companies which we acquire that may create conflicts in relationships or other commitments detrimental to the integrated businesses. Additionally, the time between our expenditures to acquire or in-license new technologies or businesses and the subsequent generation of revenues from those acquired technologies or businesses (or the timing of revenue recognition related to licensing agreements and/or strategic collaborations) could cause fluctuations in our financial performance from period to period. Finally, if we devote resources to potential acquisition opportunities that are never completed, or if we fail to realize the anticipated benefits of those efforts, we could incur significant impairment charges or other adverse financial consequences.</w:t>
      </w:r>
    </w:p>
    <w:p>
      <w:pPr>
        <w:spacing w:after="0" w:line="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Chief Executive Officer, President and other key executives and to attract, retain, and motivate qualified personnel.</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highly dependent on John Evans, our Chief Executive Officer, and Dr. Giuseppe Ciaramella, our President, as well as the other principal members of our management and scientific teams. Mr. Evans, Dr. Ciaramella and such other principal members are employed “at will,” meaning we or they may terminate their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3" w:name="page104"/>
    <w:bookmarkEnd w:id="103"/>
    <w:p>
      <w:pPr>
        <w:ind w:right="20"/>
        <w:spacing w:after="0" w:line="261"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Our competitors may seek to use these transitions and the related potential disruptions to gain a competitive advantage over us. There is currently a shortage of highly qualified personnel in our industry, which is likely to continue. Additionally, this shortage of highly qualified personnel is particularly acute in the area where we are located.</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7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growth and advancement of our pipeline, we expect to increase the number of our employees and the scope of our operations in the areas of drug development, regulatory affairs, and sales and marketing. To manage our anticipated future growth in these areas,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an early-stage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any future growth,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 and subject us to securities class action litigation.</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your initial purchase price. The market price for our common stock may be influenced by many factors, including:</w:t>
      </w:r>
    </w:p>
    <w:p>
      <w:pPr>
        <w:spacing w:after="0" w:line="72"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for any product candidates that we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genetic medicines, including those that involve gene editing;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4" w:name="page105"/>
    <w:bookmarkEnd w:id="104"/>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clinical development programs, or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any future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pandemics and public health emergencies;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Maintaining adequate internal financial and accounting controls and procedures to ensure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To comply with the requirements of being a public company, we have undertaken certain actions, such as documenting, reviewing and improving our internal controls and procedures for compliance with Section 404 of the Sarbanes-Oxley Act of 2002, or SOX, which requires annual management assessment of the effectiveness of our internal control over financial reporting and an annual report on and attestation to such assessment by our registered public accounting firm. Notwithstanding such actions, we may not be effective in maintaining the adequacy of our internal controls, and any failure to maintain that adequacy, or consequent inability to produce accurate financial statements on a timely basis, or any disagreement with our auditors on whether we have maintained such adequacy, could increase our operating costs and harm our business. In addition, investors’ perceptions that our internal controls are inadequate or that we are unable to produce accurate financial statements on a timely basis may harm our common stock price and make it more difficult for us to effectively market and sell our service to new and existing customers.</w:t>
      </w:r>
    </w:p>
    <w:p>
      <w:pPr>
        <w:spacing w:after="0" w:line="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towards maintaining compliance with these requirements. These requirements have increased our legal and financial compliance costs and make some activities more time-consuming and costly. For example, as a public company it is more difficult and more expensive for us to maintain director and officer liability insurance, which could make it more difficult for us to attract and retain qualified members of our board of directors.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5" w:name="page106"/>
    <w:bookmarkEnd w:id="105"/>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 unless they sell our common stock for a price higher than which they paid for it.</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the terms of the Financing Agreement preclude us from paying dividends, and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w:t>
      </w:r>
    </w:p>
    <w:p>
      <w:pPr>
        <w:spacing w:after="0" w:line="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fourth amended certificate of incorporation, our second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fourth amended certificate of incorporation, or our certificate of incorporation, and our second amended and restated by-laws, or our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certificate of incorporation and by-laws include provisions that:</w:t>
      </w:r>
    </w:p>
    <w:p>
      <w:pPr>
        <w:spacing w:after="0" w:line="72" w:lineRule="exact"/>
        <w:rPr>
          <w:sz w:val="20"/>
          <w:szCs w:val="20"/>
          <w:color w:val="auto"/>
        </w:rPr>
      </w:pPr>
    </w:p>
    <w:p>
      <w:pPr>
        <w:ind w:left="1020" w:right="4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make, alter, amend or repeal our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certificate of incorporation and by-laws.</w:t>
      </w:r>
    </w:p>
    <w:p>
      <w:pPr>
        <w:spacing w:after="0" w:line="11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for shares of our common stock, thereby depressing the market price of our common stock.</w:t>
      </w:r>
    </w:p>
    <w:p>
      <w:pPr>
        <w:spacing w:after="0" w:line="5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certificate of incorporation or our by-laws, (4) any action to interpret, apply, enforce or determine the validity of our certificate of incorporation or our by-laws or (5) any other action asserting a claim against us that is governed by the internal affairs doctrine. Furthermore, our by-laws also provide that unless we consent in writing to the selection of an alternative forum, the federal district courts of the United States shall be the exclusive forum for the resolution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6" w:name="page107"/>
    <w:bookmarkEnd w:id="106"/>
    <w:p>
      <w:pPr>
        <w:spacing w:after="0" w:line="254" w:lineRule="auto"/>
        <w:rPr>
          <w:sz w:val="20"/>
          <w:szCs w:val="20"/>
          <w:color w:val="auto"/>
        </w:rPr>
      </w:pPr>
      <w:r>
        <w:rPr>
          <w:rFonts w:ascii="Times New Roman" w:cs="Times New Roman" w:eastAsia="Times New Roman" w:hAnsi="Times New Roman"/>
          <w:sz w:val="18"/>
          <w:szCs w:val="18"/>
          <w:color w:val="auto"/>
        </w:rPr>
        <w:t>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and by-laws described above. These choice of forum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or by-laws inapplicable to, or unenforceable in respect of, one or more of the specified types of actions or proceedings, we may incur additional costs associated with resolving such matters in other jurisdictions, which could adversely affect our business and financial condition. For example, the Court of Chancery of the State of Delaware recently determined that a provision stating that federal district courts of the United States are the exclusive forum for resolving any complaint asserting a cause of action under the Securities Act is not enforceable. However, this decision may be reviewed and ultimately overturned by the Delaware Supreme Court.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emergencies or epidemics could adversely impact our business.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Public health emergencies or epidemics could materially and adversely affect our business and our financial results and could cause a disruption to the development of our product candidates. The extent to any such public health emergency may impact our business, results of operations and future growth prospects will depend on a variety of factors, including the duration, scope and severity of the emergency, the existence and extent of travel restrictions and social distancing in the U.S. and other countries, business closures or business disruptions, the effectiveness of actions taken in the U.S. and other countries, and the availability of therapeutic interventions.</w:t>
      </w:r>
    </w:p>
    <w:p>
      <w:pPr>
        <w:spacing w:after="0" w:line="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Some factors from public health emergencies that could delay or otherwise adversely affect the completion of our preclinical and clinical activities and, depending on the duration of the outbreak, the initiation of any future clinical trials, as well as our business generally, include:</w:t>
      </w:r>
    </w:p>
    <w:p>
      <w:pPr>
        <w:spacing w:after="0" w:line="54" w:lineRule="exact"/>
        <w:rPr>
          <w:sz w:val="20"/>
          <w:szCs w:val="20"/>
          <w:color w:val="auto"/>
        </w:rPr>
      </w:pPr>
    </w:p>
    <w:p>
      <w:pPr>
        <w:ind w:left="1020" w:right="320" w:hanging="503"/>
        <w:spacing w:after="0" w:line="258"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availability of preclinical and clinical trial sites, researchers and investigators, regulatory agency personnel, and materials;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business operations by local, state, or the federal government that could impact our ability to conduct our preclinical and clinical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hinder our timelines;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shipping affecting the transport of key materials;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key materials from our CMOs due to staffing shortages, production slowdowns or stoppages, increased demand from third parties for key materials and disruptions in delivery systems;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third-party suppliers, including through the effects of facility closures, reductions in operating hours, staggered shifts and other social distancing efforts, labor shortages, decreased productivity and unavailability of materials or components.</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Public health emergencies may also have the effect of heightening many of the other risks described in this section titled “Item 1A. Risk Factors,” such as risks related to our need to raise additional funding, fluctuation of our quarterly financial results, and our ability to obtain and maintain regulatory approvals.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could adversely affect our business and financial condition.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One Big Beautiful Bill Act, or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certain exceptions. Thus, the excise tax could apply to certain transactions that are not traditional stock repurchases. The OBBBA contains numerous tax provisions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7" w:name="page108"/>
    <w:bookmarkEnd w:id="107"/>
    <w:p>
      <w:pPr>
        <w:ind w:right="120"/>
        <w:spacing w:after="0" w:line="266" w:lineRule="auto"/>
        <w:rPr>
          <w:sz w:val="20"/>
          <w:szCs w:val="20"/>
          <w:color w:val="auto"/>
        </w:rPr>
      </w:pPr>
      <w:r>
        <w:rPr>
          <w:rFonts w:ascii="Times New Roman" w:cs="Times New Roman" w:eastAsia="Times New Roman" w:hAnsi="Times New Roman"/>
          <w:sz w:val="18"/>
          <w:szCs w:val="18"/>
          <w:color w:val="auto"/>
        </w:rPr>
        <w:t>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disruptions impacting global supply, the conflict between Russia and Ukraine and related sanctions against Russia, increasing inflation rates and interest rate changes.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through our information security program and relevant contractual agreements with our business partners, if such an event were to occur and cause interruptions in our operations, it could result in a disruption of our development programs and our business operations, whether due to a loss of our trade secrets or other proprietary information or other disruptions, including the possible loss of personal data. For example, the loss of clinical trial data from future clinical trials could result in delays in our regulatory approval efforts and significantly increase our costs to recover or reproduce the data, as well as subject us to obligations and risks related to the potential loss of personal data. If we were to experience a significant cybersecurity breach of our information systems or data, the costs associated with the investigation, remediation and potential notification of the breach to counterparties and data subjects could be material, in addition to potential costs related to regulatory investigations in the United States or other countries.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of, or damage to, our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08" w:name="page109"/>
    <w:bookmarkEnd w:id="108"/>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Additionally, there are increased rules and regulations governing the use and development of artificial intelligence at the state, federal, and international levels, which creates potential compliance and enforcement risk. These developments could damage our reputation, result in the loss of valuable property and information, and adversely impact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overall risk management program/information technology function and are designed to help protect our information assets and operations from internal and external cyber threats, protect employee and clinical trial information from unauthorized access or attack, as well as secure our networks and systems. Such processes include physical, procedural and technical safeguards, response plans, regular tests on our systems, incident simulations and routine review of our policies and procedures to identify risks and enhance our practices. We engage certain external parties, including consultants, independent privacy assessors, computer security firms and risk management, peer companies, industry groups and governance experts, to enhance our cybersecurity oversight. We consider the internal risk oversight programs of third-party service providers before engaging them in order to help protect our company from any related vulnerabilities.</w:t>
      </w:r>
    </w:p>
    <w:p>
      <w:pPr>
        <w:spacing w:after="0" w:line="8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Based on an assessment using these processes, we do not believe that there are currently any risks from known cybersecurity threats that are reasonably likely to materially affect our company or our business strategy, results of operations or financial condition. For additional information, please see the risk factor titled “</w:t>
      </w:r>
      <w:r>
        <w:rPr>
          <w:rFonts w:ascii="Times New Roman" w:cs="Times New Roman" w:eastAsia="Times New Roman" w:hAnsi="Times New Roman"/>
          <w:sz w:val="18"/>
          <w:szCs w:val="18"/>
          <w:i w:val="1"/>
          <w:iCs w:val="1"/>
          <w:color w:val="auto"/>
        </w:rPr>
        <w:t>Our internal computer systems, or those of our third-party vendors, collaborators or other contractors or consultants, may fail or suffer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 </w:t>
      </w:r>
      <w:r>
        <w:rPr>
          <w:rFonts w:ascii="Times New Roman" w:cs="Times New Roman" w:eastAsia="Times New Roman" w:hAnsi="Times New Roman"/>
          <w:sz w:val="18"/>
          <w:szCs w:val="18"/>
          <w:color w:val="auto"/>
        </w:rPr>
        <w:t>under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1A., </w:t>
      </w:r>
      <w:r>
        <w:rPr>
          <w:rFonts w:ascii="Times New Roman" w:cs="Times New Roman" w:eastAsia="Times New Roman" w:hAnsi="Times New Roman"/>
          <w:sz w:val="18"/>
          <w:szCs w:val="18"/>
          <w:i w:val="1"/>
          <w:iCs w:val="1"/>
          <w:color w:val="auto"/>
        </w:rPr>
        <w:t>Risk factors—General risk factors,</w:t>
      </w:r>
      <w:r>
        <w:rPr>
          <w:rFonts w:ascii="Times New Roman" w:cs="Times New Roman" w:eastAsia="Times New Roman" w:hAnsi="Times New Roman"/>
          <w:sz w:val="18"/>
          <w:szCs w:val="18"/>
          <w:color w:val="auto"/>
        </w:rPr>
        <w:t xml:space="preserve"> in this Annual Report on Form 10-K.</w:t>
      </w:r>
    </w:p>
    <w:p>
      <w:pPr>
        <w:spacing w:after="0" w:line="7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direct oversight over cybersecurity risk, and provides updates to the board of directors regarding such oversight. The Audit Committee receives updates quarterly from management regarding cybersecurity matters, and is notified between such updates regarding significant new cybersecurity threats or incidents.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Vice President of Information Security, or the VP, IS, leads the operational oversight of company-wide cybersecurity strategy, policy, standards and processes and works across relevant departments to assess and help prepare us and our employees and third-party service providers to address cybersecurity risks. The VP, IS’s cybersecurity training includes 25 years of experience building and maintaining cybersecurity programs, and he obtained his certified information systems security professional, or CISSP, certification from the International Information System Security Certification Consortium, or ISC2, and his Cybersecurity and Infrastructure Security Agency, or CISA, certification from ISACA.</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an effort to deter and detect cyber threats, we annually provide all employees, including part-time and temporary employees, with a data protection, cybersecurity and incident response and prevention training and compliance program, which covers timely and relevant topics. Past topics have included social engineering, phishing, password protection, confidential data protection, asset use and mobile security, and educate employees on the importance of reporting all incidents immediately. We also use technology-based tools to mitigate cybersecurity risks and to bolster our employee-based cybersecurity programs.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have leased approximately 130,258 square feet of office and laboratory space in Cambridge, Massachusetts under a lease that expires in 2034. Additionally, we entered into a lease agreement with Alexandria Real Estate Equities, Inc. pursuant to which we built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9" w:name="page110"/>
    <w:bookmarkEnd w:id="109"/>
    <w:p>
      <w:pPr>
        <w:spacing w:after="0" w:line="266" w:lineRule="auto"/>
        <w:rPr>
          <w:sz w:val="20"/>
          <w:szCs w:val="20"/>
          <w:color w:val="auto"/>
        </w:rPr>
      </w:pPr>
      <w:r>
        <w:rPr>
          <w:rFonts w:ascii="Times New Roman" w:cs="Times New Roman" w:eastAsia="Times New Roman" w:hAnsi="Times New Roman"/>
          <w:sz w:val="18"/>
          <w:szCs w:val="18"/>
          <w:color w:val="auto"/>
        </w:rPr>
        <w:t>a 100,000 square foot manufacturing facility in Research Triangle Park, North Carolina intended to support a broad range of clinical programs, which lease expires in 2037. We believe that our facilities are sufficient to meet our current needs and that suitable additional space will be available as and when needed.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subject to various legal proceedings and claims that arise in the ordinary course of our business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10" w:name="page111"/>
    <w:bookmarkEnd w:id="110"/>
    <w:p>
      <w:pPr>
        <w:ind w:left="52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“BEAM” since February 6, 2020. Prior to that time, there was no public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February 17, 2026, there were approximately 25 holders of record of our common stock. This number does not include beneficial owners whose shares are held by nominees in street name.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 In addition, our financing agreement with Sixth Street Lending Partners contains restrictive covenants that prohibit us, subject to certain exceptions, from paying dividends on our common stock, and future debt securities or other financing arrangements could contain similar or more restrictive negative covenants.</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shares of common stock between December 31, 2020 and December 31, 2025, with the cumulative total return of (a) the Nasdaq Biotechnology Index and (b) the Nasdaq Composite Index, over the same period. This graph assumes the investment of $100 on December 31, 2020 in our common stock, the Nasdaq Biotechnology Index and the Nasdaq Composite Index and assumes the reinvestment of dividends, if any. The comparisons shown in the graph below are based upon historical data.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966460" cy="4972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6460" cy="497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Neither we nor any affiliated purchaser or anyone acting on our behalf or on behalf of an affiliated purchaser made any purchases of shares of our common stock during the fourth quarter of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7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Information pertaining to fiscal year 2023 was included in our Annual Report on Form 10-K for the year ended December 31, 2024 on pages 111 through 123 under Part II, Item 7, “Management’s Discussion and Analysis of Financial Position and Results of Operations,” which was filed with the Securities and Exchange Commission (the “SEC”) on February 25,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as well as internal manufacturing capabilities.</w:t>
      </w:r>
    </w:p>
    <w:p>
      <w:pPr>
        <w:spacing w:after="0" w:line="6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w:t>
      </w:r>
    </w:p>
    <w:p>
      <w:pPr>
        <w:spacing w:after="0" w:line="2" w:lineRule="exact"/>
        <w:rPr>
          <w:sz w:val="20"/>
          <w:szCs w:val="20"/>
          <w:color w:val="auto"/>
        </w:rPr>
      </w:pPr>
    </w:p>
    <w:p>
      <w:pPr>
        <w:ind w:right="80" w:firstLine="8"/>
        <w:spacing w:after="0" w:line="252" w:lineRule="auto"/>
        <w:tabs>
          <w:tab w:leader="none" w:pos="2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with the potential to dramatically increase the impact of gene editing. We are also pursuing a suite of delivery modalities, including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approaches, depending on tissue type. The elegance of the base editing approach, combined with a tissue specific delivery modality, provides the basis for a targeted, efficient, precise, and highly versatile gene editing system that is designed to be capable of gene correction, gene silencing, gene activation, gene modification, and/or multiplex editing of several genes simultaneously.</w:t>
      </w:r>
    </w:p>
    <w:p>
      <w:pPr>
        <w:spacing w:after="0" w:line="8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Our goal is to advance a broad, diversified portfolio of base editing programs against distinct, genetically validated editing targets, as well as an innovative, platform business model that will expand the reach of our programs to more patients. Overall, we are seeking to build the leading integrated platform for precision genetic medicine, which may have broad therapeutic applicability and the potential to transform the field of precision genetic medicines.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We are pursuing a long-term, staged development strategy for our base editing approach to treat hematological diseases, such as sickle cell disease and beta-thalassemia. Our initial wave consists of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programs in which hematopoietic stem cells, or HSCs, are collected from a patient, edited using electroporation, and then infused back into the patient following a conditioning regimen, such as treatment with busulfan, the standard of care in HSC transplantation, or HSCTs, today. Once reinfused, the HSCs begin repopulating a portion of the bone marrow in a process known as engraftment. The engrafted, edited HSCs give rise to progenitor cell types with the corrected gene sequences. We are deploying this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 in our risto-cel program. We are also pursuing a next wave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with delivery directly into HSCs of patients via LNPs. We believe this multi-wave strategy can maximize the potential applicability of our sickle cell disease programs to patients as well as create a platform for the treatment of many other severe genetic blood disorders.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 Vivo Base Editing via Autologous Transplant with risto-cel</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are using base editing to pursue the development of risto-cel for the treatment of sickle cell disease. Risto-cel is a patient-specific, autologous HSC investigational therapy designed to offer a potentially best-in-class profile, incorporating base edits that are intended to mimic single nucleotide polymorphisms seen in individuals with hereditary persistence of fetal hemoglobin, or HbF.</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Risto-cel aims to alleviate the effects of sickle cell disease by increasing HbF, which is expected to increase functional hemoglobin production and, in the case of sickle cell disease, inhibit hemoglobins S, or HbS, polymerization.</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conducting a Phase 1/2 clinical trial designed to assess the safety and efficacy of risto-cel for the treatment of sickle cell disease, which we refer to as our BEACON trial. The BEACON trial includes approximately 50 adults and adolescents with severe sickle cell disease who have received prior treatment with at least one disease-modifying agent with inadequate response or intolerance. Following mobilization, conditioning and treatment with risto-cel, patients are assessed for safety and tolerability, with safety endpoints including neutrophil and platelet engraftment. Patients are also assessed for efficacy, with efficacy endpoints including the change from baseline in severe vaso-occlusive events, transfusion requirements, HbF levels, and quality of life assessments. The adult and adolescent enrollment for BEACON is complete, and manufacturing of all doses was completed as of</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13" w:name="page114"/>
    <w:bookmarkEnd w:id="113"/>
    <w:p>
      <w:pPr>
        <w:ind w:right="200"/>
        <w:spacing w:after="0" w:line="266" w:lineRule="auto"/>
        <w:rPr>
          <w:sz w:val="20"/>
          <w:szCs w:val="20"/>
          <w:color w:val="auto"/>
        </w:rPr>
      </w:pPr>
      <w:r>
        <w:rPr>
          <w:rFonts w:ascii="Times New Roman" w:cs="Times New Roman" w:eastAsia="Times New Roman" w:hAnsi="Times New Roman"/>
          <w:sz w:val="18"/>
          <w:szCs w:val="18"/>
          <w:color w:val="auto"/>
        </w:rPr>
        <w:t>December 2025. The U.S. Food and Drug Administration, or the FDA, has granted orphan drug designation and regenerative medicine advanced therapy designation to risto-cel. Risto-cel has also been accepted into the FDA’s Chemistry, Manufacturing, and Controls Development and Readiness pilot program.</w:t>
      </w:r>
    </w:p>
    <w:p>
      <w:pPr>
        <w:spacing w:after="0" w:line="6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December 2025, we presented updated data from the BEACON trial at the American Society of Hematology 2025 Annual Meeting, or ASH. The presentation contained preliminary data as of August 6, 2025, from 31 patients in the trial, with follow up ranging from 0.3 to 20.4 months. The presentation data included the following:</w:t>
      </w:r>
    </w:p>
    <w:p>
      <w:pPr>
        <w:spacing w:after="0" w:line="68" w:lineRule="exact"/>
        <w:rPr>
          <w:sz w:val="20"/>
          <w:szCs w:val="20"/>
          <w:color w:val="auto"/>
        </w:rPr>
      </w:pPr>
    </w:p>
    <w:p>
      <w:pPr>
        <w:ind w:left="1020" w:right="40" w:hanging="503"/>
        <w:spacing w:after="0" w:line="261"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achieved mean HbF levels above 60% and a mean durable reduction in corresponding HbS below 40%. A pancellular distribution of HbF, reflecting expression across most of the circulating red blood cells, was observed, with mean per-cell HbF levels maintained above the sickling threshold throughout follow-up. Durable, high editing efficiency was observed in peripheral blood and bone marrow following treatment with risto-cel. Mean peripheral blood editing was 67.4% at Month 6 and 72.8% by Month 12</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required a median of one (range: 1-5) stem cell collection cycle, comprising a median of three (range: 1–13) total collection days for</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risto-cel manufacturing process and back-up cell collection. The median time to neutrophil engraftment was 17.5 days (range: 12-30),</w:t>
      </w:r>
    </w:p>
    <w:p>
      <w:pPr>
        <w:spacing w:after="0" w:line="9" w:lineRule="exact"/>
        <w:rPr>
          <w:rFonts w:ascii="Times New Roman" w:cs="Times New Roman" w:eastAsia="Times New Roman" w:hAnsi="Times New Roman"/>
          <w:sz w:val="18"/>
          <w:szCs w:val="18"/>
          <w:color w:val="auto"/>
        </w:rPr>
      </w:pPr>
    </w:p>
    <w:p>
      <w:pPr>
        <w:ind w:left="102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median duration of severe neutropenia of seven days (range: 1-17). The median time to platelet engraftment was 19 days (range: 11-53). In addition, 29% of patients did not require any platelet transfusions following risto-cel treatment.</w:t>
      </w:r>
    </w:p>
    <w:p>
      <w:pPr>
        <w:spacing w:after="0" w:line="73" w:lineRule="exact"/>
        <w:rPr>
          <w:rFonts w:ascii="Times New Roman" w:cs="Times New Roman" w:eastAsia="Times New Roman" w:hAnsi="Times New Roman"/>
          <w:sz w:val="18"/>
          <w:szCs w:val="18"/>
          <w:color w:val="auto"/>
        </w:rPr>
      </w:pPr>
    </w:p>
    <w:p>
      <w:pPr>
        <w:ind w:left="1020" w:right="160" w:hanging="503"/>
        <w:spacing w:after="0" w:line="258"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Hb levels increased rapidly with all patients experiencing resolution of anemia after elimination of the transfused blood. Key markers of hemolysis, including indirect bilirubin, haptoglobin, lactate dehydrogenase, and reticulocytes, normalized or improved in all patients following risto-cel treatment. Erythropoietin levels also trended toward normal, indicating significant improvement in oxygen delivery to tissues. Sickling parameters all decreased in the blood following risto-cel treatment to levels comparable to those seen in individuals with sickle cell trait.</w:t>
      </w:r>
    </w:p>
    <w:p>
      <w:pPr>
        <w:spacing w:after="0" w:line="75"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safety profile of risto-cel was consistent with busulfan conditioning, autologous HSCT and underlying sickle cell disease. The most common treatment-emergent adverse events were consistent with busulfan conditioning, including febrile neutropenia, stomatitis and decreased appetite. As previously reported, one patient died four months after risto-cel infusion due to respiratory failure that was determined by the investigator to be likely related to busulfan conditioning and deemed unrelated to risto-cel. No patients experienced any investigator-reported severe vaso-occlusive crises post-engraftment.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submit a BLA for risto-cel as early as year-end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Vivo B</w:t>
      </w:r>
      <w:r>
        <w:rPr>
          <w:rFonts w:ascii="Times New Roman" w:cs="Times New Roman" w:eastAsia="Times New Roman" w:hAnsi="Times New Roman"/>
          <w:sz w:val="18"/>
          <w:szCs w:val="18"/>
          <w:b w:val="1"/>
          <w:bCs w:val="1"/>
          <w:i w:val="1"/>
          <w:iCs w:val="1"/>
          <w:color w:val="auto"/>
        </w:rPr>
        <w:t>ase Editing via HSC-targeted LNPs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continue to develop targeted LNPs for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of gene editing payloads to HSCs. Based on recent advancements in this technology, we are now prioritizing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delivery for our next wave approach to treating sickle cell disease. We have identified multiple targeted LNPs that have the potential for HSC delivery and are currently engaged in lead optimization. In parallel, we are also continuing development of our proprietary ESCAPE platform, which combines antibody-based conditioning with multiplex gene edited HSCs. ESCAPE has the potential to enable non-genotoxic treatment strategies that can be delivered either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including as part of any future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 for sickle cell disease. We are conducting a Phase 1 healthy volunteer clinical trial of BEAM-103, an anti-CD117 monoclonal antibody that enables ESCAPE, and expect to complete dosing in the trial in the first half of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Genetic Diseases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BEAM-302: In Vivo LNP liver-targeting for AATD</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BEAM-302 is a liver-targeting LNP formulation of base editing reagents designed to offer a one-time treatment to correct the E342K point mutation (PiZZ genotype) predominantly responsible for the severe form of alpha-1 antitrypsin deficiency, or AATD. AATD is an inherited genetic disorder that can cause early onset emphysema and liver disease. The most severe form of AATD arises when a patient has a point mutation in both copies of the SERPINA1 gene at amino acid 342 position (E342K, also known as the PiZ mutation or the “Z” allele). This point mutation causes Alpha-1 antitrypsin, or AAT, protein to misfold, accumulating inside liver cells rather than being secreted, resulting in very low levels (10%-15%) of circulating AAT. In addition to resulting in lower levels, the PiZ AAT protein variant is also less enzymatically effective compared to wildtype AAT protein.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requiring patients to undergo a liver transplant. It is estimated that approximately 100,000 individuals in the United States have two copies of the Z allele. There are currently no curative treatments for patients with AATD.</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14" w:name="page115"/>
    <w:bookmarkEnd w:id="114"/>
    <w:p>
      <w:pPr>
        <w:ind w:right="460"/>
        <w:spacing w:after="0" w:line="266" w:lineRule="auto"/>
        <w:rPr>
          <w:sz w:val="20"/>
          <w:szCs w:val="20"/>
          <w:color w:val="auto"/>
        </w:rPr>
      </w:pPr>
      <w:r>
        <w:rPr>
          <w:rFonts w:ascii="Times New Roman" w:cs="Times New Roman" w:eastAsia="Times New Roman" w:hAnsi="Times New Roman"/>
          <w:sz w:val="18"/>
          <w:szCs w:val="18"/>
          <w:color w:val="auto"/>
        </w:rPr>
        <w:t>We are conducting a Phase 1/2 open label, dose exploration and dose expansion clinical trial of BEAM-302 for the treatment of AATD. The trial will evaluate the safety, tolerability, pharmacodynamics, pharmacokinetics and efficacy of BEAM-302. Part A of the trial is designed to evaluate AATD patients with lung disease, and Part B will evaluate AATD patients with mild to moderate liver disease with or without lung disease.</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Updated clinical data from the dose-escalation portions of Part A and Part B are expected to be shared in the first quarter of 2026, along with an updated clinical development plan for BEAM-302 in patients with AATD. We expect to finalize dose selection for registrational development based on the totality of data from the BEAM-302 trial. We have reached alignment with the FDA on a potential accelerated approval pathway for BEAM-302 based on AAT biomarkers evaluated over 12 months. To support a future BLA submission, we anticipate enrolling approximately 50 additional patients to be treated with the selected optimal biological dose of BEAM-302 in an expansion of the ongoing Phase 1/2 clinical trial.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BEAM-304: In vivo LNP liver-targeting for PKU</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BEAM-304 is a newly announced liver-targeting LNP formulation of base editing reagents designed to correct disease-causing mutations responsible for phenylketonuria, or PKU. PKU is an autosomal recessive disorder caused by mutations in the phenylalanine hydroxylase, or PAH, gene that prevents the body from metabolizing the amino acid phenylalanine, or Phe. Elevated levels of Phe may result in severe neurological and neurocognitive impairments. Patients are generally identified via newborn screening, with the standard of care involving a Phe-restricted diet, as well as medicines that manage Phe levels. Initially, we plan to develop BEAM-304 for the treatment of the two most prevalent variants found in PKU patients in the United States, with ongoing research effort to address the majority of the remaining mutations. In preclinical studies, administration of BEAM-304 resulted in the normalization of Phe levels in mice at therapeutically relevant doses, even when consuming a standard diet. In 2026, we plan to submit a regulatory application for authorization to initiate an open-label, dose-ascending, Phase 1/2 trial of BEAM-304 in PKU patients with the R408W mutation. We believe that learnings from this trial have the potential to provide a predictable path to accelerated development of BEAM-304 for additional mutations, including as a result of novel FDA frameworks for platform medicines.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BEAM-301: In Vivo LNP liver-targeting for GSDIa</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BEAM-301 is a liver-targeting LNP formulation of base editing reagents designed to correct the R83C mutation, the most prevalent disease-causing mutation for, and the mutation which results in the most severe form of, glycogen storage disease Ia, or GSDIa. GSDIa is an autosomal recessive disorder caused by mutations in the G6PC gene that disrupts a key enzyme, G6Pase, critical for maintaining glucose homeostasis. Inhibition of G6Pase activity results in low fasting blood glucose levels that can result in seizures and be fatal. Patients with this mutation typically require ongoing corn starch administration, without which they may enter into hypoglycemic shock within one to three hours.</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conducting a Phase 1/2 clinical trial of BEAM-301 at a select number of sites in the United States. The trial is an open-label, multi-cohort, single-ascending dose evaluation of BEAM-301 for the treatment of GSDIa in patients with the R83C mutation. Key endpoints of the trial include safety and tolerability, time to hypoglycemia during fasting, and changes from baseline in corn starch supplementation. Dosing is complete in the first cohort, and enrollment has been initiated in the second cohort. We expect to report initial data from the trial in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Agreement and Credit Facility</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24, 2026, or the Closing Date, we entered into a financing agreement, or the Financing Agreement, with certain of our subsidiaries as guarantors party thereto, the lenders party thereto, or the Lenders, and Sixth Street Lending Partners, as the administrative agent and collateral agent for the Lenders. The Financing Agreement provides for a senior secured term loan facility of up to $500 million, or the Credit Facility, consisting of (i) an initial draw of $100 million on the Closing Date, (ii) a potential additional $100 million draw upon the acceptance by the FDA of our BLA submission for risto-cel prior to a certain date, or the Delayed Draw A, (iii) a potential additional $100 million draw at the Company’s option upon the FDA’s approval of the risto-cel BLA prior to a certain date, or the Delayed Draw B, (iv) a potential additional $100 million draw at the Company’s option upon achieving a revenue target from sales of risto-cel prior to a certain date and (v) a potential additional $100 million draw subject to agreement among us and the Lenders. The Credit Facility matures on February 24, 2033, or the Maturity Date, and bears interest at an annual rate equal to the 3-month Secured Overnight Financing Rate (SOFR) plus 6.50% (subject to a 1.00% floor) or permits interest on a base rate plus a margin. Certain additional commitment, administrative, undrawn amount and facility fees are also payable in connection with the Credit Facility.</w:t>
      </w:r>
    </w:p>
    <w:p>
      <w:pPr>
        <w:spacing w:after="0" w:line="8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Credit Facility requires quarterly interest payments, but does not provide for scheduled amortization payments during the term. All principal will be due on the Maturity Date. We will have the right to prepay loans under the Credit Facility at any time. We are required to repay loans under the Credit Facility with proceeds from certain asset sales and licensing transactions, condemnation events and extraordinary receipts, subject, in some cases, to reinvestment rights. Repayments are subject, in some cases, to prepayment premiums.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5" w:name="page116"/>
    <w:bookmarkEnd w:id="115"/>
    <w:p>
      <w:pPr>
        <w:ind w:right="200"/>
        <w:spacing w:after="0" w:line="266" w:lineRule="auto"/>
        <w:rPr>
          <w:sz w:val="20"/>
          <w:szCs w:val="20"/>
          <w:color w:val="auto"/>
        </w:rPr>
      </w:pPr>
      <w:r>
        <w:rPr>
          <w:rFonts w:ascii="Times New Roman" w:cs="Times New Roman" w:eastAsia="Times New Roman" w:hAnsi="Times New Roman"/>
          <w:sz w:val="18"/>
          <w:szCs w:val="18"/>
          <w:color w:val="auto"/>
        </w:rPr>
        <w:t>All obligations under the Financing Agreement will be secured on a first-priority basis, subject to certain exceptions, by security interests in substantially all assets of us and our material subsidiaries, including our intellectual property, and will be guaranteed by our material subsidiaries, subject to certain exceptions.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Financing Agreement contains customary covenants, including, without limitation, a financial covenant to maintain liquidity of at least $40 million (which shall increase to $80 million upon the draw of the Delayed Draw A and $125 million upon the draw of the Delayed Draw B) if our market capitalization is below $1.75 billion, a covenant to use commercially reasonable efforts to develop and commercialize risto-cel and negative covenants that, subject to certain exceptions, restrict our ability to incur additional indebtedness, grant liens, make investments (including acquisitions), effectuate mergers or consolidations, engage in asset sales and licensing transactions, pay dividends, modify material agreements, pay subordinated indebtedness, and undertake other matters customarily restricted in such agreements. Among other permissions, we are permitted, on terms and conditions set forth in the Financing Agreement, to have outstanding convertible unsecured notes in an amount not to exceed $400 million. We are subject to restrictions on sales and licensing transactions with respect to our core intellectual property, including risto-cel, subject to certain exceptions, including certain transactions related to areas outside the United States.</w:t>
      </w:r>
    </w:p>
    <w:p>
      <w:pPr>
        <w:spacing w:after="0" w:line="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us and our subsidiaries, and change of control.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Due to the critical importance of high-quality manufacturing and control of production timing and know-how, we have established a 100,000 square foot manufacturing facility in Research Triangle Park, North Carolina intended to support a broad range of clinical programs. The cGMP facility is designed to support manufacturing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cell therapy programs in hematology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non-viral delivery programs for liver and liver-mediated diseases, with the capability to scale-up to support potential commercial supply. For our current clinical trials, we are relying primarily on our internal manufacturing capabilities, along with CMOs with relevant manufacturing experience in genetic medicines. We believe this investment will maximize the value of our portfolio and capabilities, the probability of technical success of our programs, and the speed at which we can provide potentially life-long cures to patients.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were founded in January 2017 and began operations in July 2017.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conducting clinical trials, maintaining and expanding internal manufacturing capabilities, business planning, raising capital and providing general and administrative support for these operations. To date, we have financed our operations primarily through the sales of our redeemable convertible preferred stock, proceeds from offerings of our common stock, payments received under collaboration and license agreements, and our credit facility with Sixth Street Lending Partners.</w:t>
      </w:r>
    </w:p>
    <w:p>
      <w:pPr>
        <w:spacing w:after="0" w:line="7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are an early-stage company, and our programs are at a preclinical or clinical stage of development. To date, we have not generated any revenue from product sales and do not expect to generate revenue from the sale of products in the near future. Our revenue to date has been primarily derived from license and collaboration agreements with partners. Since inception we have incurred significant operating losses. Our net losses for the years ended December 31, 2025, 2024 and 2023 were $80.0 million, $376.7 million and $132.5 million, respectively. As of December 31, 2025, we had an accumulated deficit of $1.6 billion. We expect to continue to incur significant expenses and increasing operating losses in connection with ongoing development activities related to our internal programs and collaborations as we continue our preclinical and clinical development of product candidates; advance additional product candidates toward clinical development; operate our cGMP facility in North Carolina; further develop our base editing platform; continue to make investments in delivery technology for our base editors; conduct research activities as we seek to discover and develop additional product candidates; maintain, expand, enforce, defend and protect our intellectual property portfolio; and continue to hire research and development, clinical, technical operations and commercial personnel. In addition, we expect to continue to incur the costs associated with operating as a public company.</w:t>
      </w:r>
    </w:p>
    <w:p>
      <w:pPr>
        <w:spacing w:after="0" w:line="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result of these anticipated expenditures, we will need to raise additional capital to support our continuing operations and pursue our growth strategy. Until such time as we can generate significant revenue from product sales, if ever, we expect to finance our operations through a combination of equity offerings, debt financings, including our Credit Facility,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capital to support our operations, or, if such capital is available to us, that such additional capital will be sufficient to meet our needs for the short or long term.</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April 2019, we entered into a collaboration and license agreement, or the Verve Agreement, with Verve Therapeutics, Inc., or Verve, a company focused on gene editing for cardiovascular disease treatments. In June 2021, we entered into a research collaboration agreement, or the Apellis Agreement, with Apellis Pharmaceuticals, Inc., or Apellis, focused on the use of our base editing technology to discover new treatments for complement system-driven diseases. In December 2021, we entered into a four-year research collaboration agreement, or the Pfizer Agreement, with Pfizer Inc., or Pfizer, focused on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base editing programs for three targets for rare genetic diseases of the liver, muscle and central nervous system. In September 2022, we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License and Research Collaboration Agreement, or the Orbital Agreement, with Orbital Therapeutics, Inc., or Orbital, a newly formed entity focused on advancing non-viral delivery and RNA technologies. In October 2023, we entered into a Transfer and Delegation Agreement, or the Lilly Agreement, with Eli Lilly and Company, or Lilly, pursuant to which Lilly acquired certain assets and other rights under the Verve Agreement, including our opt-in rights to co-develop and co-commercialize Verve’s base editing programs for cardiovascular disease.</w:t>
      </w:r>
    </w:p>
    <w:p>
      <w:pPr>
        <w:spacing w:after="0" w:line="107"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do not expect to do so in the near future. During the years ended December 31, 2025, 2024, and 2023, we recognized $139.7 million, $63.5 million and $377.7 million respectively, of revenue from our license and collaboration agreements.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see Note 2 and Note 10 of the notes to our audited consolidated financial statements included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which include:</w:t>
      </w:r>
    </w:p>
    <w:p>
      <w:pPr>
        <w:spacing w:after="0" w:line="117"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clinical trials, including contract research organization costs and costs related to study preparation;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materials for use in our preclinical studies, our IND enabling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investments in delivery technology for our base editors;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obtain licenses to intellectual property, such as those with Harvard University, or Harvard, The Broad Institute, Inc., or Broad Institute, Editas Medicine, Inc., or Editas, and Bio Palette Co., Ltd., or Bio Palette, and related future payments should certain success, development and regulatory milestones be achieved;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building of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acquire in-process research and development with no alternative future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regulatory filings;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external research and development expenses support our various preclinical and clinical programs. Our internal research and development expenses consist of employee-related expenses, facility-related expenses, and other indirect research and development expenses incurred in support of overall research and development. 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early phases of development, our research and development costs are often devoted to product platform and proof-of-concept preclinical studies that are not necessarily allocable to a specific target.</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as we advance our programs through their planned preclinical and clinical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intellectual property, business development, commercial readiness and administrative functions. General</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17" w:name="page118"/>
    <w:bookmarkEnd w:id="117"/>
    <w:p>
      <w:pPr>
        <w:ind w:right="300"/>
        <w:spacing w:after="0" w:line="282" w:lineRule="auto"/>
        <w:rPr>
          <w:sz w:val="20"/>
          <w:szCs w:val="20"/>
          <w:color w:val="auto"/>
        </w:rPr>
      </w:pPr>
      <w:r>
        <w:rPr>
          <w:rFonts w:ascii="Times New Roman" w:cs="Times New Roman" w:eastAsia="Times New Roman" w:hAnsi="Times New Roman"/>
          <w:sz w:val="18"/>
          <w:szCs w:val="18"/>
          <w:color w:val="auto"/>
        </w:rPr>
        <w:t>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our increased research and development and commercial readiness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expenses consist of the following items:</w:t>
      </w:r>
    </w:p>
    <w:p>
      <w:pPr>
        <w:spacing w:after="0" w:line="115" w:lineRule="exact"/>
        <w:rPr>
          <w:sz w:val="20"/>
          <w:szCs w:val="20"/>
          <w:color w:val="auto"/>
        </w:rPr>
      </w:pPr>
    </w:p>
    <w:p>
      <w:pPr>
        <w:jc w:val="both"/>
        <w:ind w:left="1020" w:right="20" w:hanging="503"/>
        <w:spacing w:after="0" w:line="267"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derivative liabilities </w:t>
      </w:r>
      <w:r>
        <w:rPr>
          <w:rFonts w:ascii="Times New Roman" w:cs="Times New Roman" w:eastAsia="Times New Roman" w:hAnsi="Times New Roman"/>
          <w:sz w:val="18"/>
          <w:szCs w:val="18"/>
          <w:color w:val="auto"/>
        </w:rPr>
        <w:t>consists primarily of remeasurement gains or losses associated with changes in success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associated with our license agreement with Harvard, dated as of June 27, 2017, as amended, or the Harvard License Agreement and the license agreement with The Broad Institute, as amended, dated as of May 9, 2018, or the Broad License Agreement.</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non-controlling equity investments </w:t>
      </w:r>
      <w:r>
        <w:rPr>
          <w:rFonts w:ascii="Times New Roman" w:cs="Times New Roman" w:eastAsia="Times New Roman" w:hAnsi="Times New Roman"/>
          <w:sz w:val="18"/>
          <w:szCs w:val="18"/>
          <w:color w:val="auto"/>
        </w:rPr>
        <w:t>consists of changes in the fair value of our investments in equity securities.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fair value of contingent consideration liabilities </w:t>
      </w:r>
      <w:r>
        <w:rPr>
          <w:rFonts w:ascii="Times New Roman" w:cs="Times New Roman" w:eastAsia="Times New Roman" w:hAnsi="Times New Roman"/>
          <w:sz w:val="18"/>
          <w:szCs w:val="18"/>
          <w:color w:val="auto"/>
        </w:rPr>
        <w:t>consists of remeasurement of the fair value of the milestone payments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contingent consideration liabilities from acquisitions.</w:t>
      </w:r>
    </w:p>
    <w:p>
      <w:pPr>
        <w:spacing w:after="0" w:line="50" w:lineRule="exact"/>
        <w:rPr>
          <w:rFonts w:ascii="Times New Roman" w:cs="Times New Roman" w:eastAsia="Times New Roman" w:hAnsi="Times New Roman"/>
          <w:sz w:val="18"/>
          <w:szCs w:val="18"/>
          <w:color w:val="auto"/>
        </w:rPr>
      </w:pPr>
    </w:p>
    <w:p>
      <w:pPr>
        <w:ind w:left="1020" w:right="420" w:hanging="503"/>
        <w:spacing w:after="0" w:line="284"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and other income (expense), net </w:t>
      </w:r>
      <w:r>
        <w:rPr>
          <w:rFonts w:ascii="Times New Roman" w:cs="Times New Roman" w:eastAsia="Times New Roman" w:hAnsi="Times New Roman"/>
          <w:sz w:val="18"/>
          <w:szCs w:val="18"/>
          <w:color w:val="auto"/>
        </w:rPr>
        <w:t>consists primarily of interest income from our investments in fixed income securities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related to our equipment financings.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discussion of 2024 results and comparison with 2023 results, refer to Part II, Item 7, “Management’s Discussion and Analysis of Financial Condition and Results of Operations” in our Annual Report on Form 10-K for the fiscal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139,743</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63,518</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76,225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409,618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367,561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42,057</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113,818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111,525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523,436</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479,086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44,350</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31,875</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18,035</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sale of equity method investment</w:t>
            </w: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255,146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255,146</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43,733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49,094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7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303,701</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38,865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264,836</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(376,703)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296,711</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(376,742)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296,750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6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-2485390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-2485390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-1370965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-1370965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-1079500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-1079500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License and collaboration revenue was approximately $139.7 million for the year ended December 31, 2025, compared to approximately $63.5 million for the year ended December 31, 2024, an increase of $76.2 million. License and collaboration revenue recorded in 2025 represents revenue recorded under the Pfizer, Apellis and Orbital Agreements. License and collaboration revenue recorded in 2024 represents revenue recorded under the Pfizer, Apellis and Orbital Agreements, as well as $27.0 million of revenue recognized from development and regulatory milestones achieved under our agreements with Lilly and Sana Biotechnology, Inc, or Sana. The increase in revenue is driven primarily by $109.1 million of revenue recognized in the year ended December 31, 2025, due to the completion of our collaboration deal with Pfizer and the net change in activity amongst our other collaboration agreements.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$409.6 million and $367.6 million for the years ended December 31, 2025 and 2024, respectively. The following table summarizes our research and development expenses for the years ended December 31, 2025 and December 31, 2024, together with the changes in those items in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142,376</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and information technology related expenses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(17,399)</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 expenses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409,618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367,561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$42.1 million was primarily due to the following:</w:t>
      </w:r>
    </w:p>
    <w:p>
      <w:pPr>
        <w:spacing w:after="0" w:line="117" w:lineRule="exact"/>
        <w:rPr>
          <w:sz w:val="20"/>
          <w:szCs w:val="20"/>
          <w:color w:val="auto"/>
        </w:rPr>
      </w:pPr>
    </w:p>
    <w:p>
      <w:pPr>
        <w:ind w:left="1020" w:right="2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$27.9 million in external research and development expenses driven by a $29.0 million increase in outsourced services, primarily due to increased clinical and manufacturing activities, slightly offset by a $1.1 million decrease in lab supply expenses due to the advancement of pipeline programs and a shift of programs beyond research activities;</w:t>
      </w:r>
    </w:p>
    <w:p>
      <w:pPr>
        <w:spacing w:after="0" w:line="6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$18.6 million of employee related expenses due to the increase in the number of research and development employees between December 31, 2024 and December 31, 2025 and annual compensation increases;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$14.5 million due to a one-time in-process research and development charge associated with assets acquired from our acquisition of an early-stage life sciences company during the year ended December 31, 2025 that were determined to have no alternative future use; and</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$3.8 million of facility and information technology, or IT, related costs, including depreciation and the expense allocated to research and development related to our leased facilities.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 the following:</w:t>
      </w:r>
    </w:p>
    <w:p>
      <w:pPr>
        <w:spacing w:after="0" w:line="117"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$17.4 million in stock-based compensation driven by additional one-time stock awards granted to employees in 2024;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$5.3 million of other expenses driven by milestone related expenses recognized in 2024 that were not incurred in 2025.</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expected to continue to increase as we advance clinical trials for risto-cel, BEAM-302, and BEAM-304, continue our current research programs, initiate new research programs, continue the preclinical and clinical development of our product candidates, conduct any future preclinical studies, and enroll patients in and conduct clinical trials for any of our product candidates.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$113.8 million and $111.5 million for the years ended December 31, 2025 and 2024, respectively. The increase of $2.3 million was primarily due to the following:</w:t>
      </w:r>
    </w:p>
    <w:p>
      <w:pPr>
        <w:spacing w:after="0" w:line="54" w:lineRule="exact"/>
        <w:rPr>
          <w:sz w:val="20"/>
          <w:szCs w:val="20"/>
          <w:color w:val="auto"/>
        </w:rPr>
      </w:pPr>
    </w:p>
    <w:p>
      <w:pPr>
        <w:ind w:left="1020" w:right="38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$8.6 million in personnel related costs due to an increase in the number of general and administrative employees between December 31, 2024 and December 31, 2025, and annual compensation increases;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 million in legal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19" w:name="page120"/>
    <w:bookmarkEnd w:id="119"/>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$9.0 million in stock-based compensation driven by additional stock awards granted to employees in 2024;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$0.9 million in other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recorded $0.7 million of other income related to the change in fair value of derivative liabilities as compared to $2.3 million for the year ended December 31, 2024, driven primarily by a declining interest rate enviornment. There were no success payment obligations paid during the years ended December 31, 2025, 2024 or 2023. The success payment obligations are still outstanding as of December 31, 2025 and will continue to be revalued at each reporting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non-controlling equity investments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we recorded other income of $3.9 million and other expense of $14.1 million, respectively, as a result of changes in the fair value of our investments in corporate equity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contingent consideration liabilities</w:t>
      </w:r>
    </w:p>
    <w:p>
      <w:pPr>
        <w:spacing w:after="0" w:line="11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we recorded $0.2 million and $1.6 million, respectively, of other income related to the change in fair value of the milestone payments related to our contingent consideration liabilities from acquisitions.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was $43.7 million and $49.1 million of other income for the years ended December 31, 2025 and December 31, 2024, respectively. The decrease was primarily due to decreases in interest income offset slightly by the growth of our investment portfolio.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from equity method investment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8, 2025, Bristol-Myers Squibb Company, or BMS, completed an acquisition of Orbital, or the Acquisition. At the closing of the Acquisition, we held 75 million shares of Orbital common stock, which were cancelled and converted into $255.1 million in closing cash consideration, plus the right to receive up to approximately $26.3 million in additional cash consideration upon the release, if any, of certain escrows.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did not record an income tax provision for the year ended December 31, 2025 and recorded an income tax provision of less than $0.1 million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Since our inception in January 2017, we have not generated any revenue from product sales, have generated only limited revenue from our license and collaboration agreements, and have incurred significant operating losses and negative cash flows from our operations. We expect to incur significant expenses and operating losses for the foreseeable future as we advance the preclinical and the clinical development of our product candidates.</w:t>
      </w:r>
    </w:p>
    <w:p>
      <w:pPr>
        <w:spacing w:after="0" w:line="5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February 2024, we filed a universal automatic shelf registration statement on Form S-3 with the SEC, to register for sale an indeterminate amount of our common stock, preferred stock, debt securities, warrants and/or units in one or more offerings, which became effective upon filing with the SEC (File No. 333-277427).</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entered into an at the market sales agreement, or the Sales Agreement, with Jefferies LLC, or Jefferies, pursuant to which we are entitled to offer and sell, from time to time at prevailing market prices, shares of our common stock having aggregate gross proceeds of up to $1.1 billion. We agreed to pay Jefferies a commission of up to 3.0% of the aggregate gross sale proceeds of any shares sold by Jefferies under the Sales Agreement. There were no shares sold under the Sales Agreement during the year ended December 31, 2025. As of December 31, 2025, we have sold 13,769,001 shares of our common stock under the Sales Agreement at an average price of $62.75 per share for aggregate gross proceeds of $864.0 million, before deducting commissions and offering expenses payable by us.</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March 2025, we closed an underwritten public offering of 16,151,686 shares of common stock at a public offering price of $28.48 per share and pre-funded warrants to purchase 1,404,988 shares of common stock at a purchase price of $28.47 per pre-funded warrant for aggregate net proceeds of $470.5 million, after deducting underwriting discounts, commissions and approximately $0.8 million related to legal, accounting and other fees in connection with the offering. The pre-funded warrants have an exercise price equal to $0.01 per share and are immediately exercisable, subject to certain beneficial ownership restrictions. The pre-funded warrants do not expire.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20" w:name="page121"/>
    <w:bookmarkEnd w:id="120"/>
    <w:p>
      <w:pPr>
        <w:ind w:right="80"/>
        <w:spacing w:after="0" w:line="266" w:lineRule="auto"/>
        <w:rPr>
          <w:sz w:val="20"/>
          <w:szCs w:val="20"/>
          <w:color w:val="auto"/>
        </w:rPr>
      </w:pPr>
      <w:r>
        <w:rPr>
          <w:rFonts w:ascii="Times New Roman" w:cs="Times New Roman" w:eastAsia="Times New Roman" w:hAnsi="Times New Roman"/>
          <w:sz w:val="18"/>
          <w:szCs w:val="18"/>
          <w:color w:val="auto"/>
        </w:rPr>
        <w:t>On December 8, 2025, BMS completed the Acquisition. At the closing of the Acquisition, we held 75 million shares of Orbital common stock, which were cancelled and converted into $255.1 million in closing cash consideration, plus the right to receive up to approximately $26.3 million in additional cash consideration upon the release, if any, of certain escrows.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$1.2 billion in cash, cash equivalents, and marketable securities.</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February 2026, we entered into the Financing Agreement, which provides for the Credit Facility, consisting of an initial draw of $100.0 million on the closing date; up to $300 million available upon the achievement of certain clinical, regulatory and commercial milestones for risto-cel; and an additional $100 million available at our option, subject to mutual agreement between the parties, during the seven-year term of the agreement. The Credit Facility matures on February 24, 2033 and bears interest at an annual rate equal to the 3-month Secured Overnight Financing Rate (SOFR) plus 6.5% (subject to a 1.00% floor). Certain additional commitment, administrative, undrawn amount and facility fees are also payable in connection with the Credit Facility.</w:t>
      </w:r>
    </w:p>
    <w:p>
      <w:pPr>
        <w:spacing w:after="0" w:line="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required to make success payments to Harvard and Broad Institute based on increases in the per share fair market value of our common stock. The amounts due may be settled in cash or shares of our common stock, at our discretion. We may owe Harvard and Broad Institute success payments of up to an additional $90.0 million each.</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not yet commercialized any of our product candidates, and we do not expect to generate revenue from the sale of our product candidates in the near future. We anticipate that we may need to raise additional capital in order to continue to fund our research and development, including our planned preclinical studies and clinical trials, maintaining and operating our commercial-scale cGMP manufacturing facility, and new product development, as well as to fund our general operations. As necessary, we will seek to raise additional capital through various potential sources, such as equity and debt financings or through corporate collaboration and license agreements. We can give no assurances that we will be able to secure such additional sources of capital to support our operations, or, if such funds are available to us, that such additional financing will be sufficient to meet our needs.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2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7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(345,102)</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(347,246)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8"/>
                <w:szCs w:val="18"/>
                <w:color w:val="auto"/>
              </w:rPr>
            </w:pP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(121,438)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185,007</w:t>
            </w: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478,049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(154,503)</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$345.1 million, including our net loss of $80.0 million, decreases in deferred revenue of $135.4 million, operating lease liabilities of $13.5 million and other long-term liabilities of $0.3 million. In addition, noncash items, including the gain on sale of equity method investment of $255.1 million, amortization of investment discounts and premiums of $16.0 million, an increase in the fair value of non-controlling equity investments of $3.9 million, a decrease in the fair value of derivative liabilities of $0.7 million and a change in the fair value of contingent consideration liabilities of $0.2 million, also contributed to net cash used in operating activities.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uses of cash were partially offset by increases in other liabilities of $7.7 million and accounts payable of $6.0 million, a decrease in prepaid expenses and other current assets of $4.5 million, as well as noncash items, including stock-based compensation expense of $94.2 million, depreciation and amortization expense of $22.3 million, a decrease in operating lease right-of-use, or ROU, assets of $10.4 million and a realized loss of $0.4 million on our sale of marketable securities.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$347.2 million, including our net loss of $376.7 million, decreases in accrued expenses and other liabilities of $57.7 million, deferred revenue of $36.5 million and operating lease liabilities of $13.0 million, and an increase in prepaid expenses and other current assets of $5.4 million. In addition, noncash items, including the amortization of investment discounts and premiums of $22.8 million, decreases in the fair value of derivative liabilities of $2.3 million and a change in the fair value of contingent consideration liabilities of $1.6 million, also contributed to net cash used in operating activities.</w:t>
      </w:r>
    </w:p>
    <w:p>
      <w:pPr>
        <w:spacing w:after="0" w:line="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These uses of cash were partially offset by increases in accounts payable of $1.8 million and other long-term liabilities of $0.5 million, as well as noncash items, including stock-based compensation expense of $120.7 million, depreciation and amortization expense of $21.9 million, a decrease in the fair value of non-controlling equity investments of $14.1 million and a decrease in operating lease right-of-use, or ROU, assets of $9.7 million.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1" w:name="page122"/>
    <w:bookmarkEnd w:id="121"/>
    <w:p>
      <w:pPr>
        <w:ind w:left="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cash used in investing activities of $121.4 million was primarily driven by net purchases of marketable securities of $367.3 million, purchases of property and equipment of $15.0 million and the payment of $0.1 million of equity issuance costs associated with our acquisition of an early-stage life sciences company. These uses of cash were partially offset by proceeds from sale of our equity method investment in Orbital totaling $255.1 million and proceeds from sales of marketable securities of $5.7 million.</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cash provided by investing activities of $185.0 million was primarily the result of net maturities of marketable securities partially offset by purchases of marketable securities, in addition to purchases of property and equipment of $8.9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of $478.0 million consisted of $470.5 million of proceeds from the March 2025 issuance of common stock and pre-funded warrants, $4.7 million of proceeds from the exercise of stock options and $2.8 million of proceeds from the issuance of common stock under our Employee Stock Purchase Plan, or ESPP.</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of $7.7 million consisted of proceeds from the exercise of stock options of $5.6 million and $2.6 million of proceeds from the issuance of common stock under our ESPP, offset in part by net repayments of equipment financing liabilities of $0.5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expected to continue to increase substantially as we continue to advance our portfolio of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our expenses will increase if and as we:</w:t>
      </w:r>
    </w:p>
    <w:p>
      <w:pPr>
        <w:spacing w:after="0" w:line="117"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programs and our preclinical development of product candidates from our research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operate a commercial-scale cGMP manufacturing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additional product candidates we identify and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medicines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additional personnel including research and development, clinical and commercial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including personnel to support our product development; and</w:t>
      </w:r>
    </w:p>
    <w:p>
      <w:pPr>
        <w:spacing w:after="0" w:line="12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intellectual property, medicines and technologies.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expect that our cash, cash equivalents, and marketable securities at December 31, 2025 will enable us to fund our current and planned operating expenses and capital expenditures for at least the next 12 months from the date of issuance of our accompanying consolidated financial statements.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base editing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licenses for the delivery modalities that will be used with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122" w:name="page123"/>
    <w:bookmarkEnd w:id="122"/>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expanding our manufacturing capacity;</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the product candidates we develop;</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agreements and our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are a party to or may become a party to;</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success liabilities to Harvard and Broad Institute pursuant to the respective terms of the Harvard License Agreement and the Broad License Agreement, should we choose to pay in cash;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products, intellectual property, and technologies; and</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macro-economic conditions, as well as the prevailing level of macro-economic, business, and operational uncertainty, including as a result of geopolitical events, the imposition of new or revised global trade tariffs or other global or regional events.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Other than the Credit Facility, we do not have any committed external source of capital. We have historically relied on equity issuances and collaboration revenue to fund our capital needs. The Financing Agreement includes covenants limiting or restricting our ability to take specific actions, such as incurring additional debt, making capital expenditures, or declaring dividends, and future debt financings, if available, may include similar restrictions.</w:t>
      </w:r>
    </w:p>
    <w:p>
      <w:pPr>
        <w:spacing w:after="0" w:line="75" w:lineRule="exact"/>
        <w:rPr>
          <w:sz w:val="20"/>
          <w:szCs w:val="20"/>
          <w:color w:val="auto"/>
        </w:rPr>
      </w:pPr>
    </w:p>
    <w:p>
      <w:pPr>
        <w:ind w:right="240" w:firstLine="4"/>
        <w:spacing w:after="0" w:line="256" w:lineRule="auto"/>
        <w:rPr>
          <w:sz w:val="20"/>
          <w:szCs w:val="20"/>
          <w:color w:val="auto"/>
        </w:rPr>
      </w:pPr>
      <w:r>
        <w:rPr>
          <w:rFonts w:ascii="Times New Roman" w:cs="Times New Roman" w:eastAsia="Times New Roman" w:hAnsi="Times New Roman"/>
          <w:sz w:val="18"/>
          <w:szCs w:val="18"/>
          <w:color w:val="auto"/>
        </w:rPr>
        <w:t>If we raise capital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capital through equity or debt financings when needed, we may be required to delay, limit, reduce, or terminate our product development or, if approved,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lease certain assets under noncancelable operating leases, which expire through 2037. The leases relate primarily to office space, laboratory and manufacturing space, and equipment. Aggregate future minimum commitments under these office and laboratory leases and equipment leases are $210.1 million as of December 31, 2025, excluding any related common area maintenance charges or real estate taxes.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Success payment obligations under the Harvard License Agreement and Broad License Agreement are still outstanding as of December 31, 2025. We may owe Harvard and Broad Institute success payments of up to an additional $90.0 million each, which is payable at our election in cash or shares of our common stock.</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potentially obligated to pay certain milestone and success fees, non-royalty sublicense income fees, royalty fees, licensing maintenance fees, and reimbursement of patent maintenance costs under agreements to license intellectual property. These agreements include potential milestone payments that are dependent upon the development of products using the intellectual property licensed under the agreements and contingent upon the achievement of development or regulatory approval milestones, as well as commercial and success payment milestones. These amounts are contingent upon the occurrence of future events and the timing and likelihood of such potential obligations are not known with certainty.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3" w:name="page124"/>
    <w:bookmarkEnd w:id="123"/>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owe up to an additional $89.0 million in development, clinical and commercial milestones to former stockholders of an early-stage life sciences company acquired during the year ended December 31, 2025. Milestone payments are payable at our sole discretion in cash or in shares of our common stock (valued using a volume-weighted average price). These payments are contingent upon the occurrence of future events and the timing and likelihood of such potential obligations are not known with certainty.</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we enter into contracts in the normal course of business with CROs, CMOs and other vendors to assist in the performance of our research and development activities and other services and products for operating purposes. These contracts generally provide for termination on notice, and therefore are cancelable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U.S. generally accepted accounting principles. The preparation of these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 this Annual Report on Form 10-K, we believe that the following accounting policies are those most critical to the judgments and estimates used in the preparation of our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At inception, we determine whether contracts are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or other topics. For contracts that are determined to be within the scope of ASC 606, revenue is recognized when a customer obtains control of promised goods or services. The amount of revenue recognized reflects the consideration to which we expect to be entitled to receive in exchange for these goods and services. To achieve this core principle, we apply the following five steps (i) identify the contract with the customer; (ii) identify the performance obligations in the contract;</w:t>
      </w:r>
    </w:p>
    <w:p>
      <w:pPr>
        <w:spacing w:after="0" w:line="1" w:lineRule="exact"/>
        <w:rPr>
          <w:sz w:val="20"/>
          <w:szCs w:val="20"/>
          <w:color w:val="auto"/>
        </w:rPr>
      </w:pPr>
    </w:p>
    <w:p>
      <w:pPr>
        <w:ind w:right="100" w:firstLine="8"/>
        <w:spacing w:after="0" w:line="255" w:lineRule="auto"/>
        <w:tabs>
          <w:tab w:leader="none" w:pos="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(iv) allocate the transaction price to the performance obligations in the contract; and (v) recognize revenue when the performance obligation is satisfied. We only apply the five-step model to contracts when we determine that collection of substantially all consideration for goods and services that are transferred is probable based on the customer’s intent and ability to pay the promised consideration.</w:t>
      </w:r>
    </w:p>
    <w:p>
      <w:pPr>
        <w:spacing w:after="0" w:line="7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we apply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our license and collaboration agreements in Note 10 to our consolidated financial statements in this Annual Report on Form 10-K.</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Determining the standalone selling price requires significant judgment and is discussed in further detail for each of our license and collaboration agreements in Note 10.</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4" w:name="page125"/>
    <w:bookmarkEnd w:id="124"/>
    <w:p>
      <w:pPr>
        <w:ind w:right="320"/>
        <w:spacing w:after="0" w:line="282" w:lineRule="auto"/>
        <w:rPr>
          <w:sz w:val="20"/>
          <w:szCs w:val="20"/>
          <w:color w:val="auto"/>
        </w:rPr>
      </w:pPr>
      <w:r>
        <w:rPr>
          <w:rFonts w:ascii="Times New Roman" w:cs="Times New Roman" w:eastAsia="Times New Roman" w:hAnsi="Times New Roman"/>
          <w:sz w:val="18"/>
          <w:szCs w:val="18"/>
          <w:color w:val="auto"/>
        </w:rPr>
        <w:t>The timing of when services are performed and the occurrence of external costs associated with the programs under the collaboration agreements could impact how revenue is recognized in a certain period.</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Licenses of intellectual property, or IP: If the license to our IP is determined to be distinct from the other performance obligations identified in the arrangement, we recognize revenues from consideration allocated to the license when the license is transferred to the customer and the customer can use and benefit from the licenses.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We generally recognize revenue using the cost incurred to date as compared to the total estimated cost. Changes in estimates of total internal and external costs expected to be incurred and timing of when those costs are expected to be incurred are recognized in the period of change as a cumulative catch-up adjustment. If estimates of the total estimated cost change, or if contract amendments change the scope of the performance obligations, the impacts could be material. Determining the revenue recognition of IP licenses requires significant judgment and is discussed in further detail for each of our license and collaboration agreements in Notes 9 and 10</w:t>
      </w:r>
      <w:r>
        <w:rPr>
          <w:rFonts w:ascii="Times New Roman" w:cs="Times New Roman" w:eastAsia="Times New Roman" w:hAnsi="Times New Roman"/>
          <w:sz w:val="18"/>
          <w:szCs w:val="18"/>
          <w:i w:val="1"/>
          <w:iCs w:val="1"/>
          <w:color w:val="auto"/>
        </w:rPr>
        <w:t>.</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development or regulatory milestone payments, we evaluate the probability of reaching the milestones and estimate the amount to be included in the transaction price using the most likely amount method. If it is probable that a significant revenue reversal would not occur in the future, the associated milestone value is included in the transaction price. Milestone payments that are not within our control or the licensee’s, such as regulatory approvals, are not considered probable of being achieved until those approvals are received and therefore revenue recognized is constrained as management is unable to assert that a reversal of revenue would not be possible.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 To date, we have not recognized any milestone revenue resulting from any of our agreements.</w:t>
      </w:r>
    </w:p>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Commercial Milestone Payments and Royalties: For arrangements that include sales-based royalties, including milestone payments based on levels of sales, if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agreements.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no performance obligations are required of us, or following the completion of the performance obligation period,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expected to be recognized within the next twelve months is classified as a current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 Success payments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We are required to make success payments to Harvard and Broad Institute based on increases in the per share fair market value of our common stock. Any amounts due may be settled in cash or shares of our common stock, at our discretion. The success payments are accounted for as a derivative under Accounting Standards Codification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were initially recorded at fair value with a corresponding charge to research and development expense. The liabilities are marked to market at each balance sheet date with all changes in value recognized in interest and other income (expense) in the consolidated statement of operations and other comprehensive loss. We will continue to adjust the liability for changes in fair value until the earlier of the achievement or expiration of the success payment obligation. To determine the estimated fair value of the success payments, we used a Monte Carlo simulation model, which models the value of the liability based on several key variables, including probability of event occurrence, timing of event occurrence, as well as the price per share at the time of success payment. A significant change in our stock price or volatility could have a significant impact on the value of the liability.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research and development costs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25" w:name="page126"/>
    <w:bookmarkEnd w:id="125"/>
    <w:p>
      <w:pPr>
        <w:ind w:right="4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and prepaid research and development costs.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vendors in connection with preclinical development activities and vendors related to development, manufacturing and distribution of product candidate materials.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base our expenses related to preclinical studies on our estimates of the services received and efforts expended pursuant to contracts with multiple vendors that conduct and manage preclinical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and adjust accordingly.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2025, we had cash, cash equivalents and marketable securities of $1.2 billion, which consisted of cash, money market funds, commercial paper, corporate notes and corporate equity securities.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8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manufacturing and development costs. We believe that inflation has not had a material effect on our financial statements included elsewhere in this Annual Report on Form 10-K. However, our operations may be adversely affected by inflation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The financial statements required to be filed pursuant to this Item 8 are appended to this Annual Report on Form 10-K. An index of those financial statements is found in Item 15, </w:t>
      </w:r>
      <w:r>
        <w:rPr>
          <w:rFonts w:ascii="Times New Roman" w:cs="Times New Roman" w:eastAsia="Times New Roman" w:hAnsi="Times New Roman"/>
          <w:sz w:val="18"/>
          <w:szCs w:val="18"/>
          <w:i w:val="1"/>
          <w:iCs w:val="1"/>
          <w:color w:val="auto"/>
        </w:rPr>
        <w:t>Exhibits and Financial Statement Schedules</w:t>
      </w:r>
      <w:r>
        <w:rPr>
          <w:rFonts w:ascii="Times New Roman" w:cs="Times New Roman" w:eastAsia="Times New Roman" w:hAnsi="Times New Roman"/>
          <w:sz w:val="18"/>
          <w:szCs w:val="18"/>
          <w:color w:val="auto"/>
        </w:rPr>
        <w:t>,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December 31, 2025,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of December 31, 2025, our principal executive officer and principal financial officer concluded that our disclosure controls and procedures as of such date were effective at the reasonable assurance level.</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policies and procedures that:</w:t>
      </w:r>
    </w:p>
    <w:p>
      <w:pPr>
        <w:spacing w:after="0" w:line="75" w:lineRule="exact"/>
        <w:rPr>
          <w:sz w:val="20"/>
          <w:szCs w:val="20"/>
          <w:color w:val="auto"/>
        </w:rPr>
      </w:pPr>
    </w:p>
    <w:p>
      <w:pPr>
        <w:ind w:left="300" w:hanging="142"/>
        <w:spacing w:after="0"/>
        <w:tabs>
          <w:tab w:leader="none" w:pos="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300" w:right="160" w:hanging="142"/>
        <w:spacing w:after="0" w:line="266" w:lineRule="auto"/>
        <w:tabs>
          <w:tab w:leader="none" w:pos="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300" w:right="280" w:hanging="142"/>
        <w:spacing w:after="0" w:line="282" w:lineRule="auto"/>
        <w:tabs>
          <w:tab w:leader="none" w:pos="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 — Integrated Framework (2013)” issued by the Committee of Sponsoring Organizations of the Treadway Commission. Based on this assessment, our senior management has concluded that the internal control over financial reporting was effective as of December 31, 2025.</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issued an attestation report on our internal control over financial reporting. See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our company. There were no changes in our internal control over financial reporting (as defined in Rules 13a-15(f) and 15d-15(f) under the Exchange Act) during the year ended December 31, 2025 that have materially affected, or are reasonably likely to materially affect, our internal control over financial reporting.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27" w:name="page128"/>
    <w:bookmarkEnd w:id="127"/>
    <w:p>
      <w:pPr>
        <w:ind w:right="2520" w:firstLine="253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Beam Therapeutics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Beam Therapeutics Inc.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describes for the quarterly period ended December 31, 2025 each trading arrangement for the sale or purchase of Company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67" w:lineRule="exact"/>
        <w:rPr>
          <w:sz w:val="20"/>
          <w:szCs w:val="20"/>
          <w:color w:val="auto"/>
        </w:rPr>
      </w:pPr>
    </w:p>
    <w:tbl>
      <w:tblPr>
        <w:tblLayout w:type="fixed"/>
        <w:tblInd w:w="150" w:type="dxa"/>
        <w:tblCellMar>
          <w:top w:w="0" w:type="dxa"/>
          <w:left w:w="0" w:type="dxa"/>
          <w:bottom w:w="0" w:type="dxa"/>
          <w:right w:w="0" w:type="dxa"/>
        </w:tblCellMar>
      </w:tblPr>
      <w:tr>
        <w:trPr>
          <w:trHeight w:val="210"/>
        </w:trPr>
        <w:tc>
          <w:tcPr>
            <w:tcW w:w="118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0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Action Taken</w:t>
            </w:r>
          </w:p>
        </w:tc>
        <w:tc>
          <w:tcPr>
            <w:tcW w:w="140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278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Nature of Trading Arrangement</w:t>
            </w:r>
          </w:p>
        </w:tc>
        <w:tc>
          <w:tcPr>
            <w:tcW w:w="140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Duration of</w:t>
            </w:r>
          </w:p>
        </w:tc>
        <w:tc>
          <w:tcPr>
            <w:tcW w:w="296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 Securities</w:t>
            </w:r>
          </w:p>
        </w:tc>
      </w:tr>
      <w:tr>
        <w:trPr>
          <w:trHeight w:val="216"/>
        </w:trPr>
        <w:tc>
          <w:tcPr>
            <w:tcW w:w="118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(Title)</w:t>
            </w:r>
          </w:p>
        </w:tc>
        <w:tc>
          <w:tcPr>
            <w:tcW w:w="130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(Date of</w:t>
            </w:r>
          </w:p>
        </w:tc>
        <w:tc>
          <w:tcPr>
            <w:tcW w:w="140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2780" w:type="dxa"/>
            <w:vAlign w:val="bottom"/>
            <w:tcBorders>
              <w:right w:val="single" w:sz="8" w:color="auto"/>
            </w:tcBorders>
            <w:shd w:val="clear" w:color="auto" w:fill="D9D9D9"/>
          </w:tcPr>
          <w:p>
            <w:pPr>
              <w:spacing w:after="0"/>
              <w:rPr>
                <w:sz w:val="18"/>
                <w:szCs w:val="18"/>
                <w:color w:val="auto"/>
              </w:rPr>
            </w:pPr>
          </w:p>
        </w:tc>
        <w:tc>
          <w:tcPr>
            <w:tcW w:w="140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2960" w:type="dxa"/>
            <w:vAlign w:val="bottom"/>
            <w:tcBorders>
              <w:right w:val="single" w:sz="8" w:color="auto"/>
            </w:tcBorders>
            <w:shd w:val="clear" w:color="auto" w:fill="D9D9D9"/>
          </w:tcPr>
          <w:p>
            <w:pPr>
              <w:spacing w:after="0"/>
              <w:rPr>
                <w:sz w:val="18"/>
                <w:szCs w:val="18"/>
                <w:color w:val="auto"/>
              </w:rPr>
            </w:pPr>
          </w:p>
        </w:tc>
      </w:tr>
      <w:tr>
        <w:trPr>
          <w:trHeight w:val="255"/>
        </w:trPr>
        <w:tc>
          <w:tcPr>
            <w:tcW w:w="118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130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Action)</w:t>
            </w:r>
          </w:p>
        </w:tc>
        <w:tc>
          <w:tcPr>
            <w:tcW w:w="140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2780" w:type="dxa"/>
            <w:vAlign w:val="bottom"/>
            <w:tcBorders>
              <w:bottom w:val="single" w:sz="8" w:color="auto"/>
              <w:right w:val="single" w:sz="8" w:color="auto"/>
            </w:tcBorders>
            <w:shd w:val="clear" w:color="auto" w:fill="D9D9D9"/>
          </w:tcPr>
          <w:p>
            <w:pPr>
              <w:spacing w:after="0"/>
              <w:rPr>
                <w:sz w:val="22"/>
                <w:szCs w:val="22"/>
                <w:color w:val="auto"/>
              </w:rPr>
            </w:pPr>
          </w:p>
        </w:tc>
        <w:tc>
          <w:tcPr>
            <w:tcW w:w="140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2960" w:type="dxa"/>
            <w:vAlign w:val="bottom"/>
            <w:tcBorders>
              <w:bottom w:val="single" w:sz="8" w:color="auto"/>
              <w:right w:val="single" w:sz="8" w:color="auto"/>
            </w:tcBorders>
            <w:shd w:val="clear" w:color="auto" w:fill="D9D9D9"/>
          </w:tcPr>
          <w:p>
            <w:pPr>
              <w:spacing w:after="0"/>
              <w:rPr>
                <w:sz w:val="22"/>
                <w:szCs w:val="22"/>
                <w:color w:val="auto"/>
              </w:rPr>
            </w:pPr>
          </w:p>
        </w:tc>
      </w:tr>
      <w:tr>
        <w:trPr>
          <w:trHeight w:val="172"/>
        </w:trPr>
        <w:tc>
          <w:tcPr>
            <w:tcW w:w="1180" w:type="dxa"/>
            <w:vAlign w:val="bottom"/>
            <w:tcBorders>
              <w:left w:val="single" w:sz="8" w:color="auto"/>
              <w:right w:val="single" w:sz="8" w:color="auto"/>
            </w:tcBorders>
          </w:tcPr>
          <w:p>
            <w:pPr>
              <w:ind w:left="120"/>
              <w:spacing w:after="0" w:line="172" w:lineRule="exact"/>
              <w:rPr>
                <w:sz w:val="20"/>
                <w:szCs w:val="20"/>
                <w:color w:val="auto"/>
              </w:rPr>
            </w:pPr>
            <w:r>
              <w:rPr>
                <w:rFonts w:ascii="Times New Roman" w:cs="Times New Roman" w:eastAsia="Times New Roman" w:hAnsi="Times New Roman"/>
                <w:sz w:val="18"/>
                <w:szCs w:val="18"/>
                <w:color w:val="auto"/>
              </w:rPr>
              <w:t>Sravan K.</w:t>
            </w:r>
          </w:p>
        </w:tc>
        <w:tc>
          <w:tcPr>
            <w:tcW w:w="130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8"/>
                <w:szCs w:val="18"/>
                <w:color w:val="auto"/>
              </w:rPr>
              <w:t>Adoption</w:t>
            </w:r>
          </w:p>
        </w:tc>
        <w:tc>
          <w:tcPr>
            <w:tcW w:w="140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Durable Rule</w:t>
            </w:r>
          </w:p>
        </w:tc>
        <w:tc>
          <w:tcPr>
            <w:tcW w:w="278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Sale</w:t>
            </w:r>
          </w:p>
        </w:tc>
        <w:tc>
          <w:tcPr>
            <w:tcW w:w="1400" w:type="dxa"/>
            <w:vAlign w:val="bottom"/>
            <w:tcBorders>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8"/>
                <w:szCs w:val="18"/>
                <w:color w:val="auto"/>
              </w:rPr>
              <w:t>Until final</w:t>
            </w:r>
          </w:p>
        </w:tc>
        <w:tc>
          <w:tcPr>
            <w:tcW w:w="2960" w:type="dxa"/>
            <w:vAlign w:val="bottom"/>
            <w:tcBorders>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5"/>
                <w:szCs w:val="15"/>
                <w:color w:val="auto"/>
              </w:rPr>
              <w:t>Indeterminable</w:t>
            </w:r>
            <w:r>
              <w:rPr>
                <w:rFonts w:ascii="Times New Roman" w:cs="Times New Roman" w:eastAsia="Times New Roman" w:hAnsi="Times New Roman"/>
                <w:sz w:val="19"/>
                <w:szCs w:val="19"/>
                <w:color w:val="auto"/>
                <w:vertAlign w:val="superscript"/>
              </w:rPr>
              <w:t>(2)</w:t>
            </w:r>
          </w:p>
        </w:tc>
      </w:tr>
      <w:tr>
        <w:trPr>
          <w:trHeight w:val="198"/>
        </w:trPr>
        <w:tc>
          <w:tcPr>
            <w:tcW w:w="1180" w:type="dxa"/>
            <w:vAlign w:val="bottom"/>
            <w:tcBorders>
              <w:left w:val="single" w:sz="8" w:color="auto"/>
              <w:righ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Emany</w:t>
            </w:r>
          </w:p>
        </w:tc>
        <w:tc>
          <w:tcPr>
            <w:tcW w:w="13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i w:val="1"/>
                <w:iCs w:val="1"/>
                <w:color w:val="auto"/>
              </w:rPr>
              <w:t>(August 11,</w:t>
            </w:r>
          </w:p>
        </w:tc>
        <w:tc>
          <w:tcPr>
            <w:tcW w:w="14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10b5-1 trading</w:t>
            </w:r>
          </w:p>
        </w:tc>
        <w:tc>
          <w:tcPr>
            <w:tcW w:w="27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settlement of</w:t>
            </w:r>
          </w:p>
        </w:tc>
        <w:tc>
          <w:tcPr>
            <w:tcW w:w="2960" w:type="dxa"/>
            <w:vAlign w:val="bottom"/>
            <w:tcBorders>
              <w:right w:val="single" w:sz="8" w:color="auto"/>
            </w:tcBorders>
          </w:tcPr>
          <w:p>
            <w:pPr>
              <w:spacing w:after="0"/>
              <w:rPr>
                <w:sz w:val="17"/>
                <w:szCs w:val="17"/>
                <w:color w:val="auto"/>
              </w:rPr>
            </w:pPr>
          </w:p>
        </w:tc>
      </w:tr>
      <w:tr>
        <w:trPr>
          <w:trHeight w:val="234"/>
        </w:trPr>
        <w:tc>
          <w:tcPr>
            <w:tcW w:w="1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300" w:type="dxa"/>
            <w:vAlign w:val="bottom"/>
            <w:tcBorders>
              <w:right w:val="single" w:sz="8" w:color="auto"/>
            </w:tcBorders>
          </w:tcPr>
          <w:p>
            <w:pPr>
              <w:ind w:left="80"/>
              <w:spacing w:after="0" w:line="234" w:lineRule="exact"/>
              <w:rPr>
                <w:sz w:val="20"/>
                <w:szCs w:val="20"/>
                <w:color w:val="auto"/>
              </w:rPr>
            </w:pP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24"/>
                <w:szCs w:val="24"/>
                <w:color w:val="auto"/>
                <w:vertAlign w:val="superscript"/>
              </w:rPr>
              <w:t>(1)</w:t>
            </w: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arrangement for</w:t>
            </w:r>
          </w:p>
        </w:tc>
        <w:tc>
          <w:tcPr>
            <w:tcW w:w="27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covered</w:t>
            </w:r>
          </w:p>
        </w:tc>
        <w:tc>
          <w:tcPr>
            <w:tcW w:w="2960" w:type="dxa"/>
            <w:vAlign w:val="bottom"/>
            <w:tcBorders>
              <w:right w:val="single" w:sz="8" w:color="auto"/>
            </w:tcBorders>
          </w:tcPr>
          <w:p>
            <w:pPr>
              <w:spacing w:after="0"/>
              <w:rPr>
                <w:sz w:val="20"/>
                <w:szCs w:val="20"/>
                <w:color w:val="auto"/>
              </w:rPr>
            </w:pPr>
          </w:p>
        </w:tc>
      </w:tr>
      <w:tr>
        <w:trPr>
          <w:trHeight w:val="216"/>
        </w:trPr>
        <w:tc>
          <w:tcPr>
            <w:tcW w:w="1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sell-to-cover</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RSU</w:t>
            </w:r>
          </w:p>
        </w:tc>
        <w:tc>
          <w:tcPr>
            <w:tcW w:w="2960" w:type="dxa"/>
            <w:vAlign w:val="bottom"/>
            <w:tcBorders>
              <w:right w:val="single" w:sz="8" w:color="auto"/>
            </w:tcBorders>
          </w:tcPr>
          <w:p>
            <w:pPr>
              <w:spacing w:after="0"/>
              <w:rPr>
                <w:sz w:val="18"/>
                <w:szCs w:val="18"/>
                <w:color w:val="auto"/>
              </w:rPr>
            </w:pPr>
          </w:p>
        </w:tc>
      </w:tr>
      <w:tr>
        <w:trPr>
          <w:trHeight w:val="218"/>
        </w:trPr>
        <w:tc>
          <w:tcPr>
            <w:tcW w:w="1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transactions</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relating to all</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RSU equity</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awards that</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have been or</w:t>
            </w:r>
          </w:p>
        </w:tc>
        <w:tc>
          <w:tcPr>
            <w:tcW w:w="27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r>
      <w:tr>
        <w:trPr>
          <w:trHeight w:val="234"/>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may be granted</w:t>
            </w:r>
          </w:p>
        </w:tc>
        <w:tc>
          <w:tcPr>
            <w:tcW w:w="27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r>
    </w:tbl>
    <w:p>
      <w:pPr>
        <w:spacing w:after="0" w:line="90" w:lineRule="exact"/>
        <w:rPr>
          <w:sz w:val="20"/>
          <w:szCs w:val="20"/>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was adopted in the quarterly period ended September 30, 2025.</w:t>
      </w:r>
    </w:p>
    <w:p>
      <w:pPr>
        <w:spacing w:after="0" w:line="117" w:lineRule="exact"/>
        <w:rPr>
          <w:rFonts w:ascii="Times New Roman" w:cs="Times New Roman" w:eastAsia="Times New Roman" w:hAnsi="Times New Roman"/>
          <w:sz w:val="18"/>
          <w:szCs w:val="18"/>
          <w:color w:val="auto"/>
        </w:rPr>
      </w:pPr>
    </w:p>
    <w:p>
      <w:pPr>
        <w:ind w:firstLine="8"/>
        <w:spacing w:after="0" w:line="256"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subject to covered restricted stock units, or RSUs, that will be sold to satisfy applicable tax withholding obligations upon vesting is unknown as the number will vary based on the extent to which vesting conditions are satisfied, the market price of the Company’s common stock at the time of settlement and the potential future grant of additional RSUs subject to this arrangement. This trading arrangement, which applies to RSUs whether vesting is based on the passage of time and/or the achievement of performance goals, provides for the automatic sale of shares that would otherwise be issuable on each settlement date of a covered RSU in an amount sufficient to satisfy the applicable withholding obligation, with the proceeds of the sale delivered to the Company in satisfaction of the applicable withholding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6" w:right="4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the sections captioned “Management and Corporate Governance” and “Executive Officers” in our definitive proxy statement to be filed with the Securities and Exchange Commission, or SEC, with respect to our 2026 Annual Meeting of Stockholders and is incorporated herein by 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or Code, that applies to all of our directors, officers and employees, including our principal executive officer, principal financial officer, principal accounting officer or controller, or persons performing similar functions. A current copy of the Code is available on the investor section of our website at investors.beamtx.com. We intend to disclose on our website any amendments to, or waivers from, our Code that are required to be disclosed pursuant to SEC rules.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section captioned “Executive Compensation" and "Director Compensation” in our definitive proxy statement to be filed with the SEC with respect to our 2026 Annual Meeting of Stockholders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the sections captioned “Security Ownership of Certain Beneficial Owners and Management” and “Securities Authorized for Issuance under Equity Compensation Plans” in our definitive proxy statement to be filed with the SEC with respect to our 2026 Annual Meeting of Stockholders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the sections captioned “Certain Relationship and Related Person Transactions” and “Director Independence” in our definitive proxy statement to be filed with the SEC with respect to our 2026 Annual Meeting of Stockholders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the sections captioned “Principal Accountant Fees and Services” and “Audit Committee Pre-Approval Policy and Procedures” in our definitive proxy statement to be filed with the SEC with respect to our 2026 Annual Meeting of Stockholders and is incorporated herein by reference.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30" w:name="page131"/>
    <w:bookmarkEnd w:id="1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Financial Statements</w:t>
      </w:r>
    </w:p>
    <w:p>
      <w:pPr>
        <w:spacing w:after="0" w:line="1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For a list of the financial statements included herein, see </w:t>
      </w:r>
      <w:r>
        <w:rPr>
          <w:rFonts w:ascii="Times New Roman" w:cs="Times New Roman" w:eastAsia="Times New Roman" w:hAnsi="Times New Roman"/>
          <w:sz w:val="18"/>
          <w:szCs w:val="18"/>
          <w:i w:val="1"/>
          <w:iCs w:val="1"/>
          <w:color w:val="auto"/>
        </w:rPr>
        <w:t>Index to the Consolidated Financial Statements</w:t>
      </w:r>
      <w:r>
        <w:rPr>
          <w:rFonts w:ascii="Times New Roman" w:cs="Times New Roman" w:eastAsia="Times New Roman" w:hAnsi="Times New Roman"/>
          <w:sz w:val="18"/>
          <w:szCs w:val="18"/>
          <w:color w:val="auto"/>
        </w:rPr>
        <w:t xml:space="preserve"> on page F-1 of this Annual Report on Form 10-K, incorporated into this Item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gridSpan w:val="21"/>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21"/>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740" w:type="dxa"/>
            <w:vAlign w:val="bottom"/>
            <w:gridSpan w:val="2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Fourth Amended Certificate of Incorporation of Beam Therapeutics Inc.</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02/11/2020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20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Second Amended and Restated By-laws of Beam Therapeutics Inc.</w:t>
              </w:r>
            </w:hyperlink>
          </w:p>
        </w:tc>
        <w:tc>
          <w:tcPr>
            <w:tcW w:w="540" w:type="dxa"/>
            <w:vAlign w:val="bottom"/>
            <w:gridSpan w:val="9"/>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2/28/2023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84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Specimen stock certificate evidencing shares of common stock</w:t>
              </w:r>
            </w:hyperlink>
          </w:p>
        </w:tc>
        <w:tc>
          <w:tcPr>
            <w:tcW w:w="90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452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Description of Registered Securities</w:t>
              </w:r>
            </w:hyperlink>
          </w:p>
        </w:tc>
        <w:tc>
          <w:tcPr>
            <w:tcW w:w="1220" w:type="dxa"/>
            <w:vAlign w:val="bottom"/>
            <w:gridSpan w:val="13"/>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333-254946</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4/01/2021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41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 of Pre-Funded Warrant to Purchase Common Stock</w:t>
              </w:r>
            </w:hyperlink>
          </w:p>
        </w:tc>
        <w:tc>
          <w:tcPr>
            <w:tcW w:w="20" w:type="dxa"/>
            <w:vAlign w:val="bottom"/>
            <w:tcBorders>
              <w:bottom w:val="single" w:sz="8" w:color="0000EE"/>
            </w:tcBorders>
          </w:tcPr>
          <w:p>
            <w:pPr>
              <w:spacing w:after="0"/>
              <w:rPr>
                <w:sz w:val="24"/>
                <w:szCs w:val="24"/>
                <w:color w:val="auto"/>
              </w:rPr>
            </w:pPr>
          </w:p>
        </w:tc>
        <w:tc>
          <w:tcPr>
            <w:tcW w:w="1560" w:type="dxa"/>
            <w:vAlign w:val="bottom"/>
            <w:gridSpan w:val="15"/>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03/10/25</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Indenture of Lease, between Massachusetts Institute of Technology and Beam</w:t>
              </w:r>
            </w:hyperlink>
          </w:p>
        </w:tc>
        <w:tc>
          <w:tcPr>
            <w:tcW w:w="40" w:type="dxa"/>
            <w:vAlign w:val="bottom"/>
            <w:gridSpan w:val="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27"/>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Therapeutics Inc., dated April 24, 2019</w:t>
              </w:r>
            </w:hyperlink>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7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Sales Agreement, dated April 1, 2021, by and between Beam Therapeutics Inc.</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04/01/2021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27"/>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and Jefferies LLC.</w:t>
              </w:r>
            </w:hyperlink>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7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License Agreement, between the President and Fellows of Harvard College and</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27"/>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Beam Therapeutics Inc., dated June 27, 2017</w:t>
              </w:r>
            </w:hyperlink>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Amendment No. 1 to License Agreement, between the President and Fellows</w:t>
              </w:r>
            </w:hyperlink>
          </w:p>
        </w:tc>
        <w:tc>
          <w:tcPr>
            <w:tcW w:w="140" w:type="dxa"/>
            <w:vAlign w:val="bottom"/>
            <w:gridSpan w:val="4"/>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of Harvard College and Beam Therapeutics Inc., dated December 12, 2017</w:t>
              </w:r>
            </w:hyperlink>
          </w:p>
        </w:tc>
        <w:tc>
          <w:tcPr>
            <w:tcW w:w="20" w:type="dxa"/>
            <w:vAlign w:val="bottom"/>
            <w:tcBorders>
              <w:bottom w:val="single" w:sz="8" w:color="0000EE"/>
            </w:tcBorders>
          </w:tcPr>
          <w:p>
            <w:pPr>
              <w:spacing w:after="0"/>
              <w:rPr>
                <w:sz w:val="17"/>
                <w:szCs w:val="17"/>
                <w:color w:val="auto"/>
              </w:rPr>
            </w:pPr>
          </w:p>
        </w:tc>
        <w:tc>
          <w:tcPr>
            <w:tcW w:w="3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56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Amendment No. 2 to License Agreement, between the President and Fellows</w:t>
              </w:r>
            </w:hyperlink>
          </w:p>
        </w:tc>
        <w:tc>
          <w:tcPr>
            <w:tcW w:w="140" w:type="dxa"/>
            <w:vAlign w:val="bottom"/>
            <w:gridSpan w:val="4"/>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27"/>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of Harvard College and Beam Therapeutics Inc., dated March 27, 2020</w:t>
              </w:r>
            </w:hyperlink>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4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License Agreement, between Editas Medicine, Inc. and Beam Therapeutics</w:t>
              </w:r>
            </w:hyperlink>
          </w:p>
        </w:tc>
        <w:tc>
          <w:tcPr>
            <w:tcW w:w="260" w:type="dxa"/>
            <w:vAlign w:val="bottom"/>
            <w:gridSpan w:val="5"/>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Inc., dated May 9, 2018</w:t>
              </w:r>
            </w:hyperlink>
          </w:p>
        </w:tc>
        <w:tc>
          <w:tcPr>
            <w:tcW w:w="20" w:type="dxa"/>
            <w:vAlign w:val="bottom"/>
            <w:tcBorders>
              <w:bottom w:val="single" w:sz="8" w:color="0000EE"/>
            </w:tcBorders>
          </w:tcPr>
          <w:p>
            <w:pPr>
              <w:spacing w:after="0"/>
              <w:rPr>
                <w:sz w:val="17"/>
                <w:szCs w:val="17"/>
                <w:color w:val="auto"/>
              </w:rPr>
            </w:pPr>
          </w:p>
        </w:tc>
        <w:tc>
          <w:tcPr>
            <w:tcW w:w="4000" w:type="dxa"/>
            <w:vAlign w:val="bottom"/>
            <w:gridSpan w:val="21"/>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56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Letter Agreement, between Beam Therapeutics Inc., The Broad Institute, Inc.,</w:t>
              </w:r>
            </w:hyperlink>
          </w:p>
        </w:tc>
        <w:tc>
          <w:tcPr>
            <w:tcW w:w="60" w:type="dxa"/>
            <w:vAlign w:val="bottom"/>
            <w:gridSpan w:val="3"/>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the President and Fellows of Harvard College, and Editas Medicine, Inc., dated</w:t>
              </w:r>
            </w:hyperlink>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September 26, 2018</w:t>
              </w:r>
            </w:hyperlink>
          </w:p>
        </w:tc>
        <w:tc>
          <w:tcPr>
            <w:tcW w:w="20" w:type="dxa"/>
            <w:vAlign w:val="bottom"/>
            <w:tcBorders>
              <w:bottom w:val="single" w:sz="8" w:color="0000EE"/>
            </w:tcBorders>
          </w:tcPr>
          <w:p>
            <w:pPr>
              <w:spacing w:after="0"/>
              <w:rPr>
                <w:sz w:val="17"/>
                <w:szCs w:val="17"/>
                <w:color w:val="auto"/>
              </w:rPr>
            </w:pPr>
          </w:p>
        </w:tc>
        <w:tc>
          <w:tcPr>
            <w:tcW w:w="4260" w:type="dxa"/>
            <w:vAlign w:val="bottom"/>
            <w:gridSpan w:val="24"/>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57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Letter Agreement, between the President and Fellows of Harvard College, The</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03/15/22021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27"/>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Broad Institute, Inc., and Beam Therapeutics Inc., dated January 7, 2021.</w:t>
              </w:r>
            </w:hyperlink>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right w:val="single" w:sz="8" w:color="0000FF"/>
            </w:tcBorders>
            <w:gridSpan w:val="4"/>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57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License Agreement, between Bio Palette Co., Ltd. and Beam Therapeutics Inc.,</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27"/>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dated March 27, 2019</w:t>
              </w:r>
            </w:hyperlink>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right w:val="single" w:sz="8" w:color="0000EE"/>
            </w:tcBorders>
            <w:gridSpan w:val="4"/>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5740" w:type="dxa"/>
            <w:vAlign w:val="bottom"/>
            <w:gridSpan w:val="27"/>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Beam Therapeutics Inc. 2017 Stock Option and Grant Plan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Borders>
              <w:right w:val="single" w:sz="8" w:color="0000FF"/>
            </w:tcBorders>
            <w:gridSpan w:val="8"/>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54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Incentive Stock Option Grant Notice under the Beam Therapeutics</w:t>
              </w:r>
            </w:hyperlink>
          </w:p>
        </w:tc>
        <w:tc>
          <w:tcPr>
            <w:tcW w:w="260" w:type="dxa"/>
            <w:vAlign w:val="bottom"/>
            <w:gridSpan w:val="5"/>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27"/>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Inc. 2017 Stock Option and Grant Plan</w:t>
              </w:r>
            </w:hyperlink>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Borders>
              <w:right w:val="single" w:sz="8" w:color="0000EE"/>
            </w:tcBorders>
            <w:gridSpan w:val="8"/>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4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49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Non-Qualified Stock Option Grant Notice under the Beam</w:t>
              </w:r>
            </w:hyperlink>
          </w:p>
        </w:tc>
        <w:tc>
          <w:tcPr>
            <w:tcW w:w="84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27"/>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Therapeutics Inc. 2017 Stock Option and Grant Plan</w:t>
              </w:r>
            </w:hyperlink>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Borders>
              <w:top w:val="single" w:sz="8" w:color="0000FF"/>
            </w:tcBorders>
            <w:gridSpan w:val="10"/>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1" w:name="page132"/>
    <w:bookmarkEnd w:id="131"/>
    <w:p>
      <w:pPr>
        <w:ind w:left="920" w:right="16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82">
        <w:r>
          <w:rPr>
            <w:rFonts w:ascii="Times New Roman" w:cs="Times New Roman" w:eastAsia="Times New Roman" w:hAnsi="Times New Roman"/>
            <w:sz w:val="18"/>
            <w:szCs w:val="18"/>
            <w:u w:val="single" w:color="auto"/>
            <w:color w:val="0000FF"/>
          </w:rPr>
          <w:t>Form of Indemnification Agreement between Beam Therapeutics Inc. and its</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directors and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5502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35502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9709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47" w:lineRule="exact"/>
        <w:rPr>
          <w:sz w:val="20"/>
          <w:szCs w:val="20"/>
          <w:color w:val="auto"/>
        </w:rPr>
      </w:pPr>
    </w:p>
    <w:p>
      <w:pPr>
        <w:ind w:left="920" w:right="2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85">
        <w:r>
          <w:rPr>
            <w:rFonts w:ascii="Times New Roman" w:cs="Times New Roman" w:eastAsia="Times New Roman" w:hAnsi="Times New Roman"/>
            <w:sz w:val="18"/>
            <w:szCs w:val="18"/>
            <w:u w:val="single" w:color="auto"/>
            <w:color w:val="0000FF"/>
          </w:rPr>
          <w:t>Amended and Restated Letter Agreement between Beam Therapeutics Inc. and</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John Evans, dated June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6429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4376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1437640" cy="8890"/>
                    </a:xfrm>
                    <a:prstGeom prst="rect">
                      <a:avLst/>
                    </a:prstGeom>
                    <a:noFill/>
                  </pic:spPr>
                </pic:pic>
              </a:graphicData>
            </a:graphic>
          </wp:anchor>
        </w:drawing>
      </w:r>
    </w:p>
    <w:p>
      <w:pPr>
        <w:spacing w:after="0" w:line="47" w:lineRule="exact"/>
        <w:rPr>
          <w:sz w:val="20"/>
          <w:szCs w:val="20"/>
          <w:color w:val="auto"/>
        </w:rPr>
      </w:pPr>
    </w:p>
    <w:p>
      <w:pPr>
        <w:ind w:left="920" w:right="14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88">
        <w:r>
          <w:rPr>
            <w:rFonts w:ascii="Times New Roman" w:cs="Times New Roman" w:eastAsia="Times New Roman" w:hAnsi="Times New Roman"/>
            <w:sz w:val="18"/>
            <w:szCs w:val="18"/>
            <w:u w:val="single" w:color="auto"/>
            <w:color w:val="0000FF"/>
          </w:rPr>
          <w:t>Amended and Restated Employment Agreement between Beam Therapeutics</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Inc. and Giuseppe Ciaramella, dated January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566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4745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2474595" cy="8890"/>
                    </a:xfrm>
                    <a:prstGeom prst="rect">
                      <a:avLst/>
                    </a:prstGeom>
                    <a:noFill/>
                  </pic:spPr>
                </pic:pic>
              </a:graphicData>
            </a:graphic>
          </wp:anchor>
        </w:drawing>
      </w:r>
    </w:p>
    <w:p>
      <w:pPr>
        <w:spacing w:after="0" w:line="47" w:lineRule="exact"/>
        <w:rPr>
          <w:sz w:val="20"/>
          <w:szCs w:val="20"/>
          <w:color w:val="auto"/>
        </w:rPr>
      </w:pPr>
    </w:p>
    <w:p>
      <w:pPr>
        <w:ind w:left="920" w:right="36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91">
        <w:r>
          <w:rPr>
            <w:rFonts w:ascii="Times New Roman" w:cs="Times New Roman" w:eastAsia="Times New Roman" w:hAnsi="Times New Roman"/>
            <w:sz w:val="18"/>
            <w:szCs w:val="18"/>
            <w:u w:val="single" w:color="auto"/>
            <w:color w:val="0000FF"/>
          </w:rPr>
          <w:t>Letter Agreement between Beam Therapeutics Inc. and Sravan K. Emany,</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dated December 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4232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34232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1169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4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94">
        <w:r>
          <w:rPr>
            <w:rFonts w:ascii="Times New Roman" w:cs="Times New Roman" w:eastAsia="Times New Roman" w:hAnsi="Times New Roman"/>
            <w:sz w:val="17"/>
            <w:szCs w:val="17"/>
            <w:u w:val="single" w:color="auto"/>
            <w:color w:val="0000FF"/>
          </w:rPr>
          <w:t>Beam Therapeutics 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363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111"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96">
        <w:r>
          <w:rPr>
            <w:rFonts w:ascii="Times New Roman" w:cs="Times New Roman" w:eastAsia="Times New Roman" w:hAnsi="Times New Roman"/>
            <w:sz w:val="17"/>
            <w:szCs w:val="17"/>
            <w:u w:val="single" w:color="auto"/>
            <w:color w:val="0000FF"/>
          </w:rPr>
          <w:t>Form of Incentive Stock Option Agreement under the Beam Therapeutics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5979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3597910" cy="8255"/>
                    </a:xfrm>
                    <a:prstGeom prst="rect">
                      <a:avLst/>
                    </a:prstGeom>
                    <a:noFill/>
                  </pic:spPr>
                </pic:pic>
              </a:graphicData>
            </a:graphic>
          </wp:anchor>
        </w:drawing>
      </w:r>
    </w:p>
    <w:p>
      <w:pPr>
        <w:spacing w:after="0" w:line="7"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12471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line="92" w:lineRule="exact"/>
        <w:rPr>
          <w:sz w:val="20"/>
          <w:szCs w:val="20"/>
          <w:color w:val="auto"/>
        </w:rPr>
      </w:pPr>
    </w:p>
    <w:p>
      <w:pPr>
        <w:ind w:left="920" w:right="6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99">
        <w:r>
          <w:rPr>
            <w:rFonts w:ascii="Times New Roman" w:cs="Times New Roman" w:eastAsia="Times New Roman" w:hAnsi="Times New Roman"/>
            <w:sz w:val="18"/>
            <w:szCs w:val="18"/>
            <w:u w:val="single" w:color="auto"/>
            <w:color w:val="0000FF"/>
          </w:rPr>
          <w:t>Form of Non-Statutory Stock Option Agreement under the Beam Therapeutics</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6233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362331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4497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47" w:lineRule="exact"/>
        <w:rPr>
          <w:sz w:val="20"/>
          <w:szCs w:val="20"/>
          <w:color w:val="auto"/>
        </w:rPr>
      </w:pPr>
    </w:p>
    <w:p>
      <w:pPr>
        <w:ind w:left="920" w:right="24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202">
        <w:r>
          <w:rPr>
            <w:rFonts w:ascii="Times New Roman" w:cs="Times New Roman" w:eastAsia="Times New Roman" w:hAnsi="Times New Roman"/>
            <w:sz w:val="18"/>
            <w:szCs w:val="18"/>
            <w:u w:val="single" w:color="auto"/>
            <w:color w:val="0000FF"/>
          </w:rPr>
          <w:t>Form of Non-Statutory Stock Option Agreement (Non-Employee Directors)</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under the Beam Therapeutics 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5096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350964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8206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47" w:lineRule="exact"/>
        <w:rPr>
          <w:sz w:val="20"/>
          <w:szCs w:val="20"/>
          <w:color w:val="auto"/>
        </w:rPr>
      </w:pPr>
    </w:p>
    <w:p>
      <w:pPr>
        <w:ind w:left="92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205">
        <w:r>
          <w:rPr>
            <w:rFonts w:ascii="Times New Roman" w:cs="Times New Roman" w:eastAsia="Times New Roman" w:hAnsi="Times New Roman"/>
            <w:sz w:val="18"/>
            <w:szCs w:val="18"/>
            <w:u w:val="single" w:color="auto"/>
            <w:color w:val="0000FF"/>
          </w:rPr>
          <w:t>Form of Restricted Stock Unit Award Agreement under the Beam Therapeutics</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Inc. 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6429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4497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47" w:lineRule="exact"/>
        <w:rPr>
          <w:sz w:val="20"/>
          <w:szCs w:val="20"/>
          <w:color w:val="auto"/>
        </w:rPr>
      </w:pPr>
    </w:p>
    <w:p>
      <w:pPr>
        <w:spacing w:after="0"/>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208">
        <w:r>
          <w:rPr>
            <w:rFonts w:ascii="Times New Roman" w:cs="Times New Roman" w:eastAsia="Times New Roman" w:hAnsi="Times New Roman"/>
            <w:sz w:val="18"/>
            <w:szCs w:val="18"/>
            <w:u w:val="single" w:color="auto"/>
            <w:color w:val="0000FF"/>
          </w:rPr>
          <w:t>Form of Restricted Stock Award Agreement under the Beam Therapeutics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6296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3629660" cy="8255"/>
                    </a:xfrm>
                    <a:prstGeom prst="rect">
                      <a:avLst/>
                    </a:prstGeom>
                    <a:noFill/>
                  </pic:spPr>
                </pic:pic>
              </a:graphicData>
            </a:graphic>
          </wp:anchor>
        </w:drawing>
      </w:r>
    </w:p>
    <w:p>
      <w:pPr>
        <w:spacing w:after="0" w:line="7"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2019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12471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1247140" cy="8890"/>
                    </a:xfrm>
                    <a:prstGeom prst="rect">
                      <a:avLst/>
                    </a:prstGeom>
                    <a:noFill/>
                  </pic:spPr>
                </pic:pic>
              </a:graphicData>
            </a:graphic>
          </wp:anchor>
        </w:drawing>
      </w:r>
    </w:p>
    <w:p>
      <w:pPr>
        <w:spacing w:after="0" w:line="92" w:lineRule="exact"/>
        <w:rPr>
          <w:sz w:val="20"/>
          <w:szCs w:val="20"/>
          <w:color w:val="auto"/>
        </w:rPr>
      </w:pPr>
    </w:p>
    <w:p>
      <w:pPr>
        <w:ind w:left="920" w:right="66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211">
        <w:r>
          <w:rPr>
            <w:rFonts w:ascii="Times New Roman" w:cs="Times New Roman" w:eastAsia="Times New Roman" w:hAnsi="Times New Roman"/>
            <w:sz w:val="18"/>
            <w:szCs w:val="18"/>
            <w:u w:val="single" w:color="auto"/>
            <w:color w:val="0000FF"/>
          </w:rPr>
          <w:t>Amended and Restated Beam Therapeutics Inc. 2019 Employee Stock</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2423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324231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643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4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214">
        <w:r>
          <w:rPr>
            <w:rFonts w:ascii="Times New Roman" w:cs="Times New Roman" w:eastAsia="Times New Roman" w:hAnsi="Times New Roman"/>
            <w:sz w:val="17"/>
            <w:szCs w:val="17"/>
            <w:u w:val="single" w:color="auto"/>
            <w:color w:val="0000FF"/>
          </w:rPr>
          <w:t>Beam Therapeutics Inc. 2019 Cash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2872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11" w:lineRule="exact"/>
        <w:rPr>
          <w:sz w:val="20"/>
          <w:szCs w:val="20"/>
          <w:color w:val="auto"/>
        </w:rPr>
      </w:pPr>
    </w:p>
    <w:p>
      <w:pPr>
        <w:ind w:left="920" w:right="50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216">
        <w:r>
          <w:rPr>
            <w:rFonts w:ascii="Times New Roman" w:cs="Times New Roman" w:eastAsia="Times New Roman" w:hAnsi="Times New Roman"/>
            <w:sz w:val="18"/>
            <w:szCs w:val="18"/>
            <w:u w:val="single" w:color="auto"/>
            <w:color w:val="0000FF"/>
          </w:rPr>
          <w:t>Amended and Restated Beam Therapeutics Inc. Non-Employee Director</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Compensation Policy, dated June 2,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3407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33407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8942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47"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219">
        <w:r>
          <w:rPr>
            <w:rFonts w:ascii="Times New Roman" w:cs="Times New Roman" w:eastAsia="Times New Roman" w:hAnsi="Times New Roman"/>
            <w:sz w:val="17"/>
            <w:szCs w:val="17"/>
            <w:u w:val="single" w:color="auto"/>
            <w:color w:val="0000FF"/>
          </w:rPr>
          <w:t>Lease Agreement between Beam Therapeutics Inc. and ARE-NC Region No.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5598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3559810" cy="8890"/>
                    </a:xfrm>
                    <a:prstGeom prst="rect">
                      <a:avLst/>
                    </a:prstGeom>
                    <a:noFill/>
                  </pic:spPr>
                </pic:pic>
              </a:graphicData>
            </a:graphic>
          </wp:anchor>
        </w:drawing>
      </w:r>
    </w:p>
    <w:p>
      <w:pPr>
        <w:spacing w:after="0" w:line="7"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14,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3873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387350" cy="8890"/>
                    </a:xfrm>
                    <a:prstGeom prst="rect">
                      <a:avLst/>
                    </a:prstGeom>
                    <a:noFill/>
                  </pic:spPr>
                </pic:pic>
              </a:graphicData>
            </a:graphic>
          </wp:anchor>
        </w:drawing>
      </w:r>
    </w:p>
    <w:p>
      <w:pPr>
        <w:spacing w:after="0" w:line="92" w:lineRule="exact"/>
        <w:rPr>
          <w:sz w:val="20"/>
          <w:szCs w:val="20"/>
          <w:color w:val="auto"/>
        </w:rPr>
      </w:pPr>
    </w:p>
    <w:p>
      <w:pPr>
        <w:jc w:val="center"/>
        <w:ind w:right="20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10.27      </w:t>
      </w:r>
      <w:hyperlink r:id="rId222">
        <w:r>
          <w:rPr>
            <w:rFonts w:ascii="Times New Roman" w:cs="Times New Roman" w:eastAsia="Times New Roman" w:hAnsi="Times New Roman"/>
            <w:sz w:val="18"/>
            <w:szCs w:val="18"/>
            <w:u w:val="single" w:color="auto"/>
            <w:color w:val="0000FF"/>
          </w:rPr>
          <w:t>Amendment No. 1 to Indenture of Lease, between Massachusetts Institute of</w:t>
        </w:r>
      </w:hyperlink>
      <w:r>
        <w:rPr>
          <w:rFonts w:ascii="Times New Roman" w:cs="Times New Roman" w:eastAsia="Times New Roman" w:hAnsi="Times New Roman"/>
          <w:sz w:val="18"/>
          <w:szCs w:val="18"/>
          <w:color w:val="auto"/>
        </w:rPr>
        <w:t xml:space="preserve"> </w:t>
      </w:r>
      <w:hyperlink r:id="rId222">
        <w:r>
          <w:rPr>
            <w:rFonts w:ascii="Times New Roman" w:cs="Times New Roman" w:eastAsia="Times New Roman" w:hAnsi="Times New Roman"/>
            <w:sz w:val="18"/>
            <w:szCs w:val="18"/>
            <w:u w:val="single" w:color="auto"/>
            <w:color w:val="0000FF"/>
          </w:rPr>
          <w:t>Technology and Beam Therapeutics Inc., dated April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5312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353123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8587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2858770" cy="8255"/>
                    </a:xfrm>
                    <a:prstGeom prst="rect">
                      <a:avLst/>
                    </a:prstGeom>
                    <a:noFill/>
                  </pic:spPr>
                </pic:pic>
              </a:graphicData>
            </a:graphic>
          </wp:anchor>
        </w:drawing>
      </w:r>
    </w:p>
    <w:p>
      <w:pPr>
        <w:spacing w:after="0" w:line="47" w:lineRule="exact"/>
        <w:rPr>
          <w:sz w:val="20"/>
          <w:szCs w:val="20"/>
          <w:color w:val="auto"/>
        </w:rPr>
      </w:pPr>
    </w:p>
    <w:p>
      <w:pPr>
        <w:ind w:left="920" w:right="20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225">
        <w:r>
          <w:rPr>
            <w:rFonts w:ascii="Times New Roman" w:cs="Times New Roman" w:eastAsia="Times New Roman" w:hAnsi="Times New Roman"/>
            <w:sz w:val="18"/>
            <w:szCs w:val="18"/>
            <w:u w:val="single" w:color="auto"/>
            <w:color w:val="0000FF"/>
          </w:rPr>
          <w:t>Amendment No. 2 to Indenture of Lease, between Massachusetts Institute of</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Technology and Beam Therapeutics Inc., dated November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5312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35312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099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3099435" cy="8255"/>
                    </a:xfrm>
                    <a:prstGeom prst="rect">
                      <a:avLst/>
                    </a:prstGeom>
                    <a:noFill/>
                  </pic:spPr>
                </pic:pic>
              </a:graphicData>
            </a:graphic>
          </wp:anchor>
        </w:drawing>
      </w:r>
    </w:p>
    <w:p>
      <w:pPr>
        <w:spacing w:after="0" w:line="47" w:lineRule="exact"/>
        <w:rPr>
          <w:sz w:val="20"/>
          <w:szCs w:val="20"/>
          <w:color w:val="auto"/>
        </w:rPr>
      </w:pPr>
    </w:p>
    <w:p>
      <w:pPr>
        <w:spacing w:after="0"/>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228">
        <w:r>
          <w:rPr>
            <w:rFonts w:ascii="Times New Roman" w:cs="Times New Roman" w:eastAsia="Times New Roman" w:hAnsi="Times New Roman"/>
            <w:sz w:val="18"/>
            <w:szCs w:val="18"/>
            <w:u w:val="single" w:color="auto"/>
            <w:color w:val="0000FF"/>
          </w:rPr>
          <w:t>Amendment No. 3 to Indenture of Lease, between Massachusetts Institute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5312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3531235" cy="8255"/>
                    </a:xfrm>
                    <a:prstGeom prst="rect">
                      <a:avLst/>
                    </a:prstGeom>
                    <a:noFill/>
                  </pic:spPr>
                </pic:pic>
              </a:graphicData>
            </a:graphic>
          </wp:anchor>
        </w:drawing>
      </w:r>
    </w:p>
    <w:p>
      <w:pPr>
        <w:spacing w:after="0" w:line="7"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Technology and Beam Therapeutics Inc., dated August 24,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29476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2947670" cy="8890"/>
                    </a:xfrm>
                    <a:prstGeom prst="rect">
                      <a:avLst/>
                    </a:prstGeom>
                    <a:noFill/>
                  </pic:spPr>
                </pic:pic>
              </a:graphicData>
            </a:graphic>
          </wp:anchor>
        </w:drawing>
      </w:r>
    </w:p>
    <w:p>
      <w:pPr>
        <w:spacing w:after="0" w:line="92" w:lineRule="exact"/>
        <w:rPr>
          <w:sz w:val="20"/>
          <w:szCs w:val="20"/>
          <w:color w:val="auto"/>
        </w:rPr>
      </w:pPr>
    </w:p>
    <w:p>
      <w:pPr>
        <w:ind w:left="920" w:right="30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231">
        <w:r>
          <w:rPr>
            <w:rFonts w:ascii="Times New Roman" w:cs="Times New Roman" w:eastAsia="Times New Roman" w:hAnsi="Times New Roman"/>
            <w:sz w:val="18"/>
            <w:szCs w:val="18"/>
            <w:u w:val="single" w:color="auto"/>
            <w:color w:val="0000FF"/>
          </w:rPr>
          <w:t>Amendment No. 1 to Sales Agreement, dated July 7, 2021, by and between</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Beam Therapeutics Inc. and Jefferies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4683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346837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9411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1941195" cy="8255"/>
                    </a:xfrm>
                    <a:prstGeom prst="rect">
                      <a:avLst/>
                    </a:prstGeom>
                    <a:noFill/>
                  </pic:spPr>
                </pic:pic>
              </a:graphicData>
            </a:graphic>
          </wp:anchor>
        </w:drawing>
      </w:r>
    </w:p>
    <w:p>
      <w:pPr>
        <w:spacing w:after="0" w:line="47" w:lineRule="exact"/>
        <w:rPr>
          <w:sz w:val="20"/>
          <w:szCs w:val="20"/>
          <w:color w:val="auto"/>
        </w:rPr>
      </w:pPr>
    </w:p>
    <w:p>
      <w:pPr>
        <w:ind w:left="920" w:right="20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234">
        <w:r>
          <w:rPr>
            <w:rFonts w:ascii="Times New Roman" w:cs="Times New Roman" w:eastAsia="Times New Roman" w:hAnsi="Times New Roman"/>
            <w:sz w:val="18"/>
            <w:szCs w:val="18"/>
            <w:u w:val="single" w:color="auto"/>
            <w:color w:val="0000FF"/>
          </w:rPr>
          <w:t>Amendment No. 4 to Indenture of Lease, between Massachusetts Institute of</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Technology and Beam Therapeutics Inc., dated December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5312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35312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0295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3029585" cy="8255"/>
                    </a:xfrm>
                    <a:prstGeom prst="rect">
                      <a:avLst/>
                    </a:prstGeom>
                    <a:noFill/>
                  </pic:spPr>
                </pic:pic>
              </a:graphicData>
            </a:graphic>
          </wp:anchor>
        </w:drawing>
      </w:r>
    </w:p>
    <w:p>
      <w:pPr>
        <w:spacing w:after="0" w:line="47" w:lineRule="exact"/>
        <w:rPr>
          <w:sz w:val="20"/>
          <w:szCs w:val="20"/>
          <w:color w:val="auto"/>
        </w:rPr>
      </w:pPr>
    </w:p>
    <w:p>
      <w:pPr>
        <w:ind w:left="920" w:right="2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237">
        <w:r>
          <w:rPr>
            <w:rFonts w:ascii="Times New Roman" w:cs="Times New Roman" w:eastAsia="Times New Roman" w:hAnsi="Times New Roman"/>
            <w:sz w:val="18"/>
            <w:szCs w:val="18"/>
            <w:u w:val="single" w:color="auto"/>
            <w:color w:val="0000FF"/>
          </w:rPr>
          <w:t>Letter Agreement between Beam Therapeutics Inc. and Christine Bellon, dated</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January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641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364172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7835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47" w:lineRule="exact"/>
        <w:rPr>
          <w:sz w:val="20"/>
          <w:szCs w:val="20"/>
          <w:color w:val="auto"/>
        </w:rPr>
      </w:pPr>
    </w:p>
    <w:p>
      <w:pPr>
        <w:ind w:left="920" w:right="34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240">
        <w:r>
          <w:rPr>
            <w:rFonts w:ascii="Times New Roman" w:cs="Times New Roman" w:eastAsia="Times New Roman" w:hAnsi="Times New Roman"/>
            <w:sz w:val="18"/>
            <w:szCs w:val="18"/>
            <w:u w:val="single" w:color="auto"/>
            <w:color w:val="0000FF"/>
          </w:rPr>
          <w:t>Letter Agreement between Beam Therapeutics Inc. and Amy Simon, dated</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January 29,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44551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34455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7835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2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09/27/2019</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10.12</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08/10/2021</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10.14</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02/25/2025</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338"/>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55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10.19</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3/15/2021</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10.25</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03/15/2021</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10.26</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2/28/2022</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10.27</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333-233985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01/27/2020</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10.21</w:t>
            </w:r>
          </w:p>
        </w:tc>
      </w:tr>
      <w:tr>
        <w:trPr>
          <w:trHeight w:val="338"/>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08/05/2025</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r>
      <w:tr>
        <w:trPr>
          <w:trHeight w:val="55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08/12/2020</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10.31</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10.32</w:t>
            </w:r>
          </w:p>
        </w:tc>
      </w:tr>
      <w:tr>
        <w:trPr>
          <w:trHeight w:val="55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02/28/2022</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10.33</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07/07/2021</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1.1</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02/28/2023</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10.35</w:t>
            </w:r>
          </w:p>
        </w:tc>
      </w:tr>
      <w:tr>
        <w:trPr>
          <w:trHeight w:val="55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5/10/2023</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r>
      <w:tr>
        <w:trPr>
          <w:trHeight w:val="553"/>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001-39208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5/10/2023</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r>
    </w:tbl>
    <w:p>
      <w:pPr>
        <w:sectPr>
          <w:pgSz w:w="11900" w:h="16838" w:orient="portrait"/>
          <w:cols w:equalWidth="0" w:num="2">
            <w:col w:w="6640" w:space="140"/>
            <w:col w:w="3500"/>
          </w:cols>
          <w:pgMar w:left="320" w:top="1012" w:right="129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55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Amendment No. 2 to Sales Agreement, dated May 10, 2023, by and between</w:t>
              </w:r>
            </w:hyperlink>
          </w:p>
        </w:tc>
        <w:tc>
          <w:tcPr>
            <w:tcW w:w="260" w:type="dxa"/>
            <w:vAlign w:val="bottom"/>
            <w:gridSpan w:val="7"/>
          </w:tcPr>
          <w:p>
            <w:pPr>
              <w:spacing w:after="0"/>
              <w:rPr>
                <w:sz w:val="17"/>
                <w:szCs w:val="17"/>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5/10/2023</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1.1</w:t>
            </w:r>
          </w:p>
        </w:tc>
      </w:tr>
      <w:tr>
        <w:trPr>
          <w:trHeight w:val="196"/>
        </w:trPr>
        <w:tc>
          <w:tcPr>
            <w:tcW w:w="92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Beam Therapeutics Inc. and Jefferies LLC</w:t>
              </w:r>
            </w:hyperlink>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54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First Amendment to Lease, between Beam Therapeutics Inc. and ARE-NC</w:t>
              </w:r>
            </w:hyperlink>
          </w:p>
        </w:tc>
        <w:tc>
          <w:tcPr>
            <w:tcW w:w="400" w:type="dxa"/>
            <w:vAlign w:val="bottom"/>
            <w:gridSpan w:val="11"/>
          </w:tcPr>
          <w:p>
            <w:pPr>
              <w:spacing w:after="0"/>
              <w:rPr>
                <w:sz w:val="24"/>
                <w:szCs w:val="2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02/27/2024</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10.39</w:t>
            </w:r>
          </w:p>
        </w:tc>
      </w:tr>
      <w:tr>
        <w:trPr>
          <w:trHeight w:val="196"/>
        </w:trPr>
        <w:tc>
          <w:tcPr>
            <w:tcW w:w="920" w:type="dxa"/>
            <w:vAlign w:val="bottom"/>
          </w:tcPr>
          <w:p>
            <w:pPr>
              <w:spacing w:after="0"/>
              <w:rPr>
                <w:sz w:val="17"/>
                <w:szCs w:val="17"/>
                <w:color w:val="auto"/>
              </w:rPr>
            </w:pPr>
          </w:p>
        </w:tc>
        <w:tc>
          <w:tcPr>
            <w:tcW w:w="30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Region No. 14, LLC, dated June 23, 2022</w:t>
              </w:r>
            </w:hyperlink>
          </w:p>
        </w:tc>
        <w:tc>
          <w:tcPr>
            <w:tcW w:w="2760" w:type="dxa"/>
            <w:vAlign w:val="bottom"/>
            <w:gridSpan w:val="25"/>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56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Second Amendment to Lease, between Beam Therapeutics Inc. and ARE-NC</w:t>
              </w:r>
            </w:hyperlink>
          </w:p>
        </w:tc>
        <w:tc>
          <w:tcPr>
            <w:tcW w:w="200" w:type="dxa"/>
            <w:vAlign w:val="bottom"/>
            <w:gridSpan w:val="5"/>
          </w:tcPr>
          <w:p>
            <w:pPr>
              <w:spacing w:after="0"/>
              <w:rPr>
                <w:sz w:val="24"/>
                <w:szCs w:val="2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02/27/2024</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10.40</w:t>
            </w:r>
          </w:p>
        </w:tc>
      </w:tr>
      <w:tr>
        <w:trPr>
          <w:trHeight w:val="196"/>
        </w:trPr>
        <w:tc>
          <w:tcPr>
            <w:tcW w:w="920" w:type="dxa"/>
            <w:vAlign w:val="bottom"/>
          </w:tcPr>
          <w:p>
            <w:pPr>
              <w:spacing w:after="0"/>
              <w:rPr>
                <w:sz w:val="17"/>
                <w:szCs w:val="17"/>
                <w:color w:val="auto"/>
              </w:rPr>
            </w:pPr>
          </w:p>
        </w:tc>
        <w:tc>
          <w:tcPr>
            <w:tcW w:w="31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Region No. 14, LLC, dated March 31, 2023</w:t>
              </w:r>
            </w:hyperlink>
          </w:p>
        </w:tc>
        <w:tc>
          <w:tcPr>
            <w:tcW w:w="2680" w:type="dxa"/>
            <w:vAlign w:val="bottom"/>
            <w:gridSpan w:val="22"/>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55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Third Amendment to Lease, between Beam Therapeutics Inc. and ARE-NC</w:t>
              </w:r>
            </w:hyperlink>
          </w:p>
        </w:tc>
        <w:tc>
          <w:tcPr>
            <w:tcW w:w="320" w:type="dxa"/>
            <w:vAlign w:val="bottom"/>
            <w:gridSpan w:val="9"/>
          </w:tcPr>
          <w:p>
            <w:pPr>
              <w:spacing w:after="0"/>
              <w:rPr>
                <w:sz w:val="24"/>
                <w:szCs w:val="2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02/27/2024</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10.41</w:t>
            </w:r>
          </w:p>
        </w:tc>
      </w:tr>
      <w:tr>
        <w:trPr>
          <w:trHeight w:val="196"/>
        </w:trPr>
        <w:tc>
          <w:tcPr>
            <w:tcW w:w="920" w:type="dxa"/>
            <w:vAlign w:val="bottom"/>
          </w:tcPr>
          <w:p>
            <w:pPr>
              <w:spacing w:after="0"/>
              <w:rPr>
                <w:sz w:val="17"/>
                <w:szCs w:val="17"/>
                <w:color w:val="auto"/>
              </w:rPr>
            </w:pPr>
          </w:p>
        </w:tc>
        <w:tc>
          <w:tcPr>
            <w:tcW w:w="31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Region No.14, LLC, dated January 1, 2024</w:t>
              </w:r>
            </w:hyperlink>
          </w:p>
        </w:tc>
        <w:tc>
          <w:tcPr>
            <w:tcW w:w="20" w:type="dxa"/>
            <w:vAlign w:val="bottom"/>
            <w:tcBorders>
              <w:bottom w:val="single" w:sz="8" w:color="0000EE"/>
            </w:tcBorders>
          </w:tcPr>
          <w:p>
            <w:pPr>
              <w:spacing w:after="0"/>
              <w:rPr>
                <w:sz w:val="17"/>
                <w:szCs w:val="17"/>
                <w:color w:val="auto"/>
              </w:rPr>
            </w:pPr>
          </w:p>
        </w:tc>
        <w:tc>
          <w:tcPr>
            <w:tcW w:w="2700" w:type="dxa"/>
            <w:vAlign w:val="bottom"/>
            <w:gridSpan w:val="23"/>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57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of Addendum to Letter Agreement between Beam Therapeutics Inc. and</w:t>
              </w:r>
            </w:hyperlink>
          </w:p>
        </w:tc>
        <w:tc>
          <w:tcPr>
            <w:tcW w:w="140" w:type="dxa"/>
            <w:vAlign w:val="bottom"/>
            <w:gridSpan w:val="3"/>
          </w:tcPr>
          <w:p>
            <w:pPr>
              <w:spacing w:after="0"/>
              <w:rPr>
                <w:sz w:val="24"/>
                <w:szCs w:val="2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05/07/2024</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10.2</w:t>
            </w:r>
          </w:p>
        </w:tc>
      </w:tr>
      <w:tr>
        <w:trPr>
          <w:trHeight w:val="196"/>
        </w:trPr>
        <w:tc>
          <w:tcPr>
            <w:tcW w:w="920" w:type="dxa"/>
            <w:vAlign w:val="bottom"/>
          </w:tcPr>
          <w:p>
            <w:pPr>
              <w:spacing w:after="0"/>
              <w:rPr>
                <w:sz w:val="17"/>
                <w:szCs w:val="17"/>
                <w:color w:val="auto"/>
              </w:rPr>
            </w:pPr>
          </w:p>
        </w:tc>
        <w:tc>
          <w:tcPr>
            <w:tcW w:w="55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each of John Evans, Giuseppe Ciaramella, Christine Bellon and Amy Simon</w:t>
              </w:r>
            </w:hyperlink>
          </w:p>
        </w:tc>
        <w:tc>
          <w:tcPr>
            <w:tcW w:w="32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53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Amendment to License Agreement between The Broad Institute, Inc. and</w:t>
              </w:r>
            </w:hyperlink>
          </w:p>
        </w:tc>
        <w:tc>
          <w:tcPr>
            <w:tcW w:w="500" w:type="dxa"/>
            <w:vAlign w:val="bottom"/>
            <w:gridSpan w:val="12"/>
          </w:tcPr>
          <w:p>
            <w:pPr>
              <w:spacing w:after="0"/>
              <w:rPr>
                <w:sz w:val="24"/>
                <w:szCs w:val="2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05/07/2024</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10.3</w:t>
            </w:r>
          </w:p>
        </w:tc>
      </w:tr>
      <w:tr>
        <w:trPr>
          <w:trHeight w:val="196"/>
        </w:trPr>
        <w:tc>
          <w:tcPr>
            <w:tcW w:w="92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Beam Therapeutics Inc., dated May 31, 2024</w:t>
              </w:r>
            </w:hyperlink>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56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Amendment No. 4 to License Agreement, between the President and Fellows</w:t>
              </w:r>
            </w:hyperlink>
          </w:p>
        </w:tc>
        <w:tc>
          <w:tcPr>
            <w:tcW w:w="240" w:type="dxa"/>
            <w:vAlign w:val="bottom"/>
            <w:gridSpan w:val="6"/>
          </w:tcPr>
          <w:p>
            <w:pPr>
              <w:spacing w:after="0"/>
              <w:rPr>
                <w:sz w:val="24"/>
                <w:szCs w:val="2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02/25/2025</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10.42</w:t>
            </w:r>
          </w:p>
        </w:tc>
      </w:tr>
      <w:tr>
        <w:trPr>
          <w:trHeight w:val="196"/>
        </w:trPr>
        <w:tc>
          <w:tcPr>
            <w:tcW w:w="92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of Harvard College and Beam Therapeutics Inc., dated December 1, 2024</w:t>
              </w:r>
            </w:hyperlink>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502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Standby License Agreement, between Beam Therapeutics Inc., Kobe</w:t>
              </w:r>
            </w:hyperlink>
          </w:p>
        </w:tc>
        <w:tc>
          <w:tcPr>
            <w:tcW w:w="280" w:type="dxa"/>
            <w:vAlign w:val="bottom"/>
            <w:tcBorders>
              <w:top w:val="single" w:sz="8" w:color="0000FF"/>
            </w:tcBorders>
            <w:gridSpan w:val="3"/>
          </w:tcPr>
          <w:p>
            <w:pPr>
              <w:spacing w:after="0"/>
              <w:rPr>
                <w:sz w:val="24"/>
                <w:szCs w:val="24"/>
                <w:color w:val="auto"/>
              </w:rPr>
            </w:pPr>
          </w:p>
        </w:tc>
        <w:tc>
          <w:tcPr>
            <w:tcW w:w="540" w:type="dxa"/>
            <w:vAlign w:val="bottom"/>
            <w:gridSpan w:val="13"/>
          </w:tcPr>
          <w:p>
            <w:pPr>
              <w:spacing w:after="0"/>
              <w:rPr>
                <w:sz w:val="24"/>
                <w:szCs w:val="2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02/12/2026</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920" w:type="dxa"/>
            <w:vAlign w:val="bottom"/>
          </w:tcPr>
          <w:p>
            <w:pPr>
              <w:spacing w:after="0"/>
              <w:rPr>
                <w:sz w:val="17"/>
                <w:szCs w:val="17"/>
                <w:color w:val="auto"/>
              </w:rPr>
            </w:pPr>
          </w:p>
        </w:tc>
        <w:tc>
          <w:tcPr>
            <w:tcW w:w="43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University and Bio Palette Co., Ltd., dated February 9, 2026</w:t>
              </w:r>
            </w:hyperlink>
          </w:p>
        </w:tc>
        <w:tc>
          <w:tcPr>
            <w:tcW w:w="148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5840" w:type="dxa"/>
            <w:vAlign w:val="bottom"/>
            <w:gridSpan w:val="30"/>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Insider Trading Policy</w:t>
              </w:r>
            </w:hyperlink>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02/25/2025</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9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3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List of Subsidiaries of Beam Therapeutics Inc.</w:t>
              </w:r>
            </w:hyperlink>
          </w:p>
        </w:tc>
        <w:tc>
          <w:tcPr>
            <w:tcW w:w="2480" w:type="dxa"/>
            <w:vAlign w:val="bottom"/>
            <w:gridSpan w:val="20"/>
          </w:tcPr>
          <w:p>
            <w:pPr>
              <w:spacing w:after="0"/>
              <w:rPr>
                <w:sz w:val="24"/>
                <w:szCs w:val="2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2/28/2022</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21.1</w:t>
            </w: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5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300" w:type="dxa"/>
            <w:vAlign w:val="bottom"/>
            <w:gridSpan w:val="8"/>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566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 to</w:t>
            </w:r>
          </w:p>
        </w:tc>
        <w:tc>
          <w:tcPr>
            <w:tcW w:w="1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2400" w:type="dxa"/>
            <w:vAlign w:val="bottom"/>
            <w:gridSpan w:val="18"/>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5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340" w:type="dxa"/>
            <w:vAlign w:val="bottom"/>
            <w:gridSpan w:val="10"/>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566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 to</w:t>
            </w:r>
          </w:p>
        </w:tc>
        <w:tc>
          <w:tcPr>
            <w:tcW w:w="18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2400" w:type="dxa"/>
            <w:vAlign w:val="bottom"/>
            <w:gridSpan w:val="18"/>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7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51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Sarbanes-Oxley Act of 2002</w:t>
            </w:r>
          </w:p>
        </w:tc>
        <w:tc>
          <w:tcPr>
            <w:tcW w:w="20" w:type="dxa"/>
            <w:vAlign w:val="bottom"/>
            <w:tcBorders>
              <w:bottom w:val="single" w:sz="8" w:color="0000EE"/>
            </w:tcBorders>
          </w:tcPr>
          <w:p>
            <w:pPr>
              <w:spacing w:after="0"/>
              <w:rPr>
                <w:sz w:val="17"/>
                <w:szCs w:val="17"/>
                <w:color w:val="auto"/>
              </w:rPr>
            </w:pPr>
          </w:p>
        </w:tc>
        <w:tc>
          <w:tcPr>
            <w:tcW w:w="680" w:type="dxa"/>
            <w:vAlign w:val="bottom"/>
            <w:gridSpan w:val="14"/>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7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1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20" w:type="dxa"/>
            <w:vAlign w:val="bottom"/>
          </w:tcPr>
          <w:p>
            <w:pPr>
              <w:spacing w:after="0"/>
              <w:rPr>
                <w:sz w:val="17"/>
                <w:szCs w:val="17"/>
                <w:color w:val="auto"/>
              </w:rPr>
            </w:pPr>
          </w:p>
        </w:tc>
        <w:tc>
          <w:tcPr>
            <w:tcW w:w="51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as Adopted Pursuant to Section 906 of the Sarbanes-Oxley Act of 2002</w:t>
            </w:r>
          </w:p>
        </w:tc>
        <w:tc>
          <w:tcPr>
            <w:tcW w:w="70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24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Clawback Policy</w:t>
              </w:r>
            </w:hyperlink>
          </w:p>
        </w:tc>
        <w:tc>
          <w:tcPr>
            <w:tcW w:w="20" w:type="dxa"/>
            <w:vAlign w:val="bottom"/>
            <w:tcBorders>
              <w:bottom w:val="single" w:sz="8" w:color="0000EE"/>
            </w:tcBorders>
          </w:tcPr>
          <w:p>
            <w:pPr>
              <w:spacing w:after="0"/>
              <w:rPr>
                <w:sz w:val="24"/>
                <w:szCs w:val="24"/>
                <w:color w:val="auto"/>
              </w:rPr>
            </w:pPr>
          </w:p>
        </w:tc>
        <w:tc>
          <w:tcPr>
            <w:tcW w:w="4580" w:type="dxa"/>
            <w:vAlign w:val="bottom"/>
            <w:gridSpan w:val="28"/>
          </w:tcPr>
          <w:p>
            <w:pPr>
              <w:spacing w:after="0"/>
              <w:rPr>
                <w:sz w:val="24"/>
                <w:szCs w:val="2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001-39208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02/27/2024</w:t>
            </w:r>
          </w:p>
        </w:tc>
        <w:tc>
          <w:tcPr>
            <w:tcW w:w="11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97.1</w:t>
            </w: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8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920" w:type="dxa"/>
            <w:vAlign w:val="bottom"/>
          </w:tcPr>
          <w:p>
            <w:pPr>
              <w:spacing w:after="0"/>
              <w:rPr>
                <w:sz w:val="18"/>
                <w:szCs w:val="18"/>
                <w:color w:val="auto"/>
              </w:rPr>
            </w:pPr>
          </w:p>
        </w:tc>
        <w:tc>
          <w:tcPr>
            <w:tcW w:w="58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 Interactive Data File as its XBRL tags are embedded within the Inline</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58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8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920" w:type="dxa"/>
            <w:vAlign w:val="bottom"/>
          </w:tcPr>
          <w:p>
            <w:pPr>
              <w:spacing w:after="0"/>
              <w:rPr>
                <w:sz w:val="20"/>
                <w:szCs w:val="20"/>
                <w:color w:val="auto"/>
              </w:rPr>
            </w:pPr>
          </w:p>
        </w:tc>
        <w:tc>
          <w:tcPr>
            <w:tcW w:w="58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ind w:right="240" w:firstLine="8"/>
        <w:spacing w:after="0" w:line="273" w:lineRule="auto"/>
        <w:tabs>
          <w:tab w:leader="none" w:pos="1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 Registrant has determined they are not material and are they type that the Registrant treats as private or confidential.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36" w:lineRule="exact"/>
        <w:rPr>
          <w:rFonts w:ascii="Times New Roman" w:cs="Times New Roman" w:eastAsia="Times New Roman" w:hAnsi="Times New Roman"/>
          <w:sz w:val="18"/>
          <w:szCs w:val="18"/>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1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99" w:right="5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6" w:right="1440" w:bottom="1440" w:gutter="0" w:footer="0" w:header="0"/>
        </w:sectPr>
      </w:pPr>
    </w:p>
    <w:bookmarkStart w:id="134" w:name="page135"/>
    <w:bookmarkEnd w:id="1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4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BEAM THERAPEUTICS INC.</w:t>
            </w:r>
          </w:p>
        </w:tc>
        <w:tc>
          <w:tcPr>
            <w:tcW w:w="332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4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/s/ John Evans</w:t>
            </w:r>
          </w:p>
        </w:tc>
      </w:tr>
      <w:tr>
        <w:trPr>
          <w:trHeight w:val="211"/>
        </w:trPr>
        <w:tc>
          <w:tcPr>
            <w:tcW w:w="3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rPr>
              <w:t>John Evans</w:t>
            </w:r>
          </w:p>
        </w:tc>
      </w:tr>
    </w:tbl>
    <w:p>
      <w:pPr>
        <w:ind w:left="76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1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526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Evans</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John Evans</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1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Sravan Emany</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Sravan Emany</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1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Bethany Cavanagh</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Vice President, Finance, and Treasurer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Bethany Cavanagh</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1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Graham Cooper</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Graham Cooper</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1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Fishman</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 Fishman, M.D.</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1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Chirfi Guindo</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Chirfi Guindo</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1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Ho</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Carole Ho, M.D.</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1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Maraganore</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Maraganore, Ph.D.</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15"/>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Christi Shaw</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 Shaw</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Walsh</w:t>
            </w: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32"/>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Kathleen Walsh</w:t>
            </w:r>
          </w:p>
        </w:tc>
        <w:tc>
          <w:tcPr>
            <w:tcW w:w="1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26"/>
        </w:trPr>
        <w:tc>
          <w:tcPr>
            <w:tcW w:w="3500" w:type="dxa"/>
            <w:vAlign w:val="bottom"/>
          </w:tcPr>
          <w:p>
            <w:pPr>
              <w:spacing w:after="0"/>
              <w:rPr>
                <w:sz w:val="24"/>
                <w:szCs w:val="24"/>
                <w:color w:val="auto"/>
              </w:rPr>
            </w:pPr>
          </w:p>
        </w:tc>
        <w:tc>
          <w:tcPr>
            <w:tcW w:w="54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40" w:type="dxa"/>
            <w:vAlign w:val="bottom"/>
            <w:gridSpan w:val="5"/>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60" w:type="dxa"/>
            <w:vAlign w:val="bottom"/>
          </w:tcPr>
          <w:p>
            <w:pPr>
              <w:spacing w:after="0"/>
              <w:rPr>
                <w:sz w:val="20"/>
                <w:szCs w:val="20"/>
                <w:color w:val="auto"/>
              </w:rPr>
            </w:pPr>
          </w:p>
        </w:tc>
      </w:tr>
      <w:tr>
        <w:trPr>
          <w:trHeight w:val="418"/>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No. 34)</w:t>
            </w: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w w:val="87"/>
              </w:rPr>
              <w:t>F-2</w:t>
            </w:r>
          </w:p>
        </w:tc>
      </w:tr>
      <w:tr>
        <w:trPr>
          <w:trHeight w:val="196"/>
        </w:trPr>
        <w:tc>
          <w:tcPr>
            <w:tcW w:w="20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3520" w:type="dxa"/>
            <w:vAlign w:val="bottom"/>
            <w:tcBorders>
              <w:top w:val="single" w:sz="8" w:color="0000FF"/>
            </w:tcBorders>
            <w:gridSpan w:val="6"/>
          </w:tcPr>
          <w:p>
            <w:pPr>
              <w:spacing w:after="0"/>
              <w:rPr>
                <w:sz w:val="17"/>
                <w:szCs w:val="17"/>
                <w:color w:val="auto"/>
              </w:rPr>
            </w:pPr>
          </w:p>
        </w:tc>
        <w:tc>
          <w:tcPr>
            <w:tcW w:w="3900" w:type="dxa"/>
            <w:vAlign w:val="bottom"/>
          </w:tcPr>
          <w:p>
            <w:pPr>
              <w:spacing w:after="0"/>
              <w:rPr>
                <w:sz w:val="17"/>
                <w:szCs w:val="17"/>
                <w:color w:val="auto"/>
              </w:rPr>
            </w:pP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196"/>
        </w:trPr>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other comprehensive loss</w:t>
            </w: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492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4560" w:type="dxa"/>
            <w:vAlign w:val="bottom"/>
            <w:gridSpan w:val="3"/>
          </w:tcPr>
          <w:p>
            <w:pPr>
              <w:spacing w:after="0"/>
              <w:rPr>
                <w:sz w:val="17"/>
                <w:szCs w:val="17"/>
                <w:color w:val="auto"/>
              </w:rPr>
            </w:pP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r>
        <w:trPr>
          <w:trHeight w:val="196"/>
        </w:trPr>
        <w:tc>
          <w:tcPr>
            <w:tcW w:w="346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6020" w:type="dxa"/>
            <w:vAlign w:val="bottom"/>
            <w:gridSpan w:val="4"/>
          </w:tcPr>
          <w:p>
            <w:pPr>
              <w:spacing w:after="0"/>
              <w:rPr>
                <w:sz w:val="17"/>
                <w:szCs w:val="17"/>
                <w:color w:val="auto"/>
              </w:rPr>
            </w:pP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278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w w:val="87"/>
              </w:rPr>
              <w:t>F-9</w:t>
            </w:r>
          </w:p>
        </w:tc>
      </w:tr>
      <w:tr>
        <w:trPr>
          <w:trHeight w:val="453"/>
        </w:trPr>
        <w:tc>
          <w:tcPr>
            <w:tcW w:w="20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4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5"/>
              </w:rPr>
              <w:t>F-1</w:t>
            </w:r>
          </w:p>
        </w:tc>
        <w:tc>
          <w:tcPr>
            <w:tcW w:w="1760" w:type="dxa"/>
            <w:vAlign w:val="bottom"/>
          </w:tcPr>
          <w:p>
            <w:pPr>
              <w:spacing w:after="0"/>
              <w:rPr>
                <w:sz w:val="24"/>
                <w:szCs w:val="24"/>
                <w:color w:val="auto"/>
              </w:rPr>
            </w:pPr>
          </w:p>
        </w:tc>
      </w:tr>
      <w:tr>
        <w:trPr>
          <w:trHeight w:val="763"/>
        </w:trPr>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6" w:name="page137"/>
    <w:bookmarkEnd w:id="136"/>
    <w:p>
      <w:pPr>
        <w:ind w:right="2540" w:firstLine="253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Beam Therapeutics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Beam Therapeutics Inc. and subsidiaries (the "Company") as of December 31, 2025 and 2024, the related consolidated statements of operations and other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2026,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ind w:right="44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Estimates – Refer to Notes 2 and 6 to the financial statements </w:t>
      </w:r>
      <w:r>
        <w:rPr>
          <w:rFonts w:ascii="Times New Roman" w:cs="Times New Roman" w:eastAsia="Times New Roman" w:hAnsi="Times New Roman"/>
          <w:sz w:val="18"/>
          <w:szCs w:val="18"/>
          <w:i w:val="1"/>
          <w:iCs w:val="1"/>
          <w:color w:val="auto"/>
        </w:rPr>
        <w:t>Critical Audit Matter Description</w:t>
      </w:r>
    </w:p>
    <w:p>
      <w:pPr>
        <w:ind w:right="16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incurred $409.6 million of research and development expenses, including accrued liabilities of $19.5 million as of December 31, 2025. As disclosed in Note 2 to the financial statements, the Company expenses research and development costs, which include external costs relating to preclinical, clinical, and process development and manufacturing activities, as incurred. Research and development activities performed by service providers are accrued and expensed based upon estimates of the proportion of work completed over the term of the individual arrangements. Estimates are determined by reviewing vendor agreements and purchase orders, and through discussions with internal personnel and external service providers as to the progress or stage of completion of services and the agreed-upon fee to be paid for such services. Amounts paid to these third parties in excess of recognized expenses are recorded as prepaid costs.</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identified auditing the estimates of the extent of work performed by research and development service providers as a critical audit matter because of the level of management judgment required and volume of such estimates made by management. This required a high degree of auditor judgment and an increased extent of effort when performing audit procedures to evaluate the reasonableness of management’s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external research and development expenses included the following, among others:</w:t>
      </w:r>
    </w:p>
    <w:p>
      <w:pPr>
        <w:spacing w:after="0" w:line="117" w:lineRule="exact"/>
        <w:rPr>
          <w:sz w:val="20"/>
          <w:szCs w:val="20"/>
          <w:color w:val="auto"/>
        </w:rPr>
      </w:pPr>
    </w:p>
    <w:p>
      <w:pPr>
        <w:ind w:left="300" w:hanging="14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effectiveness of controls over the estimation of accrued and prepaid research and development costs.</w:t>
      </w:r>
    </w:p>
    <w:p>
      <w:pPr>
        <w:spacing w:after="0" w:line="117" w:lineRule="exact"/>
        <w:rPr>
          <w:rFonts w:ascii="Times New Roman" w:cs="Times New Roman" w:eastAsia="Times New Roman" w:hAnsi="Times New Roman"/>
          <w:sz w:val="18"/>
          <w:szCs w:val="18"/>
          <w:color w:val="auto"/>
        </w:rPr>
      </w:pPr>
    </w:p>
    <w:p>
      <w:pPr>
        <w:ind w:left="300" w:hanging="14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accuracy and completeness of the underlying data used in the estimates.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7" w:name="page138"/>
    <w:bookmarkEnd w:id="137"/>
    <w:p>
      <w:pPr>
        <w:ind w:left="300" w:right="2620" w:hanging="142"/>
        <w:spacing w:after="0" w:line="375" w:lineRule="auto"/>
        <w:tabs>
          <w:tab w:leader="none" w:pos="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service providers performing research and development activities, we performed the following: o Inspected the contracts and any amendments to the contracts with the service providers.</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appropriateness of the method used by management to develop the estimates of the costs incurred to date.</w:t>
      </w:r>
    </w:p>
    <w:p>
      <w:pPr>
        <w:spacing w:after="0" w:line="117" w:lineRule="exact"/>
        <w:rPr>
          <w:rFonts w:ascii="Times New Roman" w:cs="Times New Roman" w:eastAsia="Times New Roman" w:hAnsi="Times New Roman"/>
          <w:sz w:val="18"/>
          <w:szCs w:val="18"/>
          <w:color w:val="auto"/>
        </w:rPr>
      </w:pPr>
    </w:p>
    <w:p>
      <w:pPr>
        <w:ind w:left="460" w:hanging="14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Performed corroborating inquiries with the Company's research and development personnel and inspected information from the service providers, which may include the service providers’ estimate of the costs incurred to date, to evaluate the progress of the activity.</w:t>
      </w:r>
    </w:p>
    <w:p>
      <w:pPr>
        <w:spacing w:after="0" w:line="53"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Inspected the evidence of payments to the service providers related to the research activities performed.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20" w:right="619" w:bottom="1440" w:gutter="0" w:footer="0" w:header="0"/>
        </w:sectPr>
      </w:pPr>
    </w:p>
    <w:bookmarkStart w:id="138" w:name="page139"/>
    <w:bookmarkEnd w:id="1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294,944</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281,967</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950,266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568,773</w:t>
            </w:r>
          </w:p>
        </w:tc>
      </w:tr>
      <w:tr>
        <w:trPr>
          <w:trHeight w:val="216"/>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23,478</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27,409</w:t>
            </w:r>
          </w:p>
        </w:tc>
      </w:tr>
      <w:tr>
        <w:trPr>
          <w:trHeight w:val="210"/>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1,268,688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878,149</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104,500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111,412</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8,144</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100,679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104,865</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1,254</w:t>
            </w:r>
          </w:p>
        </w:tc>
      </w:tr>
      <w:tr>
        <w:trPr>
          <w:trHeight w:val="249"/>
        </w:trPr>
        <w:tc>
          <w:tcPr>
            <w:tcW w:w="7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1,481,177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1,103,824</w:t>
            </w:r>
          </w:p>
        </w:tc>
      </w:tr>
      <w:tr>
        <w:trPr>
          <w:trHeight w:val="197"/>
        </w:trPr>
        <w:tc>
          <w:tcPr>
            <w:tcW w:w="7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10,231</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3,871</w:t>
            </w: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55,267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47,468</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derivative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8,400</w:t>
            </w: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6,659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108,858</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13,469</w:t>
            </w:r>
          </w:p>
        </w:tc>
      </w:tr>
      <w:tr>
        <w:trPr>
          <w:trHeight w:val="216"/>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contingent consideration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2,714</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96,935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182,066</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139,759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147,956</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contingent consideration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deferred revenue</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33,218</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derivative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5,404</w:t>
            </w: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504</w:t>
            </w:r>
          </w:p>
        </w:tc>
      </w:tr>
      <w:tr>
        <w:trPr>
          <w:trHeight w:val="210"/>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242,819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370,279</w:t>
            </w:r>
          </w:p>
        </w:tc>
      </w:tr>
      <w:tr>
        <w:trPr>
          <w:trHeight w:val="196"/>
        </w:trPr>
        <w:tc>
          <w:tcPr>
            <w:tcW w:w="766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 xml:space="preserve">Commitments and contingencies (See Note 9, </w:t>
            </w:r>
            <w:r>
              <w:rPr>
                <w:rFonts w:ascii="Times New Roman" w:cs="Times New Roman" w:eastAsia="Times New Roman" w:hAnsi="Times New Roman"/>
                <w:sz w:val="18"/>
                <w:szCs w:val="18"/>
                <w:i w:val="1"/>
                <w:iCs w:val="1"/>
                <w:color w:val="auto"/>
              </w:rPr>
              <w:t>License and other agreements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Collaboration</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and license agreements</w:t>
            </w: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8"/>
        </w:trPr>
        <w:tc>
          <w:tcPr>
            <w:tcW w:w="76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$0.01 par value; 25,000,000 shares authorized, and no shares issued or outstanding at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250,000,000 shares authorized, 101,748,962 and 83,633,069 issued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December 31, 2025 and December 31, 2024, respectively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836</w:t>
            </w: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2,877,449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2,298,661</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679</w:t>
            </w:r>
          </w:p>
        </w:tc>
      </w:tr>
      <w:tr>
        <w:trPr>
          <w:trHeight w:val="216"/>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(1,641,219)</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(1,566,631)</w:t>
            </w:r>
          </w:p>
        </w:tc>
      </w:tr>
      <w:tr>
        <w:trPr>
          <w:trHeight w:val="210"/>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1,238,358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733,545</w:t>
            </w:r>
          </w:p>
        </w:tc>
      </w:tr>
      <w:tr>
        <w:trPr>
          <w:trHeight w:val="229"/>
        </w:trPr>
        <w:tc>
          <w:tcPr>
            <w:tcW w:w="7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1,481,177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1,103,824</w:t>
            </w: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-4628515</wp:posOffset>
            </wp:positionV>
            <wp:extent cx="1028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-3788410</wp:posOffset>
            </wp:positionV>
            <wp:extent cx="1028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-3771265</wp:posOffset>
            </wp:positionV>
            <wp:extent cx="1028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-2665095</wp:posOffset>
            </wp:positionV>
            <wp:extent cx="102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-1833880</wp:posOffset>
            </wp:positionV>
            <wp:extent cx="1028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102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9" w:name="page140"/>
    <w:bookmarkEnd w:id="1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Other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bl>
      <w:tblPr>
        <w:tblLayout w:type="fixed"/>
        <w:tblInd w:w="0" w:type="dxa"/>
        <w:tblCellMar>
          <w:top w:w="0" w:type="dxa"/>
          <w:left w:w="0" w:type="dxa"/>
          <w:bottom w:w="0" w:type="dxa"/>
          <w:right w:w="0" w:type="dxa"/>
        </w:tblCellMar>
      </w:tblPr>
      <w:tr>
        <w:trPr>
          <w:trHeight w:val="133"/>
        </w:trPr>
        <w:tc>
          <w:tcPr>
            <w:tcW w:w="6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1"/>
                <w:szCs w:val="11"/>
                <w:color w:val="auto"/>
              </w:rPr>
            </w:pPr>
          </w:p>
        </w:tc>
        <w:tc>
          <w:tcPr>
            <w:tcW w:w="1740" w:type="dxa"/>
            <w:vAlign w:val="bottom"/>
            <w:gridSpan w:val="4"/>
          </w:tcPr>
          <w:p>
            <w:pPr>
              <w:jc w:val="right"/>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139,743</w:t>
            </w:r>
          </w:p>
        </w:tc>
        <w:tc>
          <w:tcPr>
            <w:tcW w:w="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63,518</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367,561</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523,436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479,086</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554,194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(383,693)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(415,568)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(176,485)</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(14,093)</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(18,592)</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sale of equity method investment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255,146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303,701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(376,703)</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(131,161)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(376,742)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(132,527)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Unrealized gain on marketable securities</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(79,560)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(376,667)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(129,493)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4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(4.58)</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97"/>
        </w:trPr>
        <w:tc>
          <w:tcPr>
            <w:tcW w:w="66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98,905,577</w:t>
            </w: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82,313,008</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77,151,771</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-2211070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-2211070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-2211070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-1096645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-1096645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-805180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-805180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-805180</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-496570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-496570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0" w:name="page141"/>
    <w:bookmarkEnd w:id="1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vMerge w:val="restart"/>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71,277,339</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712</w:t>
            </w:r>
          </w:p>
        </w:tc>
        <w:tc>
          <w:tcPr>
            <w:tcW w:w="3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1,792,554</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(2,430)</w:t>
            </w:r>
          </w:p>
        </w:tc>
        <w:tc>
          <w:tcPr>
            <w:tcW w:w="26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(1,057,362)</w:t>
            </w:r>
          </w:p>
        </w:tc>
        <w:tc>
          <w:tcPr>
            <w:tcW w:w="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733,474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20" w:type="dxa"/>
            <w:vAlign w:val="bottom"/>
            <w:tcBorders>
              <w:top w:val="single" w:sz="8" w:color="CFF0FC"/>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130,403</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3,031</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3,032</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2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from At-the-Market offering, net of issuance</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6,952,703</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235,868</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235,938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costs of $6.1 million</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unregistered common shares in connection with license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2,004,811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33,580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agreement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469,531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797,709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6,123</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(132,527)</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(132,527)</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81,632,496</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816</w:t>
            </w: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2,169,798</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604</w:t>
            </w:r>
          </w:p>
        </w:tc>
        <w:tc>
          <w:tcPr>
            <w:tcW w:w="120" w:type="dxa"/>
            <w:vAlign w:val="bottom"/>
          </w:tcPr>
          <w:p>
            <w:pPr>
              <w:spacing w:after="0"/>
              <w:rPr>
                <w:sz w:val="12"/>
                <w:szCs w:val="12"/>
                <w:color w:val="auto"/>
              </w:rPr>
            </w:pPr>
          </w:p>
        </w:tc>
        <w:tc>
          <w:tcPr>
            <w:tcW w:w="260" w:type="dxa"/>
            <w:vAlign w:val="bottom"/>
            <w:gridSpan w:val="2"/>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(1,189,889)</w:t>
            </w:r>
          </w:p>
        </w:tc>
        <w:tc>
          <w:tcPr>
            <w:tcW w:w="160" w:type="dxa"/>
            <w:vAlign w:val="bottom"/>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981,329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2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135,187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2,620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1,302,037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120,662</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563,349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(376,742)</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(376,742)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83,633,069</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836</w:t>
            </w:r>
          </w:p>
        </w:tc>
        <w:tc>
          <w:tcPr>
            <w:tcW w:w="3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2,298,661</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679</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(1,566,631)</w:t>
            </w:r>
          </w:p>
        </w:tc>
        <w:tc>
          <w:tcPr>
            <w:tcW w:w="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733,545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20" w:type="dxa"/>
            <w:vAlign w:val="bottom"/>
            <w:tcBorders>
              <w:top w:val="single" w:sz="8" w:color="CFF0FC"/>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Cumulative effect of adoption of ASU 2025-07</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5,404</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5,404</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2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net of issuance costs</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16,151,686</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470,312</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470,474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of $30.8 million</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common stock under ESPP</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1,048,601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94,244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94,244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for acquisition</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403,128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6,711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337,770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(79,992)</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(79,992)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101,748,962</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1,017</w:t>
            </w:r>
          </w:p>
        </w:tc>
        <w:tc>
          <w:tcPr>
            <w:tcW w:w="3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2,877,449</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1,111</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(1,641,219)</w:t>
            </w:r>
          </w:p>
        </w:tc>
        <w:tc>
          <w:tcPr>
            <w:tcW w:w="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1,238,358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-2862580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-2845435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-2862580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-2845435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-2862580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-2845435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-2862580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-2845435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-2862580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-2845435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-1893570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-1893570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-1893570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-1893570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-1893570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-1096645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-1079500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-1096645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-1079500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-1096645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-1079500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-1096645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-1079500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-1096645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-1079500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1" w:name="page142"/>
    <w:bookmarkEnd w:id="1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3"/>
                <w:szCs w:val="13"/>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(79,992)</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(376,742)</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(132,527)</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investment discount (premiums)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(15,958)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(22,765)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(29,743)</w:t>
            </w: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In-process research and development charge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120,662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operating lease right-of-use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liabilities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(9,740)</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non-controlling equity investments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(3,942)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loss (gain) on sale of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Gain on sale of equity method investment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(255,146)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(6,619)</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(57,685)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(13,505)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(10,168)</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(135,417)</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(36,518)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(159,559)</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(345,102)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(347,246)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(149,195)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(14,946)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(8,946)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(33,732)</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(1,209,792)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(486,439)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(984,338)</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842,489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680,392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1,089,910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acquisition,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equity method investment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(121,438)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shares and pre-funded warrants, net of issuance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470,513</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issuances of stock under ESPP</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Equipment financings,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private stock issuance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478,049</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20" w:type="dxa"/>
            <w:vAlign w:val="bottom"/>
            <w:tcBorders>
              <w:top w:val="single" w:sz="8" w:color="CFF0FC"/>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276,448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(154,503)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year</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290,111</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444,614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year</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301,620</w:t>
            </w:r>
          </w:p>
        </w:tc>
        <w:tc>
          <w:tcPr>
            <w:tcW w:w="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-727710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-727710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2" w:name="page143"/>
    <w:bookmarkEnd w:id="1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3"/>
                <w:szCs w:val="13"/>
                <w:color w:val="auto"/>
              </w:rPr>
            </w:pPr>
          </w:p>
        </w:tc>
        <w:tc>
          <w:tcPr>
            <w:tcW w:w="18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3"/>
                <w:szCs w:val="13"/>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840" w:type="dxa"/>
            <w:vAlign w:val="bottom"/>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additions in accounts payable and accrued expenses</w:t>
            </w: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840" w:type="dxa"/>
            <w:vAlign w:val="bottom"/>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6,203</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(1,626)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Contingent consideration liabilities assumed in acquisition</w:t>
            </w: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7,715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Fair value of equity instruments issued in connection with acquisition</w:t>
            </w:r>
          </w:p>
        </w:tc>
        <w:tc>
          <w:tcPr>
            <w:tcW w:w="840" w:type="dxa"/>
            <w:vAlign w:val="bottom"/>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6,715</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-513715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-496570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-513715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-496570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-513715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Beam Therapeutics Inc., which we refer to herein as the “Company” or “Beam,” is a biotechnology company committed to establishing the leading, fully integrated platform for precision genetic medicines. Beam’s vision is to provide life-long cures to patients suffering from genetic diseases. The Company was incorporated on January 25, 2017 as a Delaware corporation and began operations in July 2017. Its principal offices are in Cambridge, Massachusetts.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continuing to invest in its internal manufacturing capabilities and making arrangements to conduct manufacturing activities with contract manufacturing organizations, research and development costs including preclinical studies and IND-enabling studies, organizing and staffing the Company, maintaining its facilities and new facility build-outs,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entered into an at the market sales agreement, or the Sales Agreement, with Jefferies LLC, or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 under the Sales Agreement. There were no shares sold under the Sales Agreement during the year ended December 31, 2025. As of December 31, 2025, the Company has sold 13,769,001 shares of its common stock under the Sales Agreement at an average price of $62.75 per share for aggregate gross proceeds of $864.0 million, before deducting commissions and offering expenses payable by it.</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March 2025, the Company closed an underwritten public offering of 16,151,686 shares of common stock at a public offering price of $28.48 per share and pre-funded warrants to purchase 1,404,988 shares of common stock at a purchase price of $28.47 per pre-funded warrant for aggregate net proceeds of $470.5 million, after deducting underwriting discounts, commissions and approximately $0.8 million related to legal, accounting and other fees in connection with the offering.</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Since its inception, the Company has incurred substantial losses and had an accumulated deficit of $1.6 billion as of December 31, 2025. The Company expects to generate operating losses and negative operating cash flows for the foreseeable future.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as of December 31, 2025 of $1.2 billion will be sufficient to fund its operations for at least the next 12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United States generally accepted accounting principles, or GAAP. Any reference in these notes to applicable guidance is meant to refer to the authoritative GAAP as found in the Accounting Standards Codification, or ASC, of the Financial Accounting Standards Board, or the FASB.</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operations of the Company and its wholly-owned subsidiaries. All intercompany transactions and balances have been eliminated in consolidation.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incremental borrowing rate used in the calculation of lease liabilities, research and development expenses, stock-based compensation, contingent consideration liabilities, success payments and derivative liabilities, and certain judgments regarding revenue recognition. Actual results could differ from these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checking accounts, money market accounts, and all highly liquid investments with a remaining maturity of three months or less at the date of purchase. Restricted cash represents collateral provided for letters of credit issued as security deposits in connection with the Company’s leases of its facilities.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cash equivalents, and restricted cash reported within the Company’s consolidated balance sheets to the total of the amounts shown in the consolidated statements of cash flows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294,944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281,967</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290,111</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securities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classifies marketable debt securities as available-for-sale and includes such securities within marketable securities in the Company’s consolidated balance sheets. Available-for-sale securities consist of commercial paper, high-grade corporate notes, U.S. Treasury securities and government securities. Available-for-sale securities are carried at fair value with the unrealized gains and losses included in accumulated other comprehensive income as a component of stockholders’ equity until realized. Any premium or discount arising at purchase is amortized and/or accreted to interest income and/or amortized over the life of the instrument. Realized gains and losses are determined using the specific identification method and are included in interest and other income (expense), net.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equity securities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classifies investments in equity securities that have a readily determinable fair value as marketable securities in the Company's consolidated balance sheets. The Company’s marketable securities are stated at fair value. Typically, the fair value of these securities is based on a quoted price for an identical equity security. The Company records changes in the fair value of its equity securities in other income (expense), net in its consolidated statements of operations and other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Financial instruments that are potentially subject to significant concentration of credit risk consist primarily of cash, cash equivalents, marketable securities, and restricted cash. The Company attempts to minimize the risk related to marketable securities by working with highly rated financial institutions that invest in a broad and diverse range of financial instruments.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For the years ended December 31, 2025, 2024 and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 costs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capitalizes incremental legal, professional, accounting and other third-party fees that were directly associated with its stock offerings as other non-current assets until the offerings are consummated. Upon consummation, these costs are recorded in stockholders’ equity as a reduction of additional paid-in-capital generated as a result of the offerings.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or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independent sources.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 As a basis for considering market participant assumptions in fair value measurements, ASC 820 establishes a three-tiered value hierarchy that distinguishes between the following:</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117" w:lineRule="exact"/>
        <w:rPr>
          <w:sz w:val="20"/>
          <w:szCs w:val="20"/>
          <w:color w:val="auto"/>
        </w:rPr>
      </w:pPr>
    </w:p>
    <w:p>
      <w:pPr>
        <w:ind w:left="760" w:right="200"/>
        <w:spacing w:after="0" w:line="282"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market prices, interest rates and yield curves.</w:t>
      </w:r>
    </w:p>
    <w:p>
      <w:pPr>
        <w:spacing w:after="0" w:line="54" w:lineRule="exact"/>
        <w:rPr>
          <w:sz w:val="20"/>
          <w:szCs w:val="20"/>
          <w:color w:val="auto"/>
        </w:rPr>
      </w:pPr>
    </w:p>
    <w:p>
      <w:pPr>
        <w:ind w:left="760" w:right="80"/>
        <w:spacing w:after="0" w:line="282" w:lineRule="auto"/>
        <w:rPr>
          <w:sz w:val="20"/>
          <w:szCs w:val="20"/>
          <w:color w:val="auto"/>
        </w:rPr>
      </w:pPr>
      <w:r>
        <w:rPr>
          <w:rFonts w:ascii="Times New Roman" w:cs="Times New Roman" w:eastAsia="Times New Roman" w:hAnsi="Times New Roman"/>
          <w:sz w:val="18"/>
          <w:szCs w:val="18"/>
          <w:color w:val="auto"/>
        </w:rPr>
        <w:t>Level 3—Unobservable inputs for the asset or liability (i.e., supported by little or no market activity). Level 3 inputs include management’s own assumptions about the assumptions that market participants would use in pricing the asset or liability (including assumptions about risk).</w:t>
      </w:r>
    </w:p>
    <w:p>
      <w:pPr>
        <w:spacing w:after="0" w:line="54"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5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valuation methods utilized during the years ended December 31, 2025 and 2024. The Company evaluates transfers between levels at the end of each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1"/>
        </w:trPr>
        <w:tc>
          <w:tcPr>
            <w:tcW w:w="5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 and office furniture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Shorter of useful life or remaining term</w:t>
            </w:r>
          </w:p>
        </w:tc>
      </w:tr>
    </w:tbl>
    <w:p>
      <w:pPr>
        <w:spacing w:after="0" w:line="1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interest and other income (expense). Expenditures for repairs and maintenance are charged to expense as incurred.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and operating lease right-of-use assets, for impairment whenever events or changes in circumstances indicate that the carrying amount of such assets (or asset groups)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2025, 2024 and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Freestanding financial instruments and derivatives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Pursuant to a license agreement between the President and Fellows of Harvard College, or Harvard, and the Company, or the Harvard License Agreement, and a license agreement with The Broad Institute, Inc., or Broad Institute, and the Company, or the Broad License Agreement, (see Note 9), the Company is required to make success payments to Harvard and Broad Institute based on the achievement of specified multiples of the initial weighted average value of the Company’s redeemable convertible Series A-1 Preferred Stock and the Company’s redeemable convertible Series A-2 Preferred Stock, or together the Series A Preferred, at specified valuation dates, payable in cash or Company common stock. Subsequent to the Company’s initial public offering in February 2020, or the IPO, the amount of the success payments is based on the market value of Beam’s common stock.</w:t>
      </w:r>
    </w:p>
    <w:p>
      <w:pPr>
        <w:spacing w:after="0" w:line="7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The success payments are accounted for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The liabilities are recorded at fair value at each balance sheet date with all changes in value recognized in other income (expense), in the consolidated statement of operations and other comprehensive loss. The Company will continue to adjust the liabilities for changes in fair value until the earlier of the achievement or expiration of the obligations. To determine the estimated fair value of the success payments, the Company used a Monte Carlo simulation model, which models the value of the liability based on several key variables, including probability of event occurrence, timing of event occurrence, as well as the value of the Series A Preferred, prior to the IPO, and the value of the Company’s common stock, subsequent to the IPO.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and rent expense</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accounts for leases using a right-of-use, or ROU, model, which recognizes that, at the date of commencement, a lessee has a financial obligation to make lease payments to the lessor for the right to use the underlying asset during the lease term.</w:t>
      </w:r>
    </w:p>
    <w:p>
      <w:pPr>
        <w:spacing w:after="0" w:line="5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ROU assets and short-term and long-term lease liabilities, as applicable. ROU assets represent the Company’s right to use an underlying asset for the lease term and lease liabilities represent its obligation to make lease payments arising from the lease. The Company typically only includes an initial lease term in its assessment of the term of the lease arrangement. It also considers termination options and factors those into the determination of lease payments. Options to renew a lease are not included in the lease term unless there is reasonable certainty that the Company will renew.</w:t>
      </w:r>
    </w:p>
    <w:p>
      <w:pPr>
        <w:spacing w:after="0" w:line="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lease liabilities and their corresponding ROU assets are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Lease expense for operating lease payments is recognized on a straight-line basis over the lease term.</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required to pay fees for operating expenses in addition to monthly base rent for certain operating leases (non-lease components). The Company has elected the practical expedient which allows non-lease components to be combined with lease components for all current asset classes. Variable lease payments are not included within the lease right-of-use asset and lease liability on the consolidated balance sheet, and instead are reflected as expense in the period they are incurred.</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Leasehold improvements are not unique and are retained by the lessor at the end of the lease. However, in the case of a space designed to be suitable for the Company’s specific real estate needs and if the Company is responsible for cost overruns, the Company is the accounting owner of the leasehold improvements and costs associated are capitalized.</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real estate operating leases provide for scheduled annual rent increases throughout the lease terms. The Company recognizes the effects of the scheduled rent increases on a straight-line basis over the full terms of the lease. Tenant improvement allowances, if any, provided by a landlord are recorded as a reduction of the ROU asset related to that lease at lease commencement.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transaction costs, and the consideration is allocated to the items acquired based on a relative fair value methodology. Goodwill is not recognized in asset acquisitions. In an asset acquisition, the cost allocated to acquire in-process research and development with no alternative future use is charged to research and development expense at the acquisition date.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7" w:name="page148"/>
    <w:bookmarkEnd w:id="147"/>
    <w:p>
      <w:pPr>
        <w:ind w:right="960"/>
        <w:spacing w:after="0" w:line="375" w:lineRule="auto"/>
        <w:rPr>
          <w:sz w:val="20"/>
          <w:szCs w:val="20"/>
          <w:color w:val="auto"/>
        </w:rPr>
      </w:pPr>
      <w:r>
        <w:rPr>
          <w:rFonts w:ascii="Times New Roman" w:cs="Times New Roman" w:eastAsia="Times New Roman" w:hAnsi="Times New Roman"/>
          <w:sz w:val="18"/>
          <w:szCs w:val="18"/>
          <w:color w:val="auto"/>
        </w:rPr>
        <w:t xml:space="preserve">At the time of acquisition, the Company determines if a transaction should be accounted for as a business combination or acquisition of assets. </w:t>
      </w:r>
      <w:r>
        <w:rPr>
          <w:rFonts w:ascii="Times New Roman" w:cs="Times New Roman" w:eastAsia="Times New Roman" w:hAnsi="Times New Roman"/>
          <w:sz w:val="18"/>
          <w:szCs w:val="18"/>
          <w:b w:val="1"/>
          <w:bCs w:val="1"/>
          <w:i w:val="1"/>
          <w:iCs w:val="1"/>
          <w:color w:val="auto"/>
        </w:rPr>
        <w:t>Contingent consideration liabilities</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be required or choose to make milestone payments to the former stockholders and optionholders of companies acquired, in the form of its common stock based on the achievement of certain development, clinical and commercial milestones. The payments are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contingent consideration liabilities are carried at fair value which was estimated by applying a probability-based model, which utilized inputs primarily based upon the achievement and related timing of certain development, clinical and commercial milestones that were unobservable in the market. The estimated fair value of contingent consideration liabilities, initially measured and recorded on the acquisition date, are considered to be a Level 3 fair value measurement and are reviewed quarterly, or whenever events or circumstances occur that indicate a change in fair value. The contingent consideration liabilities are recorded at fair value at the end of each reporting period with changes in estimated fair values recorded in other income (expense) in the consolidated statements of operations and other comprehensive loss.</w:t>
      </w:r>
    </w:p>
    <w:p>
      <w:pPr>
        <w:spacing w:after="0" w:line="8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Significant changes in any of the probabilities of success or in the probabilities as to the periods in which milestones would be achieved could result in a significantly higher or lower fair value measurement. The Company will continue to adjust the liabilities for changes in fair value until the earlier of the achievement or expiration of the obligations.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inception, the Company determines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the performance obligation is satisfied. The Company only applies the five-step model to contracts when it determines that collection of substantially all consideration for goods and services that are transferred is probable based on the customer’s intent and ability to pay the promised consideration.</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the Company’s license and collaboration agreements in Note 10.</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Determining the standalone selling price requires significant judgment and is discussed in further detail for each of the Company’s license and collaboration agreements in Note 10.</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Licenses of intellectual property, or IP: If the license to the Company’s IP is determined to be distinct from the other performance obligations identified in the arrangement, the Company recognizes revenues from consideration allocated to the license when the license is transferred to the customer and the customer can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8" w:name="page149"/>
    <w:bookmarkEnd w:id="148"/>
    <w:p>
      <w:pPr>
        <w:ind w:right="20"/>
        <w:spacing w:after="0" w:line="258" w:lineRule="auto"/>
        <w:rPr>
          <w:sz w:val="20"/>
          <w:szCs w:val="20"/>
          <w:color w:val="auto"/>
        </w:rPr>
      </w:pPr>
      <w:r>
        <w:rPr>
          <w:rFonts w:ascii="Times New Roman" w:cs="Times New Roman" w:eastAsia="Times New Roman" w:hAnsi="Times New Roman"/>
          <w:sz w:val="18"/>
          <w:szCs w:val="18"/>
          <w:color w:val="auto"/>
        </w:rPr>
        <w:t>necessary, adjusts the measure of performance and related revenue recognition. The Company generally recognizes revenue using the cost incurred to date as compared to the total estimated cost.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 Determining the revenue recognition of IP licenses requires significant judgment and is discussed in further detail for each of the Company’s license and collaboration agreements in Notes 9 and 10.</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development or regulatory milestone payments, the Company evaluates the probability of reaching the milestones and estimates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Company’s control or the licensee’s, such as regulatory approvals, are not considered probable of being achieved until those approvals are received and therefore consideration included in the transaction price is constrained.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Commercial Milestone Payments and Royalties: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agreements.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When no remaining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expected to be recognized within the next twelve months is classified as a current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the Company transfers goods or services to a customer before the customer pays consideration or before payment is due, excluding any amounts presented as an account or other receivable. A contract asset is an entity’s right to consideration in exchange for goods or services that the entity has transferred to a customer. The contract liabilities, or deferred revenue, primarily relate to contracts where the Company has received payment, but it has not yet satisfied or fully satisfied the related performance obligations. Upfront payments and fees are recorded as deferred revenue upon receipt or when due and may require deferral of revenue recognition to a future period until the Company satisfies its obligations under these arrangements.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total deferred revenue for the years ended December 31, 2025 and 2024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142,076</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178,594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revenue from license agreements</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in revenue</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(135,417)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(36,518)</w:t>
            </w:r>
          </w:p>
        </w:tc>
      </w:tr>
      <w:tr>
        <w:trPr>
          <w:trHeight w:val="20"/>
        </w:trPr>
        <w:tc>
          <w:tcPr>
            <w:tcW w:w="7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142,076</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charged to expense as incurred. Research and development costs consist of costs incurred in performing research and development activities, including salaries and bonuses, stock-based compensation, employee benefits, facilities costs, laboratory supplies, depreciation, manufacturing expenses, preclinical expenses, consulting, other contracted services, and up-front and continent payments dependent upon development activities. The cost of obtaining licenses for certain technology or IP is recorded to research and development expense when incurred if the licensed technology or IP has not yet reached technological feasibility and has no alternative future use. Costs for certain research and development activities are recognized based on the terms of the individual arrangements, which may differ from the pattern of costs incurred, and are reflected in the financial statements as prepaid or accrued research and development costs.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program allows for grants of stock options, restricted stock awards and restricted stock units. Grants are awarded to employees and non-employees, including directors.</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 718. ASC 718 requires all stock-based payments to employees, non-employees and directors to be recognized as expense in the consolidated statements of operations and other comprehensive loss based on their fair values. The Company estimates the fair value of options granted using the Black-Scholes option pricing model, or Black-Scholes, for stock option grants to both employees and non-employees. The fair value of the Company’s common stock is used to determine the fair value of restricted stock awards and restricted stock units.</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Stock-based compensation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Black-Scholes option pricing model requires inputs based on certain subjective assumptions, including (i) the expected stock price volatility, (ii) the expected term of the award, (iii) the risk-free interest rate, and (iv) expected dividends. The Company bases its computation of expected volatility on the historical volatility of a representative group of public companies with similar characteristics to the Company, including stage of product development and life science industry focus, weighted with its own volatility for the period in which its stock has been publicly traded. The historical volatility is calculated based on a period of time commensurate with expected term assumption. The Company uses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 and other comprehensive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If the Company determines that it is no longer the primary beneficiary of a consolidated VIE, or no longer has a variable interest in the VIE, the Company deconsolidates the VIE in the period that the determination is made.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stockholders’ equity of a business enterprise during a period from transactions and other events and circumstances from non-owner sources. Comprehensive loss includes net loss as well as other changes in equity that are excluded from net loss. The Company’s only element of other comprehensive loss is unrealized gains and losses on marketable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the dilutive net loss per share calculation, stock options and stock units for which the performance and market vesting conditions have been deemed probable, potential dilutive securities, unvested restricted stock, and common stock options are considered to be common stock equivalents, while stock options and stock units with performance- or market-based vesting conditions that were not deemed probable of meeting the applicable vesting conditions are not considered to be common stock equivalents.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Accordingly, in periods in which the Company reported a net loss, such losses were not allocated to such participating securities. In periods in which the Company reported a net loss attributable to common stockholders, diluted net loss per share attributable to common stockholders was the same as basic net loss per share attributable to common stockholders, since dilutive common shares were not assumed to have been issued if their effect is anti-dilutive. The Company reported a net loss attributable to common stockholders for the years ended December 31, 2025, 2024 and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of accounting</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circumstances where the Company has the ability to exercise significant influence, but not control, over the operating and financial policies of an entity in which the Company has an investment in common stock or in-substance common stock, the Company utilizes the equity method of accounting for recording related investment activity. In assessing whether the Company exercises significant influence, the Company considers the nature and magnitude of the investment, participating rights the Company holds, and relevant factors such as the presence of a collaborative or other business relationship.</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Under the equity method of accounting, the Company’s investments are initially recorded at cost on the consolidated balance sheets. Upon recording an equity method investment, the Company evaluates whether there are basis differences between the carrying value and fair value of the Company’s proportionate share of the investee’s underlying net assets. Typically, the Company amortizes basis differences identified on a straight-line basis over the underlying asset’s or liability's estimated useful lives when calculating the attributable earnings or losses, excluding the basis differences attributable to in-process research and development, or IPR&amp;D, that has no alternative future use. To the extent a basis difference relates to IPR&amp;D and the investee is not a business as defined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or ASC 805, the Company immediately expenses such basis difference related to IPR&amp;D. If the Company is unable to attribute all of the basis difference to specific assets or liabilities of the investee, the residual excess of the cost of the investment over the proportional fair value of the investee’s assets and liabilities is considered to be Equity Method Goodwill and is recognized within the equity investment balance, which is tracked separately within the Company’s memo accounts. The Company subsequently records in the consolidated statements of operations and comprehensive loss its share of income or loss of the other entity within the loss from equity method investment line item. If the share of losses exceeds the carrying value of the Company’s investment, the Company will suspend recognizing additional losses and will continue to do so unless it commits to providing additional funding or commits to guarantee investee liabilities.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1" w:name="page152"/>
    <w:bookmarkEnd w:id="151"/>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the carrying amounts of such investments may be impaired and considers qualitative and quantitative factors including the investee’s financial metrics, product and commercial outlook and cash usage. If a decline in the value of an equity method investment is determined to be other than temporary, a loss is recorded in earnings in the current period and the investment is written down to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CODM, or decision-making group, in deciding how to allocate resources and in assessing performance. The CODM is the Company’s Chief Executive Officer. The Company views its operations as and manages its business in one operating segment operating exclusively in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early adopted ASU No. 2025-07, </w:t>
      </w:r>
      <w:r>
        <w:rPr>
          <w:rFonts w:ascii="Times New Roman" w:cs="Times New Roman" w:eastAsia="Times New Roman" w:hAnsi="Times New Roman"/>
          <w:sz w:val="18"/>
          <w:szCs w:val="18"/>
          <w:i w:val="1"/>
          <w:iCs w:val="1"/>
          <w:color w:val="auto"/>
        </w:rPr>
        <w:t>Derivatives and Hedging (Topic 815) and Revenue from Contracts with Customers (Topic 606): 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Refinements and Scope Clarification for Share-Based Noncash Consideration from a Customer in a Revenue Contract</w:t>
      </w:r>
      <w:r>
        <w:rPr>
          <w:rFonts w:ascii="Times New Roman" w:cs="Times New Roman" w:eastAsia="Times New Roman" w:hAnsi="Times New Roman"/>
          <w:sz w:val="18"/>
          <w:szCs w:val="18"/>
          <w:color w:val="auto"/>
        </w:rPr>
        <w:t>, or ASU 2025-07, in the 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quarter of 2025 using a modified retrospective approach. The new guidance modifies Accounting Standards Codification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or Topic 815, to add a scope exclusion for contracts that are not traded on an exchange if the underlying on which the settlement is based relates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operations or activities specific to one of the parties to the contract. As a result, an existing contract that includes a settlement feature based on the Company’s operations or activities is now excluded from Topic 815 and will now be accounted for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or ASC 450, whereby any settlements will be recognized as such obligations become probable and estimable. The adoption of ASU 2025-07 using a modified retrospective approach requires the Company to adopt the standard as of January 1, 2025. Upon adoption, the Company recognized a cumulative-effect adjustment to remove the previously recognized derivative liability as of January 1, 2025, reducing the long-term portion of derivative liabilities by $5.4 million, with an offsetting adjustment to accumulated deficit. The elimination of this derivative liability reduces previously reported net loss by $0.9 million, $0.2 million, and $0.2 million for the quarters ended March 31, 2025, June 30, 2025, and September 30, 2025, respectively. The adjustment had no impact on previously reported cash flows from operating, investing, or financing activities within the Company's condensed consolidated statements of cash flows. In accordance with ASC 450, no liability has been recognized for the contingent payments under the contract as of January 1, 2025 and through December 31, 2025.</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The amendments in this update expand income tax disclosure requirements, including additional information pertaining to the rate reconciliation, income taxes paid, and other disclosures. This update is effective for annual periods beginning after December 15, 2024. The Company adopted this guidance for the year ended December 31, 2025 and has included the required disclosures in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adoption of this guidance did not have a material impact on the Company’s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announced accounting pronouncements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This standard is intended to modernize the accounting for internal-use software. Under the new standard, the Company will capitalize eligible costs when (i) management has authorized and committed to funding the software project, and (ii) it is probable that the project will be completed and the software will be used to perform the function intended. The standard is effective for fiscal years, and interim periods within those fiscal years, beginning after December 15, 2027, with early adoption permitted as of the beginning of a fiscal year. The standard may be applied prospectively, retrospectively or using a modified transition approach. The Company is currently evaluating the impact that this standard will have on the Company’s consolidated operating results, cash flows, financial condition and related disclosures.</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requires the Company to provide further disaggregated information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expense captions within its consolidated statements of operations, including the purchases of inventory, employee compensation, depreciation and intangible asset amortization, as well as the inclusion of other specific expenses, gains and losses required by existing GAAP. The new standard also requires the Company to disclose its total selling expenses and, on an annual basis, provide a qualitative description of its selling expenses. The standard is effective for fiscal years beginning after December 15, 2026 and interim periods within fiscal years beginning after December 15, 2027, with early adoption permitted. The standard may be applied prospectively or retrospectively. The Company is currently evaluating the impact that this standard will have on the Company’s consolidated operating results, cash flows, financial condition and related disclosures.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110,760</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8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(94,127)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(72,107)</w:t>
            </w: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104,500</w:t>
            </w:r>
          </w:p>
        </w:tc>
        <w:tc>
          <w:tcPr>
            <w:tcW w:w="280" w:type="dxa"/>
            <w:vAlign w:val="bottom"/>
          </w:tcPr>
          <w:p>
            <w:pPr>
              <w:spacing w:after="0"/>
              <w:rPr>
                <w:sz w:val="18"/>
                <w:szCs w:val="18"/>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depreciation expense incurred (in thousands):</w:t>
            </w: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68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4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80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22,294</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21,925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-1062355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-779145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cash equivalents, marketable securities, corporate equity securities, contingent consideration liabilities related to acquisitions, and success payment derivative liabilities pursuant to the Harvard and Broad License Agreements.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December 31, 2025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3340" w:type="dxa"/>
            <w:vAlign w:val="bottom"/>
            <w:tcBorders>
              <w:bottom w:val="single" w:sz="8" w:color="CFF0FC"/>
            </w:tcBorders>
            <w:gridSpan w:val="2"/>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274,944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274,944</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274,944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82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U.S. Treasury securities backed repurchase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agreements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Corporate notes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1,245,210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1,245,210</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280,525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964,685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8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8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Borders>
              <w:bottom w:val="single" w:sz="8" w:color="auto"/>
            </w:tcBorders>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8"/>
              </w:rPr>
              <w:t>Liabilities</w:t>
            </w:r>
          </w:p>
        </w:tc>
        <w:tc>
          <w:tcPr>
            <w:tcW w:w="30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liability milestones</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F-18</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-1653540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-1636395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-1653540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-1636395</wp:posOffset>
            </wp:positionV>
            <wp:extent cx="774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-1653540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-1636395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-1653540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-1636395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-796290</wp:posOffset>
            </wp:positionV>
            <wp:extent cx="77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-779145</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-796290</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-779145</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-796290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-779145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-796290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-779145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3" w:name="page154"/>
    <w:bookmarkEnd w:id="153"/>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by level within the fair value hierarchy at December 31, 2024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3840" w:type="dxa"/>
            <w:vAlign w:val="bottom"/>
            <w:tcBorders>
              <w:bottom w:val="single" w:sz="8" w:color="CFF0FC"/>
            </w:tcBorders>
            <w:gridSpan w:val="2"/>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CFF0FC"/>
            </w:tcBorders>
            <w:shd w:val="clear" w:color="auto" w:fill="CFF0FC"/>
          </w:tcPr>
          <w:p>
            <w:pPr>
              <w:spacing w:after="0"/>
              <w:rPr>
                <w:sz w:val="16"/>
                <w:szCs w:val="16"/>
                <w:color w:val="auto"/>
              </w:rPr>
            </w:pPr>
          </w:p>
        </w:tc>
        <w:tc>
          <w:tcPr>
            <w:tcW w:w="92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281,786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281,786</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281,786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181,296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181,296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181,296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164,770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164,770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850,559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850,559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289,567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560,992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Success payment liability – Harvard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Success payment liability – Broad Institute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Derivative settlement liability</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liability – Technology</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liability – Product</w:t>
            </w: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-1302385</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-1302385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-1302385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-1302385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equivalents </w:t>
      </w:r>
      <w:r>
        <w:rPr>
          <w:rFonts w:ascii="Times New Roman" w:cs="Times New Roman" w:eastAsia="Times New Roman" w:hAnsi="Times New Roman"/>
          <w:sz w:val="18"/>
          <w:szCs w:val="18"/>
          <w:color w:val="auto"/>
        </w:rPr>
        <w:t>– Money market funds included within cash equivalents are classified within Level 1 of the fair value hierarchy because they are valued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quoted market prices in active markets and repurchase agreements backed by U.S. Treasury securities that are classified within Level 2 of the fair value hierarchy because pricing inputs are other than quoted prices in active markets, which are either directly or indirectly observable as of the reporting date, and fair value is determined through using models or other valuation methodologies.</w:t>
      </w:r>
    </w:p>
    <w:p>
      <w:pPr>
        <w:spacing w:after="0" w:line="68"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Marketable securities </w:t>
      </w:r>
      <w:r>
        <w:rPr>
          <w:rFonts w:ascii="Times New Roman" w:cs="Times New Roman" w:eastAsia="Times New Roman" w:hAnsi="Times New Roman"/>
          <w:sz w:val="18"/>
          <w:szCs w:val="18"/>
          <w:color w:val="auto"/>
        </w:rPr>
        <w:t>– Marketable securities, excluding corporate equity securities, are classified within Level 2 of the fair value hierarchy because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inputs are other than quoted prices in active markets, which are either directly or indirectly observable as of the reporting date, and fair value is determined using models or other valuation methodologies.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Eli Lilly and Company, or Lilly, completed its acquisition of Verve Therapeutics, Inc., or Verve. As a result of the acquisition, the Company received total proceeds of $5.7 million as consideration for its 546,970 shares of Verve's common stock and recorded a realized loss of $0.4 million during the year ended December 31, 2025, presented in "Interest and other income (expense), net" in the consolidated statements of operations and other comprehensive loss. The shares were previously classified as marketable securities on the Company's consolidated balance sheet and measured at fair value. There were no other realized gains or losses from the sale of marketable securities during the year ended December 31, 2025. Proceeds from the sale are reflected in investing activities on the consolidated statements of cash flows. The Company recognized $3.1 million of other income during the year ended December 31, 2025 and $4.5 million and $3.0 million of other expense during the years ended December 31, 2024 and 2023, respectively, associated with changes in the fair value of Verve's common stock.</w:t>
      </w:r>
    </w:p>
    <w:p>
      <w:pPr>
        <w:spacing w:after="0" w:line="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owned 1,608,337 shares of Prime's common stock valued at $5.6 million and $4.7 million, respectively. The Company recognized $0.9 million of other income and $9.6 million of other expense during the years ended December 31, 2025 and 2024, respectively, associated with changes in the fair value of Prime's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(expense) incurred due to changes in the fair value of corporate equity securities held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3"/>
                <w:szCs w:val="13"/>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(14,093)</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(18,592)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Success Payment Liability </w:t>
      </w:r>
      <w:r>
        <w:rPr>
          <w:rFonts w:ascii="Times New Roman" w:cs="Times New Roman" w:eastAsia="Times New Roman" w:hAnsi="Times New Roman"/>
          <w:sz w:val="18"/>
          <w:szCs w:val="18"/>
          <w:color w:val="auto"/>
        </w:rPr>
        <w:t>– As discussed further in Note 9, the Company is required to make payments to Harvard and Broad Institute based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achievement of specified multiples of the initial weighted average value of the Company’s Series A Preferred or, subsequent to the IPO, the market value of the Company's common stock, at specified valuation dates. The Company’s liability for the share-based success payments under the Harvard and Broad License Agreements are carried at fair value. To determine the estimated fair value of the success payment liability, the Company uses a Monte Carlo simulation methodology, which models the future movement of stock prices based on several key variables.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Harvard and Broad Institute success payment liabilities: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Harvard</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Broad Institute</w:t>
            </w:r>
          </w:p>
        </w:tc>
      </w:tr>
      <w:tr>
        <w:trPr>
          <w:trHeight w:val="117"/>
        </w:trPr>
        <w:tc>
          <w:tcPr>
            <w:tcW w:w="4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r>
      <w:tr>
        <w:trPr>
          <w:trHeight w:val="173"/>
        </w:trPr>
        <w:tc>
          <w:tcPr>
            <w:tcW w:w="4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8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0.01-3.49</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0.03-4.49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0.01-4.36</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0.03-5.36</w:t>
            </w:r>
          </w:p>
        </w:tc>
        <w:tc>
          <w:tcPr>
            <w:tcW w:w="18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computation of expected volatility was estimated using the Company's historical volatility along with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the fair value of success payment liabilities based on Level 3 inputs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Harvard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Broad Institute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r>
      <w:tr>
        <w:trPr>
          <w:trHeight w:val="20"/>
        </w:trPr>
        <w:tc>
          <w:tcPr>
            <w:tcW w:w="6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6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20" w:type="dxa"/>
            <w:vAlign w:val="bottom"/>
            <w:shd w:val="clear" w:color="auto" w:fill="CFF0FC"/>
          </w:tcPr>
          <w:p>
            <w:pPr>
              <w:spacing w:after="0"/>
              <w:rPr>
                <w:sz w:val="19"/>
                <w:szCs w:val="19"/>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Contingent consideration liabilities </w:t>
      </w:r>
      <w:r>
        <w:rPr>
          <w:rFonts w:ascii="Times New Roman" w:cs="Times New Roman" w:eastAsia="Times New Roman" w:hAnsi="Times New Roman"/>
          <w:sz w:val="18"/>
          <w:szCs w:val="18"/>
          <w:color w:val="auto"/>
        </w:rPr>
        <w:t>– On July 1, 2025, the Company acquired an early-stage life sciences company, which was consolidated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as the Company determined that the acquiree is a variable interest entity and that the Company is the primary beneficiary through its 100% ownership interest. The total consideration paid was $14.5 million, which is comprised of an upfront payment of 403,128 shares of the Company’s common stock valued at $6.7 million, contingent consideration payments based on the achievement of certain development, clinical and commercial milestones valued at $7.7 million and $0.1 million of seller transaction expenses. The maximum amount of the milestone payments is $89.0 million. The primary asset acquired included in-process research and development valued at $14.5 million upon acquisition. As no alternative future use was identified for the acquired in-process research and development, the Company expensed the full fair value of the asset as research and development expense upon acquisition.</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Milestone payments are payable at the Company’s sole discretion in cash or in shares of the Company's common stock (valued using a volume-weighted average price). As these milestones are payable with a variable number of shares of the Company’s common stock, the milestone payments result in liability classification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contingent consideration liabilities are carried at fair value which was estimated by applying a probability-based model, which utilized inputs based on timing of achievement that were unobservable in the market. These contingent consideration liabilities are classified within Level 3 of the fair value hierarchy and had a fair value of $7.7 million as of the acquisition date.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variables were incorporated in the calculation of the estimated fair value of the contingent consideration liabilities: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tc>
      </w:tr>
      <w:tr>
        <w:trPr>
          <w:trHeight w:val="173"/>
        </w:trPr>
        <w:tc>
          <w:tcPr>
            <w:tcW w:w="8540" w:type="dxa"/>
            <w:vAlign w:val="bottom"/>
          </w:tcPr>
          <w:p>
            <w:pPr>
              <w:spacing w:after="0"/>
              <w:rPr>
                <w:sz w:val="15"/>
                <w:szCs w:val="15"/>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milestones</w:t>
            </w:r>
          </w:p>
        </w:tc>
      </w:tr>
      <w:tr>
        <w:trPr>
          <w:trHeight w:val="117"/>
        </w:trPr>
        <w:tc>
          <w:tcPr>
            <w:tcW w:w="8540" w:type="dxa"/>
            <w:vAlign w:val="bottom"/>
          </w:tcPr>
          <w:p>
            <w:pPr>
              <w:spacing w:after="0"/>
              <w:rPr>
                <w:sz w:val="10"/>
                <w:szCs w:val="10"/>
                <w:color w:val="auto"/>
              </w:rPr>
            </w:pPr>
          </w:p>
        </w:tc>
        <w:tc>
          <w:tcPr>
            <w:tcW w:w="2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3"/>
        </w:trPr>
        <w:tc>
          <w:tcPr>
            <w:tcW w:w="8540" w:type="dxa"/>
            <w:vAlign w:val="bottom"/>
          </w:tcPr>
          <w:p>
            <w:pPr>
              <w:spacing w:after="0"/>
              <w:rPr>
                <w:sz w:val="15"/>
                <w:szCs w:val="15"/>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7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270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year of achievement</w:t>
            </w:r>
          </w:p>
        </w:tc>
        <w:tc>
          <w:tcPr>
            <w:tcW w:w="2700" w:type="dxa"/>
            <w:vAlign w:val="bottom"/>
            <w:shd w:val="clear" w:color="auto" w:fill="CFF0FC"/>
          </w:tcPr>
          <w:p>
            <w:pPr>
              <w:jc w:val="right"/>
              <w:ind w:right="321"/>
              <w:spacing w:after="0"/>
              <w:rPr>
                <w:sz w:val="20"/>
                <w:szCs w:val="20"/>
                <w:color w:val="auto"/>
              </w:rPr>
            </w:pPr>
            <w:r>
              <w:rPr>
                <w:rFonts w:ascii="Times New Roman" w:cs="Times New Roman" w:eastAsia="Times New Roman" w:hAnsi="Times New Roman"/>
                <w:sz w:val="18"/>
                <w:szCs w:val="18"/>
                <w:color w:val="auto"/>
              </w:rPr>
              <w:t>2026-2037</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contingent consideration liabilities based on level 3 inputs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59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17"/>
        </w:trPr>
        <w:tc>
          <w:tcPr>
            <w:tcW w:w="59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Pr>
          <w:p>
            <w:pPr>
              <w:jc w:val="center"/>
              <w:ind w:right="81"/>
              <w:spacing w:after="0" w:line="118" w:lineRule="exact"/>
              <w:rPr>
                <w:sz w:val="20"/>
                <w:szCs w:val="20"/>
                <w:color w:val="auto"/>
              </w:rPr>
            </w:pPr>
            <w:r>
              <w:rPr>
                <w:rFonts w:ascii="Times New Roman" w:cs="Times New Roman" w:eastAsia="Times New Roman" w:hAnsi="Times New Roman"/>
                <w:sz w:val="13"/>
                <w:szCs w:val="13"/>
                <w:b w:val="1"/>
                <w:bCs w:val="1"/>
                <w:color w:val="auto"/>
              </w:rPr>
              <w:t>Contingent consideration</w:t>
            </w:r>
          </w:p>
        </w:tc>
        <w:tc>
          <w:tcPr>
            <w:tcW w:w="100" w:type="dxa"/>
            <w:vAlign w:val="bottom"/>
          </w:tcPr>
          <w:p>
            <w:pPr>
              <w:spacing w:after="0"/>
              <w:rPr>
                <w:sz w:val="10"/>
                <w:szCs w:val="10"/>
                <w:color w:val="auto"/>
              </w:rPr>
            </w:pPr>
          </w:p>
        </w:tc>
      </w:tr>
      <w:tr>
        <w:trPr>
          <w:trHeight w:val="173"/>
        </w:trPr>
        <w:tc>
          <w:tcPr>
            <w:tcW w:w="59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liability milestones</w:t>
            </w:r>
          </w:p>
        </w:tc>
        <w:tc>
          <w:tcPr>
            <w:tcW w:w="100" w:type="dxa"/>
            <w:vAlign w:val="bottom"/>
          </w:tcPr>
          <w:p>
            <w:pPr>
              <w:spacing w:after="0"/>
              <w:rPr>
                <w:sz w:val="15"/>
                <w:szCs w:val="15"/>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July 1, 2025 (inception)</w:t>
            </w:r>
          </w:p>
        </w:tc>
        <w:tc>
          <w:tcPr>
            <w:tcW w:w="3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8"/>
                <w:szCs w:val="18"/>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shd w:val="clear" w:color="auto" w:fill="CFF0FC"/>
          </w:tcPr>
          <w:p>
            <w:pPr>
              <w:spacing w:after="0"/>
              <w:rPr>
                <w:sz w:val="19"/>
                <w:szCs w:val="19"/>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Under the Agreement and Plan of Merger, dated February 23, 2021, between the Company and Guide Therapeutics, Inc., or Guide, Guide’s former stockholders and optionholders were eligible to receive up to an additional $100.0 million in technology milestone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5" w:name="page156"/>
    <w:bookmarkEnd w:id="155"/>
    <w:p>
      <w:pPr>
        <w:spacing w:after="0" w:line="254" w:lineRule="auto"/>
        <w:rPr>
          <w:sz w:val="20"/>
          <w:szCs w:val="20"/>
          <w:color w:val="auto"/>
        </w:rPr>
      </w:pPr>
      <w:r>
        <w:rPr>
          <w:rFonts w:ascii="Times New Roman" w:cs="Times New Roman" w:eastAsia="Times New Roman" w:hAnsi="Times New Roman"/>
          <w:sz w:val="18"/>
          <w:szCs w:val="18"/>
          <w:color w:val="auto"/>
        </w:rPr>
        <w:t>payments and $220.0 million in product milestone payments, payable in the Company’s common stock valued using the volume-weighted average price of the Company’s stock over the ten-day trading period ending two trading days prior to the date on which the applicable milestone is achieved. During the year ended December 31, 2025, the Company assessed the fair value of the contingent consideration liabilities related to potential technology and product milestone payments from its prior acquisition of Guide and determined that the fair value of the underlying technology and product milestones was zero. The milestones were removed from the Company's balance sheet as of December 31, 2025. The fair value of the contingent consideration liabilities related to Guide as of December 31, 2024 was $1.1 million and was classified within Level 3 of the fair value hierarchy as of December 31, 2024. During the years ended December 31, 2025, 2024 and 2023, the Company recognized $1.1 million, $1.6 million and $9.7 million of other income, respectively, related to the change in fair value of the Guide technology and product contingent consideration liabilities.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December 31, 2025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304,861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304,959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8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149,928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150,046</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462,112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462,984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8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26,673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26,696</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5,581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949,155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950,266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held at December 31,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181,095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181,296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8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100,175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100,165</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164,491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164,770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8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114,552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114,761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equity securities</w:t>
            </w: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7,781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568,094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568,773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amortized cost of marketable securities is adjusted for amortization of premiums and accretion of discounts to maturity. At December 31, 2025 and 2024, the balance in accumulated other comprehensive (loss) income was comprised solely of activity related to marketable debt securities. During the year ended December 31, 2025, Lilly completed its acquisition of Verve and as a result, the Company received total proceeds of $5.7 million as consideration for its 546,970 shares of Verve's common stock. The sale resulted in a realized loss of $0.4 million, recorded in "Interest and other income (expense), net" in the Company's statements of operations and other comprehensive loss. There were no other realized gains or losses from the sale of marketable securities for the years ended December 31, 2025, 2024 and 2023.</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any of its debt securities. The contractual maturity dates of all the investments are less than one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related benefits</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Research costs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Process development and manufacturing costs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are as follows: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6" w:name="page157"/>
    <w:bookmarkEnd w:id="156"/>
    <w:p>
      <w:pPr>
        <w:ind w:left="1020" w:right="20" w:hanging="503"/>
        <w:spacing w:after="0" w:line="312" w:lineRule="auto"/>
        <w:tabs>
          <w:tab w:leader="none" w:pos="10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February 2018 lease for office and laboratory space as amended, which commenced in March 2018 and terminates in September 2029. The lease is subject to fixed-rate rent escalations and provided for $6.1 million in tenant improvements allowances and a term extension option.</w:t>
      </w:r>
    </w:p>
    <w:p>
      <w:pPr>
        <w:spacing w:after="0" w:line="31"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October 2018 lease for laboratory space as amended, which commenced in April 2019 and terminates in December 2028. The amended lease is subject to fixed-rate rent escalations and provides an option to extend the lease for two additional two-year periods through December 31, 2031.</w:t>
      </w:r>
    </w:p>
    <w:p>
      <w:pPr>
        <w:spacing w:after="0" w:line="67" w:lineRule="exact"/>
        <w:rPr>
          <w:rFonts w:ascii="Times New Roman" w:cs="Times New Roman" w:eastAsia="Times New Roman" w:hAnsi="Times New Roman"/>
          <w:sz w:val="18"/>
          <w:szCs w:val="18"/>
          <w:color w:val="auto"/>
        </w:rPr>
      </w:pPr>
    </w:p>
    <w:p>
      <w:pPr>
        <w:ind w:left="1020" w:right="140" w:hanging="503"/>
        <w:spacing w:after="0" w:line="255"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April 2019 lease for office and laboratory space that was built over the course of 2020 and 2021. Pursuant to the terms of the original lease agreement, the first phase of the lease commenced in October 2020 (rent payments for the first phase began in August 2021) and the second phase of the lease commenced in January 2021 (rent payments for the second phase began in February 2022). The lease is subject to fixed-rate rent escalations and provides for $23.4 million in tenant improvements and the option to extend the lease for two terms of five years each. The Company determined that it is the accounting owner of all tenant improvements. In August 2021, the Company executed an amendment to this lease to occupy additional space. The term of this lease runs concurrent with the term of the April 2019 lease through February 2034.</w:t>
      </w:r>
    </w:p>
    <w:p>
      <w:pPr>
        <w:spacing w:after="0" w:line="80"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August 2020 lease for a 100,000 square foot manufacturing facility in Research Triangle Park, North Carolina. Construction of the manufacturing facility began in 2020 and the Company began making rent payments in the fourth quarter of 2022. The lease will terminate 15 years from the rent commencement date, December 2022. The lease is subject to fixed-rate rent escalations and provides for $20.0 million in tenant improvements and the option to extend the lease for two terms of five years each, which were not reasonably certain of exercise as of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operating lease costs as well as sublease income (in thousands):</w:t>
      </w:r>
    </w:p>
    <w:p>
      <w:pPr>
        <w:spacing w:after="0" w:line="11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6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80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21,311</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21,649</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32,512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36,944</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36,840</w:t>
            </w:r>
          </w:p>
        </w:tc>
        <w:tc>
          <w:tcPr>
            <w:tcW w:w="120" w:type="dxa"/>
            <w:vAlign w:val="bottom"/>
            <w:shd w:val="clear" w:color="auto" w:fill="CFF0FC"/>
          </w:tcPr>
          <w:p>
            <w:pPr>
              <w:spacing w:after="0"/>
              <w:rPr>
                <w:sz w:val="19"/>
                <w:szCs w:val="19"/>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lease term and discount rate for operating leases: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6"/>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4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8.5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7"/>
              </w:rPr>
              <w:t>9.5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6"/>
        </w:trPr>
        <w:tc>
          <w:tcPr>
            <w:tcW w:w="79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following table summarizes the lease costs included in the measurement of lease liabilities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40" w:type="dxa"/>
            <w:vAlign w:val="bottom"/>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24,428</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6"/>
              </w:rPr>
              <w:t>24,981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ROU assets</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December 31, 2025, the future maturity of the Company’s operating leases for each of the next five years and total thereafter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1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24,727</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10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25,664</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22,147</w:t>
            </w:r>
          </w:p>
        </w:tc>
        <w:tc>
          <w:tcPr>
            <w:tcW w:w="10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91,158</w:t>
            </w:r>
          </w:p>
        </w:tc>
        <w:tc>
          <w:tcPr>
            <w:tcW w:w="100" w:type="dxa"/>
            <w:vAlign w:val="bottom"/>
          </w:tcPr>
          <w:p>
            <w:pPr>
              <w:spacing w:after="0"/>
              <w:rPr>
                <w:sz w:val="18"/>
                <w:szCs w:val="18"/>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lease payments</w:t>
            </w:r>
          </w:p>
        </w:tc>
        <w:tc>
          <w:tcPr>
            <w:tcW w:w="54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210,141</w:t>
            </w:r>
          </w:p>
        </w:tc>
        <w:tc>
          <w:tcPr>
            <w:tcW w:w="10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(56,018)</w:t>
            </w:r>
          </w:p>
        </w:tc>
      </w:tr>
      <w:tr>
        <w:trPr>
          <w:trHeight w:val="20"/>
        </w:trPr>
        <w:tc>
          <w:tcPr>
            <w:tcW w:w="38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1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154,123</w:t>
            </w:r>
          </w:p>
        </w:tc>
        <w:tc>
          <w:tcPr>
            <w:tcW w:w="100" w:type="dxa"/>
            <w:vAlign w:val="bottom"/>
            <w:shd w:val="clear" w:color="auto" w:fill="CFF0FC"/>
          </w:tcPr>
          <w:p>
            <w:pPr>
              <w:spacing w:after="0"/>
              <w:rPr>
                <w:sz w:val="21"/>
                <w:szCs w:val="21"/>
                <w:color w:val="auto"/>
              </w:rPr>
            </w:pPr>
          </w:p>
        </w:tc>
      </w:tr>
      <w:tr>
        <w:trPr>
          <w:trHeight w:val="412"/>
        </w:trPr>
        <w:tc>
          <w:tcPr>
            <w:tcW w:w="3840" w:type="dxa"/>
            <w:vAlign w:val="bottom"/>
            <w:tcBorders>
              <w:top w:val="single" w:sz="8" w:color="CFF0FC"/>
            </w:tcBorders>
          </w:tcPr>
          <w:p>
            <w:pPr>
              <w:spacing w:after="0"/>
              <w:rPr>
                <w:sz w:val="24"/>
                <w:szCs w:val="24"/>
                <w:color w:val="auto"/>
              </w:rPr>
            </w:pPr>
          </w:p>
        </w:tc>
        <w:tc>
          <w:tcPr>
            <w:tcW w:w="5420" w:type="dxa"/>
            <w:vAlign w:val="bottom"/>
            <w:tcBorders>
              <w:top w:val="single" w:sz="8" w:color="CFF0FC"/>
            </w:tcBorders>
          </w:tcPr>
          <w:p>
            <w:pPr>
              <w:ind w:left="1620"/>
              <w:spacing w:after="0"/>
              <w:rPr>
                <w:sz w:val="20"/>
                <w:szCs w:val="20"/>
                <w:color w:val="auto"/>
              </w:rPr>
            </w:pPr>
            <w:r>
              <w:rPr>
                <w:rFonts w:ascii="Times New Roman" w:cs="Times New Roman" w:eastAsia="Times New Roman" w:hAnsi="Times New Roman"/>
                <w:sz w:val="18"/>
                <w:szCs w:val="18"/>
                <w:color w:val="auto"/>
              </w:rPr>
              <w:t>F-22</w:t>
            </w:r>
          </w:p>
        </w:tc>
        <w:tc>
          <w:tcPr>
            <w:tcW w:w="6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8. Strategic restructuring</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2023, the Company announced updated portfolio priorities and strategic plans to restructure the Company to streamline its business operations. In connection with this portfolio prioritization and strategic restructuring, the Company reduced its employee headcount by approximately 100 positions, or about 20% of its workforce. During the year ended December 31, 2023, the Company recognized $6.7 million of restructuring charges in the consolidated statement of operations related to these actions. These charges included $6.5 million of one-time termination benefits and contractual termination benefits for severance, healthcare, and related benefits and $0.2 million of non-cash stock-based compensation expense. The workforce reductions were substantially completed as of December 31, 2023 and all severance related costs were paid as of December 31, 2024. There were no restructuring costs incurred during the year ended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License and other agreements</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has various license agreements related to technology used in its research and development activities. The license agreements may include up-front payments, option fees, ongoing maintenance fees, sublicense fees, royalty-based payments, milestone payments, success-based payments, and other payments. Option fees, when applicable, are recognized when exercised, maintenance fees, sublicense fees, and other payments are recorded as incurred based on the estimated amounts due or that will ultimately be paid. Contingent payments that are not required to be accounted for as a derivative are recognized as incurred. As the success-based payments due under the Company’s license arrangements are derivatives, the change in the fair value of the success-based payments are recognized in a separate line item in the statement of operations and comprehensive loss, as discussed further below. The total contingent obligations and non-royalty sublicense fees included in research and development expenses in the statement of operations and comprehensive loss were $0.5 million, $3.2 million, and $43.5 million for the years ended December 31, 2025, 2024, and 2023, respectively.</w:t>
      </w:r>
    </w:p>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value attributable to sublicenses and the related sublicense fees due under the Company’s license agreements may require estimates and other judgments related to contractual requirements, which creates uncertainty over the ultimate amount that would be paid under these arrangements. Contractual amounts due are accrued and if a contingency exists related to the interpretation of the amounts due under the license agreement, the Company recognizes a liability for the amount that is probable and estimable. When no amount within the range of potential payments is a better estimate than any other amount, however, the minimum amount in the range is accrued.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Harvard license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2017, the Company entered into the Harvard License Agreement for certain base editing technology pursuant to which the Company received an exclusive, worldwide, sublicensable, royalty-bearing license under specified patent rights to develop and commercialize licensed products and a nonexclusive, worldwide, sublicensable, royalty-bearing license under certain patent rights to research and develop licensed products. The Company agreed to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exclusivity associated with a licensed product or (iii) a certain period after the first commercial sale of a licensed product, unless terminated earlier by either party under certain provisions.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 consideration for the rights granted under the Harvard License Agreement include success payments, which are further described below.</w:t>
      </w:r>
    </w:p>
    <w:p>
      <w:pPr>
        <w:spacing w:after="0" w:line="1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Under the Harvard License Agreement, Harvard is entitled to receive success payments, in cash or shares of Company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based upon the achievement of specified multiples of the initial weighted average value of the Company’s Series A Preferred at specified valuation dates. The success payments range from $5.0 million to a maximum of $105.0 million and have valuation multiples that range from 5 times to 40 times the initial weighted average value of the Series A Preferred. Subsequent to the IPO, the amount of success payments is based on the market value of the Company's common stock.</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required to make success payments to Harvard during a period of time, or the Harvard Success Payment Period, which has been determined to be the later of (1) the ninth anniversary of the Harvard License Agreement or (2) the earlier of (a) the twelfth anniversary of the Harvard License Agreement and (b) 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IPO.</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Harvard were calculated to be $15.0 million. The Company elected to make the payment in shares of the Company’s common stock and issued 174,825 shares of the Company’s common stock to settle this liability on June 10, 2021. The Company may owe Harvard success payments of up to an additional $90.0 million. As of December 31, 2025 and 2024, no success payments were due to Harvard.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Harvard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Harvard success payment liability</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r>
    </w:tbl>
    <w:p>
      <w:pPr>
        <w:spacing w:after="0" w:line="9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 (income) resulting from the change in the fair value of the success payment liability for Harvard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88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Harvard success payment liability</w:t>
            </w:r>
          </w:p>
        </w:tc>
        <w:tc>
          <w:tcPr>
            <w:tcW w:w="88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Payments </w:t>
      </w:r>
      <w:r>
        <w:rPr>
          <w:rFonts w:ascii="Times New Roman" w:cs="Times New Roman" w:eastAsia="Times New Roman" w:hAnsi="Times New Roman"/>
          <w:sz w:val="18"/>
          <w:szCs w:val="18"/>
          <w:color w:val="auto"/>
        </w:rPr>
        <w:t>– The Company agreed to pay Harvard an annual license maintenance fee ranging from low-to-mid five figures to low six figures,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on the calendar year. The Company is responsible for the payment of certain patent prosecution and maintenance costs incurred by Harvard related to licensed patents. To the extent achieved, the Company is obligated to pay up to an aggregate of $75.9 million in product development and regulatory approval milestones, or Harvard Product Milestones. If the Company completes a change of control during the term of the Harvard License Agreement, then certain of the milestone payments would be increased. To the extent there are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Harvard License Agreement to a third party and the Company receives non-royalty sublicense income, then Harvard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8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annual maintenance fees are recorded as an expense on an annual basis based on the stated amount for the applicable year. Annual patent costs are expensed as incurred. Upon determination that a Harvard Product Milestone is probable to occur, the amount due will be recorded as research and development expense. The Company will monitor the Harvard Product Milestone payments for this arrangement on an ongoing basis.</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 the extent products are commercialized under the Harvard License Agreement, the Company will accrue royalty expense and sublicense nonroyalty payments, as applicable, for the amount it is obligated to pay, with adjustments as sales are made.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Broad license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2018, the Broad License Agreement was entered into with Broad Institute for certain gene editing technology. Under the Broad License Agreement, Broad Institute granted exclusive and non-exclusive worldwide, sublicensable, royalty-bearing licenses under specified patent rights to develop and commercialize licensed product and a nonexclusive, worldwide, sublicensable, royalty-bearing license under certain patent rights to research and develop licensed products. Under the agreement the Company shall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regulatory exclusivity associated with a licensed product or (iii) a certain period after the first commercial sale of a licensed product unless terminated earlier by either party under certain provisions.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consideration under the Broad License Agreement included Success Payments, which are further described below.</w:t>
      </w:r>
    </w:p>
    <w:p>
      <w:pPr>
        <w:spacing w:after="0" w:line="11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Success Payments </w:t>
      </w:r>
      <w:r>
        <w:rPr>
          <w:rFonts w:ascii="Times New Roman" w:cs="Times New Roman" w:eastAsia="Times New Roman" w:hAnsi="Times New Roman"/>
          <w:sz w:val="18"/>
          <w:szCs w:val="18"/>
          <w:color w:val="auto"/>
        </w:rPr>
        <w:t>– Under the Broad License Agreement, Broad Institute is entitled to receive success payments, in cash or shares of Company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determined based upon the achievement of specified multiples of the initial weighted average value of the Series A Preferred at specified valuation dates. The success payments range from $5.0 million to a maximum of $105.0 million and have valuation multiples that range from 5 times to 40 times the initial weighted average value of the Series A Preferred. Subsequent to the IPO, the amount of success payments is based on the market value of the Company’s common stock. 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IPO.</w:t>
      </w:r>
    </w:p>
    <w:p>
      <w:pPr>
        <w:spacing w:after="0" w:line="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May 2021, the first success payment measurement occurred and amounts due to Broad Institute were calculated to be $15.0 million. The Company elected to make the payment in shares of the Company’s common stock and issued 174,825 shares of the Company’s common stock to settle this liability on June 10, 2021. The Company may owe Broad Institute success payments of up to an additional $90.0 million. As of December 31, 2025 and 2024, no success payments were due to Broad Institute.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The following table summarizes the Company’s success payment liability for Broad Institute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Broad Institute success payment liability</w:t>
            </w:r>
          </w:p>
        </w:tc>
        <w:tc>
          <w:tcPr>
            <w:tcW w:w="2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 (income) resulting from the change in the fair value of the success payment liability for Broad Institute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88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Broad Institute success payment liability</w:t>
            </w:r>
          </w:p>
        </w:tc>
        <w:tc>
          <w:tcPr>
            <w:tcW w:w="88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(1,100)</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Payments </w:t>
      </w:r>
      <w:r>
        <w:rPr>
          <w:rFonts w:ascii="Times New Roman" w:cs="Times New Roman" w:eastAsia="Times New Roman" w:hAnsi="Times New Roman"/>
          <w:sz w:val="18"/>
          <w:szCs w:val="18"/>
          <w:color w:val="auto"/>
        </w:rPr>
        <w:t>– The Company agreed to pay Broad Institute an annual license maintenance fee ranging from low-to-mid five figures to low six figures,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on the particular calendar year. The Company is responsible for the payment of certain patent prosecution and maintenance costs incurred by Broad Institute related to licensed patents. To the extent achieved, the Company is obligated to pay up to an aggregate of $75.9 million in product development and regulatory approval milestones, or Broad Product Milestones. If the Company completes a change of control during the term of the Broad License Agreement, then certain of the milestone payments would be increased. To the extent there are commercial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Broad License Agreement to a third party and the Company receives non-royalty sublicense income, then Broad Institute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annual maintenance fees are recorded as an expense on an annual basis based on the stated amount for the applicable year. Annual patent costs will be expensed as incurred. Upon determination that a Broad Product Milestone is probable to occur, the amount due will be recorded as research and development expense. The Company monitors the Broad Product Milestone payments for this arrangement on an ongoing basis.</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 the extent products are commercialized under the Broad License Agreement, the Company will accrue royalty expense and sublicense nonroyalty payments, as applicable, for the amount it is obligated to pay, with adjustments as sales are made.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Editas license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2018, the Company entered into a license agreement, or the Editas License Agreement, with Editas Medicine, Inc., or Editas. Pursuant to the Editas License Agreement, Editas granted to the Company licenses and options to acquire licenses to certain intellectual property rights owned or controlled by Editas, for specified uses. More specifically,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or the Editas Research License.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0" w:name="page161"/>
    <w:bookmarkEnd w:id="160"/>
    <w:p>
      <w:pPr>
        <w:ind w:right="20"/>
        <w:spacing w:after="0" w:line="254" w:lineRule="auto"/>
        <w:rPr>
          <w:sz w:val="20"/>
          <w:szCs w:val="20"/>
          <w:color w:val="auto"/>
        </w:rPr>
      </w:pPr>
      <w:r>
        <w:rPr>
          <w:rFonts w:ascii="Times New Roman" w:cs="Times New Roman" w:eastAsia="Times New Roman" w:hAnsi="Times New Roman"/>
          <w:sz w:val="18"/>
          <w:szCs w:val="18"/>
          <w:color w:val="auto"/>
        </w:rPr>
        <w:t>Additional consideration will be due to Editas if the Company elects to exercise its option to obtain an Editas Development and Commercialization License to any of the three categories of intellectual property underlying the Editas Research License, for a fee ranging from a mid-teen million dollar amount to a low to mid-eight digit dollar amount per group, depending on the timing of the option exercise. Additionally, the Company is required to reimburse Editas for certain payments Editas may be obligated to make under existing Editas license agreements related to the intellectual property being licensed to the Company, including (i) development, regulatory and commercial milestone payments and certain sublicense income payments due as a result of the Editas License Agreement and (ii) a percentage of the annual maintenance fees and patent fees due to certain of the Editas’ licensors. In addition, to the extent any products are commercialized under an Editas Development and Commercialization License, the Company would be required to make royalty payments equivalent to the royalties that would be due from Editas to any applicable licensors of Editas related to the sales of such licensed products, plus an additional tiered low- to mid-single digit royalty, depending on whether such licensed product is covered by an Editas-owned patent.</w:t>
      </w:r>
    </w:p>
    <w:p>
      <w:pPr>
        <w:spacing w:after="0" w:line="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license rights and option rights granted by Editas to the Company are subject to the terms and conditions of the underlying license agreements that Editas is a party to and under which Editas licensed rights or option rights to the Company and the termination of such in-licenses, as applicable. Unless earlier terminated by either party pursuant to the terms of the agreement, the Editas License Agreement will continue in full force and effect and will expire on a licensed product-by licensed product and country-by-country basis upon the later of (i) the last-to-expire royalty term under any applicable institutional license to Editas and (ii) the date at which such product is no longer covered by a valid claim of a licensed Editas-owned patent in such country. The Company has the right, at its sole discretion, at any time to terminate the Editas License Agreement in its entirety or on a group-by-group of intellectual property basis, upon ninety days written notice to Editas. Upon termination of the Editas License Agreement, all rights and licenses granted by Editas to the Company (including the rights to exercise options and obtain such licenses) will immediately terminate and patents within a group of patents will no longer be deemed licensed patents. Expiration or termination of the Editas License Agreement for any reason does not release either party of any obligation or liability which had accrued, or which is attributable to a period prior to such expiration or termination.</w:t>
      </w:r>
    </w:p>
    <w:p>
      <w:pPr>
        <w:spacing w:after="0" w:line="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option exercise fees under the agreement will be recorded as research and development expense, if and when the Company exercises such options. To date, no options have been exercised. The annual maintenance fees are recorded as an expense on an annual basis based on the stated amount for the applicable year. Annual patent costs are expensed as incurred. In addition, the Company is required to make certain development, regulatory and commercial milestone payments to Editas upon the achievement of specified milestones. To the extent applicable, sublicense income payments will be accrued for the amount the Company is obligated to pay under each applicable in-license as amounts are due to Editas. Lastly, to the extent products are commercialized under the Editas License agreement, the Company will accrue royalty expense for the amount it is obligated to pay, with adjustments as sales are made.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July 19, 2024, the Company entered into a settlement agreement with a research institution pursuant to which, in exchange for a release of claims in its favor, the Company agreed, among other things, to pay the research institution an upfront payment of $15.0 million and to make additional payments contingent upon the development and commercialization of BEAM-102 and BEAM-302. These contingent payments consist of certain development, regulatory, and sales-based milestone payments, as well as 1% royalty through 2038. Any amounts due must be settled in cash. The maximum amount of development and regulatory milestone payments under the settlement agreement is $15.0 million, and the maximum amount of sales milestone payments is $35.0 million, per program. The Company paid the $15.0 million upfront payment during the year ended December 31, 2024. Following the adoption of ASU 2025-07 discussed in Note 2,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the Company reassessed its accounting for the settlement agreement and accounts for the settlement liability in accordance with ASC 450. The Company determined that the recognition criteria under ASC 450 was not met as the likelihood of a loss is not considered probable and estimable as of December 31, 2025 and therefore no related liability is recorded as of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the Company entered into a Transfer and Delegation Agreement, or the Lilly Agreement, with Eli Lilly and Company, or Lilly, pursuant to which Lilly acquired certain assets and other rights under the Company’s amended collaboration and license agreement, or the Verve Agreement, with Verve Therapeutics, Inc., or Verve, including the Company’s opt-in rights to co-develop and co-commercialize Verve’s base editing programs for cardiovascular disease (see discussion below related to the Verve Agreement). The Company granted Lilly an exclusive sublicense to the Verve technology originally licensed to the Company under the Verve Agreement. Lilly also acquired the right to receive any future milestone or royalty payments payable by Verve under the Verve Agreement and the rights and obligations to designate representatives and participate on the joint steering committee with Verve. The Company received a $200.0 million nonrefundable upfront payment and is eligible to receive up to $350.0 million in potential future development-stage payments upon the completion of certain clinical, regulatory and alliance events. If Lilly does not opt-in to co-develop and co-commercialize a licensed product, Lilly is obligated to pay the Company a percentage of any royalties received from Verve for sales of such product, subject to certain caps on a licensed product-by-licensed product basis.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1" w:name="page162"/>
    <w:bookmarkEnd w:id="161"/>
    <w:p>
      <w:pPr>
        <w:jc w:val="both"/>
        <w:spacing w:after="0" w:line="258" w:lineRule="auto"/>
        <w:rPr>
          <w:sz w:val="20"/>
          <w:szCs w:val="20"/>
          <w:color w:val="auto"/>
        </w:rPr>
      </w:pPr>
      <w:r>
        <w:rPr>
          <w:rFonts w:ascii="Times New Roman" w:cs="Times New Roman" w:eastAsia="Times New Roman" w:hAnsi="Times New Roman"/>
          <w:sz w:val="18"/>
          <w:szCs w:val="18"/>
          <w:color w:val="auto"/>
        </w:rPr>
        <w:t>For a period of six years from the effective date of the Lilly Agreement, Lilly has the right to request the Company to perform any critical research and development services, if Lilly reasonably determines that the Company is uniquely able to provide such services and other conditions are met, including that no other third parties can provide such services. The parties will negotiate an agreement governing the Company’s performance of such activity, if any, and the Company will be compensated for any services at approximately cost plus a margin. The Company has not been requested to perform any services and believes it is remote that Beam would be requested to provide any services.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Lilly Agreement, the Company and Lilly entered into a Stock Purchase Agreement providing for the sale and issuance of 2,004,811 shares of the Company’s common stock to Lilly for an aggregate purchase price of $50.0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received the consideration under the Stock Purchase Agreement of $50.0 million in October 2023 and the upfront payment of $200.0 million in November 2023.</w:t>
      </w:r>
    </w:p>
    <w:p>
      <w:pPr>
        <w:spacing w:after="0" w:line="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Lilly Agreement and Stock Purchase Agreement were negotiated at the same time as a package and have been accounted for as one combined contract. The Company accounts for the component of the arrangement to transfer common stock to Lilly under ASC 505,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or ASC 505, and the revenue component under ASC 606, as it includes a customer-vendor relationship as defined under ASC 606 and meets the criteria to be considered a contract. The Company first applied the guidance in ASC 505 to measure the fair value of the common stock issued and allocated the remaining consideration to the ASC 606 component of the arrangement.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overall ASC 606 transaction price as of the inception of the contract was determined to be $216.4 million, which is comprised of the upfront payment of $200.0 million and the residual value of the proceeds received in excess of the fair value of the common stock sold to Lilly of $16.4 million. The fair value of the common stock issued to Lilly was $33.6 million, as determined by management with the assistance of a third-party valuation specialist. There is no variable consideration included in the transaction price at inception. The Company will re-evaluate the transaction price at each reporting period.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that the collaboration rights and licenses to intellectual property have the same pattern and timing of transfer and are transferred as of the effective date of the Lilly Agreement. Lilly’s right to request research and development services represents an optional purchase in the agreement that does not constitute a material right. All other items promised to Lilly are immaterial in the context of the Lilly Agreement.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revenue for the performance obligation at a point-in-time in October 2023 as all requirements related to the performance obligation have been completed. Any consideration received related to Lilly’s optional purchase of the Company’s research and development services will be accounted for as a separate contract if and when the option is exercised in accordance with ASC 606. The Company did not recognize any revenue related to the Lilly Agreement during the year ended December 31, 2025. During the year ended December 31, 2024 the Company recognized $25.0 million in revenue related to the achievement of certain clinical, regulatory and alliance events and during the year ended December 31, 2023 the Company recognized $216.4 million of revenue related to the Lilly Agreement. As of December 31, 2025, there was no deferred revenue remaining related to the Lilly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 and Bristol Myers Squibb Company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2022, the Company entered into a License and Research Collaboration Agreement, or the Orbital Agreement, with Orbital Therapeutics, Inc., or Orbital. Under the terms of the Orbital Agreement, the Company agreed to collaborate with Orbital to advance nonviral delivery and ribonucleic acid, or RNA, technology by providing Orbital with certain proprietary materials, a non-exclusive research license to certain RNA technology and nonviral delivery technology controlled by the Company, and by performing research and development support services as outlined in a research plan. The Company also granted Orbital an exploitation license to certain RNA technology and nonviral delivery technology controlled by the Company. The collaboration is managed on an overall basis by a Joint Steering Committee, or JSC, comprised of an equal number of representatives from the Company and Orbital.</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exchange for the licenses and services provided by the Company under the Orbital Agreement, the Company received a non-exclusive research license to certain RNA technology and nonviral delivery technology controlled by Orbital, and research and development support services as outlined in a research plan. Orbital also granted the Company an exploitation license to certain RNA technology and nonviral delivery technology controlled by Orbital. The Company also received 75 million shares of Orbital’s common stock at closing.</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research plan had a term of three years and could have been extended for unspecified periods upon mutual agreement between the Company and Orbital. The exploitation licenses were exclusive for an initial research term of three years, which could have been extended for up to two successive one-year periods by mutual agreement between the Company and Orbital. As of December 31, 2025 the initial research term was not extended. Either party may terminate the licenses granted to it under the Orbital Agreement for convenience on a product-by-product basis at any time by providing 90 days’ prior written notice.</w:t>
      </w:r>
    </w:p>
    <w:p>
      <w:pPr>
        <w:spacing w:after="0" w:line="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accounts for the consideration received under the Orbital Agreement under ASC 606, as it includes a customer-vendor relationship as defined under ASC 606 and meets the criteria to be considered a contract. The overall transaction price as of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2" w:name="page163"/>
    <w:bookmarkEnd w:id="162"/>
    <w:p>
      <w:pPr>
        <w:ind w:right="20"/>
        <w:spacing w:after="0" w:line="282" w:lineRule="auto"/>
        <w:rPr>
          <w:sz w:val="20"/>
          <w:szCs w:val="20"/>
          <w:color w:val="auto"/>
        </w:rPr>
      </w:pPr>
      <w:r>
        <w:rPr>
          <w:rFonts w:ascii="Times New Roman" w:cs="Times New Roman" w:eastAsia="Times New Roman" w:hAnsi="Times New Roman"/>
          <w:sz w:val="18"/>
          <w:szCs w:val="18"/>
          <w:color w:val="auto"/>
        </w:rPr>
        <w:t>inception of the contract was determined to be $25.5 million, which represents the fair value of the Company’s equity interest in Orbital’s common stock at inception. There is no variable consideration included in the transaction price.</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concluded that the research and exploitation licenses are not distinct from the other promises in the Orbital Agreement, and as such the Company determined that the licenses combined with the research and development services, know-how transfers, committee participation and materials transfer represent a performance obligation. The Company recognized revenue associated with the Orbital performance obligation over time as it was satisfied during the term of the Orbital Agreement, which was three years. The Company recognized $6.4 million of revenue during the year ended December 31, 2025 and $8.5 million of revenue during each of the years ended December 31, 2024 and 2023, respectively. As of December 31, 2025, there was no deferred revenue remaining related to the Orbital Agreement.</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December 8, 2025, Bristol-Myers Squibb Company, or BMS, completed an acquisition of Orbital, or the Acquisition. At the closing of the Acquisition, the Company held 75 million shares of Orbital common stock, which were cancelled and converted into $255.1 million in closing cash consideration, plus the right to receive up to approximately $26.3 million in additional cash consideration upon the release, if any, of certain escrows.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December 2021, the Company entered into a research collaboration agreement, or the Pfizer Agreement, with Pfizer Inc., or Pfizer, focused on the use of certain of the Company’s base editing technology to develop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rare genetic diseases. Under the terms of the Pfizer Agreement, the Company conducted all research activities through development candidate selection for three base editing programs that target specific genes corresponding to specific diseases that were the subject of such programs. Pfizer had exclusive rights to license each of the three programs at no additional cost, each an Opt-In Right, and would assume responsibility for subsequent development, manufacturing and commercialization. In December 2025, at the completion of the research term, Pfizer exercised its Opt-In Right to an exclusive, worldwide license for a liver-targeted development candidate in the collaboration.</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end of the Phase 1/2 clinical trials, the Company may elect to enter into a global co-development and co-commercialization agreement with Pfizer with respect the development candidate licensed under the collaboration for an option exercise fee equal to a percentage of the applicable development costs incurred by Pfizer, or the Participation Election. In the event the Company elects to exercise its Participation Election, upon the payment of its option exercise fee, Pfizer and the Company would share net profits as well as development and commercialization costs in a 65%/35% (Pfizer/Company) split for such program. The research collaboration was managed on an overall basis by a Joint Research Committee, or JRC, formed by an equal number of representatives from the Company and Pfizer.</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the inception of the Pfizer Agreement, the Company was entitled to receive a nonrefundable upfront payment of $300.0 million in consideration for the rights granted to Pfizer under the collaboration. As a result of Pfizer’s exercise of its Opt-In Right for a liver-targeted development candidate, the Company is eligible to receive development, regulatory, and commercial milestones of up to $350.0 million for the licensed program, plus royalty payments on global net sales of the program, if any. As Pfizer did not exercise its Opt-In Right for the remaining two programs, the Company’s rights in such programs reverted to the Company and the Company will be required to pay Pfizer earn-out payments equal to a low single digit percentage of net sales earned on each such program for a ten-year period, if any.</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collaboration had an initial term of four years and could have been extended for an additional year on a program-by-program basis. During the collaboration term, Pfizer had a one-time option to substitute a disease that is the subject of a specific program with one pre-defined substitute disease. Pursuant to the terms of the collaboration agreement, the Company’s obligation to provide services under the collaboration agreement concluded during the 2025 fiscal year as Pfizer did not elect to extend the agreement beyond the initial term.</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accounts for the Pfizer Agreement under ASC 606, as it includes a customer-vendor relationship as defined under ASC 606 and meets the criteria to be considered a contract.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$300.0 million, which is comprised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re-evaluated the transaction price in each reporting period.</w:t>
      </w:r>
    </w:p>
    <w:p>
      <w:pPr>
        <w:spacing w:after="0" w:line="7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 licenses to its base editing technology, including the exclusive development and commercialization rights, are not capable of being distinct from the other performance obligations, and as such the Company has determined that the licenses combined with the other research and development services represent performance obligations and no up-front revenue was recognized for the licenses.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selling price of each performance obligation was determined based on the Company’s estimated standalone selling price, or the ESSP. The Company developed the ESSP for all of the performance obligations included in the Pfizer Agreement by determining the total estimated costs to fulfill each performance obligation identified with the objective of determining the price at which it would sell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63" w:name="page164"/>
    <w:bookmarkEnd w:id="163"/>
    <w:p>
      <w:pPr>
        <w:ind w:right="20"/>
        <w:spacing w:after="0" w:line="282" w:lineRule="auto"/>
        <w:rPr>
          <w:sz w:val="20"/>
          <w:szCs w:val="20"/>
          <w:color w:val="auto"/>
        </w:rPr>
      </w:pPr>
      <w:r>
        <w:rPr>
          <w:rFonts w:ascii="Times New Roman" w:cs="Times New Roman" w:eastAsia="Times New Roman" w:hAnsi="Times New Roman"/>
          <w:sz w:val="18"/>
          <w:szCs w:val="18"/>
          <w:color w:val="auto"/>
        </w:rPr>
        <w:t>such an item if it were to be sold regularly on a standalone basis. The Company allocated the stand-alone selling price to the performance obligations based on the relative standalone selling price method.</w:t>
      </w:r>
    </w:p>
    <w:p>
      <w:pPr>
        <w:spacing w:after="0" w:line="5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recognized revenue for each performance obligation as it was satisfied during the term of the Pfizer Agreement using an input method. The Company allocated the transaction price of $300.0 million to each of the three performance obligations, which included each of the three base editing programs combined with the research and development services, licenses, and exclusive development and commercialization rights. Revenue was recognized using an input method based on the actual costs incurred as a percentage of total estimated costs towards satisfying the performance obligation as this method provided the most faithful depiction of the entity’s performance in transferring control of the goods and services promised to Pfizer and represented the Company’s best estimate of the period of the obligation. The impact on revenue of changes in total estimated costs were recognized on a cumulative basis in the period that the change occurred. If estimates of the total cost change, the required adjustments to revenue could be material. As a result of Pfizer's decision to not extend the research period, the Company recognized the remaining deferred revenue balance during the year ended December 31, 2025. The Company recognized $109.1 million, $8.4 million and $134.3 million of revenue under the Pfizer Agreement, during the years ended December 31, 2025, 2024 and 2023, respectively. There was no remaining deferred revenue related to the Pfizer Agreement as of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Apellis Pharmaceuticals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June 2021, the Company entered into a research collaboration agreement, or the Apellis Agreement, with Apellis Pharmaceuticals, Inc., or Apellis, focused on the use of certain of the Company’s base editing technology to discover new treatments for complement system-driven diseases. Under the terms of the Apellis Agreement, the Company will conduct preclinical research on six base editing programs that target specific genes within the complement system in various organs, including the eye, liver, and brain. Apellis has an exclusive option to license any or all of the six programs, or in each case, an Opt-In Right, and collectively, the Opt-In Rights, and will assume responsibility for subsequent development. As of September 30, 2025, Apellis notified the Company of its decision to opt-in to one of the six base editing programs. As a result of Apellis' decision to opt-in to the program, the Company received a cash opt-in fee of $3.8 million which was recognized as revenue during the year ended December 31, 2025. The Company may elect to enter into a 50-50 U.S. co-development and co-commercialization agreement with Apellis with respect to one program licensed under the collaboration. The collaboration is managed on an overall basis by an alliance steering committee formed by an equal number of representatives from the Company and Apellis.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collaboration, the Company received a total of $75.0 million in upfront and near-term milestones from Apellis, which was comprised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$50.0 million received upon signing and an additional $25.0 million payment on June 30, 2022, the one-year anniversary of the effective date of the Apellis Agreement, or the First Anniversary Payment. Following any exercise of an Opt-In Right for any of the six programs, the Company will be eligible to receive development, regulatory, and sales milestones from Apellis, as well as royalty payments on sales. The collaboration has an initial term of five years and may be extended up to two years on a per year and program-by-program basis. During the collaboration term, Apellis may, subject to certain limitations, substitute a specific complement gene and/or organ for any of the initial base editing programs. Apellis may terminate the Apellis Agreement for convenience on any or all of the programs by providing prior written notice.</w:t>
      </w:r>
    </w:p>
    <w:p>
      <w:pPr>
        <w:spacing w:after="0" w:line="8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accounts for the Apellis Agreement under ASC 606 as it includes a customer-vendor relationship as defined under ASC 606 and meets the criteria to be considered a contract.</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overall transaction price as of the inception of the contract was determined to be $75.0 million, which is composed of the upfront payment of $50.0 million and the First Anniversary Payment of $25.0 million. The Company re-evaluates the transaction price in each reporting period.</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concluded that each of the six base editing programs combined with the research and development service, licenses, substitution rights and governance participation were material promises that were both capable of being distinct and were distinct within the context of the Apellis Agreement and represented separate performance obligations. The Company further concluded that the Opt-In Rights and option to extend the collaboration term did not grant Apellis a material right. The Company determined that the term of the contract is five years, as this is the period during which both parties have enforceable rights.</w:t>
      </w:r>
    </w:p>
    <w:p>
      <w:pPr>
        <w:spacing w:after="0" w:line="7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selling price of each performance obligation was determined based on the Company’s ESSP. The Company developed the ESSP for all of the performance obligations included in the Apellis Agreement by determining the total estimated costs to fulfill each performance obligation identified with the objective of determining the price at which it would sell such an item if it were to be sold</w:t>
      </w:r>
    </w:p>
    <w:p>
      <w:pPr>
        <w:spacing w:after="0" w:line="1" w:lineRule="exact"/>
        <w:rPr>
          <w:sz w:val="20"/>
          <w:szCs w:val="20"/>
          <w:color w:val="auto"/>
        </w:rPr>
      </w:pPr>
    </w:p>
    <w:p>
      <w:pPr>
        <w:ind w:right="480" w:firstLine="45"/>
        <w:spacing w:after="0" w:line="260" w:lineRule="auto"/>
        <w:rPr>
          <w:sz w:val="20"/>
          <w:szCs w:val="20"/>
          <w:color w:val="auto"/>
        </w:rPr>
      </w:pPr>
      <w:r>
        <w:rPr>
          <w:rFonts w:ascii="Times New Roman" w:cs="Times New Roman" w:eastAsia="Times New Roman" w:hAnsi="Times New Roman"/>
          <w:sz w:val="18"/>
          <w:szCs w:val="18"/>
          <w:color w:val="auto"/>
        </w:rPr>
        <w:t>regularly on a standalone basis. The Company allocated the stand-alone selling price to the performance obligations based on the relative standalone selling price method.</w:t>
      </w:r>
    </w:p>
    <w:p>
      <w:pPr>
        <w:spacing w:after="0" w:line="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recognizes revenue for each performance obligation as it is satisfied over the five-year term using an input method. The Company allocated the transaction price of $75.0 million to each of the six performance obligations, which includes each of the six base editing programs combined with the research and development service, licenses, substitution rights and governance participation, and is being recognized using an input method based on the actual costs incurred as a percentage of total estimated costs towards satisfying the performance obligation as this method provides the most faithful depiction of the entity’s performance in transferring control of the goods and services promised to Apellis and represents the Company’s best estimate of the period of the obligation. For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64" w:name="page165"/>
    <w:bookmarkEnd w:id="164"/>
    <w:p>
      <w:pPr>
        <w:ind w:right="180"/>
        <w:spacing w:after="0" w:line="282" w:lineRule="auto"/>
        <w:rPr>
          <w:sz w:val="20"/>
          <w:szCs w:val="20"/>
          <w:color w:val="auto"/>
        </w:rPr>
      </w:pPr>
      <w:r>
        <w:rPr>
          <w:rFonts w:ascii="Times New Roman" w:cs="Times New Roman" w:eastAsia="Times New Roman" w:hAnsi="Times New Roman"/>
          <w:sz w:val="18"/>
          <w:szCs w:val="18"/>
          <w:color w:val="auto"/>
        </w:rPr>
        <w:t>the years ended December 31, 2025, 2024, and 2023, the Company recognized $24.2 million, $19.7 million and $16.4 million of revenue, respectively, related to the Apellis Agreement. As of December 31, 2025, there is $6.7 million of current deferred revenue remaining related to the Apellis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Verve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2019, the Company entered into a collaboration and license agreement with Verve, or the Verve Agreement, to investigate gene editing strategies to modify genes associated with an increased risk of coronary diseases and in July 2022, the Company and Verve amended the Verve Agreement. Under the terms of the Verve Agreement, as amended, the Company granted Verve an exclusive license to certain base editor technology and improvements and Verve granted the Company a non-exclusive license under certain know-how and patents controlled by Verve, an interest in joint collaboration technology and a non-exclusive license under certain delivery technology.</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the Company, Verve, and Lilly entered into a Side Letter Agreement whereby the Company agreed to delegate to Lilly certain rights and obligations existing under the Verve Agreement, including the Company’s rights and obligations to co-develop and co-commercialize opt-in products, the financial rights to milestone and royalty payments, and the right to participate on certain joint decision-making committees. The Company determined that the transfer and delegation of rights represents a modification of the Verve Agreement to be accounted for as if it were part of the existing contract in accordance with ASC 606. Prior to the modification, the Company determined that its performance obligations associated with the Verve Agreement at contract inception and subsequent modifications were not distinct and represented a single performance obligation, and that the obligation would be completed over the performance period of the agreement. Accordingly, the upfront payment was being recognized as revenue using a time-based proportional performance model over the contract term (April 2019 through 2038) of the collaboration, as license revenue. The milestone payments and royalties were considered variable consideration and were constrained up until the modification date as no milestones or royalties were achieved. Subsequent to the modification, management concluded that the Company does not have material ongoing obligations to Verve in the arrangement and that the remaining revenue under the agreement should be recognized at a point-in-time upon modification. Therefore, the Company recognized the remaining $0.3 of unrecognized revenue during the year ended December 31, 2023.</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$0.4 million of license revenue during the year ended December 31, 2023 and did not recognize any revenue under the Verve Agreement during the year ended December 31, 2025 or December 31, 2024. As of December 31, 2025 there is no deferred revenue remaining related to the Verve Agreement.</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Lilly, completed its acquisition of Verve and as a result, the Company received total proceeds of $5.7 million as consideration for its 546,970 shares of Verve’s common stock. The sale resulted in a realized loss of $0.4 million, recorded in "Interest and other income (expense), net" in the Company's statements of operations and other comprehensive loss. There were no other realized gains or losses from the sale of marketable securities for the years ended December 31, 2025, 2024 and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entered into the Sales Agreement with Jefferies pursuant to which the Company is entitled to offer and sell, from time to time at prevailing market prices, shares of its common stock having aggregate gross proceeds of up to $1.1 billion. The Company agreed to pay Jefferies a commission of up to 3.0% of the aggregate gross sale proceeds of any shares sold by Jefferies under the Sales Agreement. As of December 31, 2025, the Company has sold 13,769,001 shares of its common stock under the Sales Agreement at an average price of $62.75 per share for aggregate gross proceeds of $864.0 million, before deducting commissions and offering expenses payable by it. There were no shares sold under the Sales Agreement during the year ended December 31, 2025.</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March 2025, the Company closed an underwritten public offering of 16,151,686 shares of common stock at a public offering price of $28.48 per share and pre-funded warrants to purchase 1,404,988 shares of common stock at a purchase price of $28.47 per pre-funded warrant for aggregate net proceeds of $470.5 million, after deducting underwriting discounts, commissions and approximately $0.8 million related to legal, accounting and other fees in connection with the offering.</w:t>
      </w:r>
    </w:p>
    <w:p>
      <w:pPr>
        <w:spacing w:after="0" w:line="7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holders of the Company’s common stock are entitled to one vote for each share of common stock. The holders of the Company’s common stock shall be entitled to receive ratably dividends out of funds legally available. In the event of any voluntary or involuntary liquidation, dissolution, or winding up of the Company, after the payment or provision for payment of all debts and liabilities of the Company, the holders of common stock shall be entitled to share ratably in the remaining assets of the Company available for distribution.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option and grant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June 2017, the Company’s board of directors adopted the Beam Therapeutics Inc. 2017 Stock Option and Grant Plan, or the 2017 Plan, which provided for the grant of qualified incentive stock options and nonqualified stock options, restricted stock or other awards to the Company’s employees, officers, directors, advisors, and outside consultants for the issuance or purchase of shares of the Company’s common stock.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5" w:name="page166"/>
    <w:bookmarkEnd w:id="165"/>
    <w:p>
      <w:pPr>
        <w:ind w:right="280"/>
        <w:spacing w:after="0" w:line="282" w:lineRule="auto"/>
        <w:rPr>
          <w:sz w:val="20"/>
          <w:szCs w:val="20"/>
          <w:color w:val="auto"/>
        </w:rPr>
      </w:pPr>
      <w:r>
        <w:rPr>
          <w:rFonts w:ascii="Times New Roman" w:cs="Times New Roman" w:eastAsia="Times New Roman" w:hAnsi="Times New Roman"/>
          <w:sz w:val="18"/>
          <w:szCs w:val="18"/>
          <w:color w:val="auto"/>
        </w:rPr>
        <w:t>The 2017 Plan is administered by the board of directors. Stock options awarded under the 2017 Plan expire 10 years after the grant date. Certain options provide for accelerated vesting if there is a change in control, as defined in the 2017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incentive plan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October 2019, the Company’s board of directors adopted the Beam Therapeutics Inc. 2019 Equity Incentive Plan, or the 2019 Plan, and, following the IPO, all equity-based awards are granted under the 2019 Plan. The 2019 Plan provides for the grant of qualified and nonqualified stock options, stock appreciation rights, restricted and unrestricted stock and stock units, performance awards, and other share-based awards to the Company’s employees, officers, directors, advisors, and outside consultants.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maximum number of shares of the Company’s common stock that may be issued under the 2019 Plan was initially 3,700,000 shares, or the Share Pool, plus the number of shares of the Company’s common stock underlying awards under the 2017 Plan, not to exceed 5,639,818 shares, that become available again for grant under the 2017 Plan in accordance with its terms. The Share Pool will automatically increase on January 1st of each year from 2021 to 2029 by the lesser of (i) four percent of the number of shares of the Company’s common stock outstanding as of the close of business on the immediately preceding December 31st and (ii) the number of shares determined by the Company’s board of directors on or prior to such date for such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15,721,419 shares reserved and 1,888,002 shares available for future issuance under the 2019 Plan.</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as research and development and general and administrative expenses in the consolidated statements of operations and other comprehensive loss is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56,123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73,523</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38,121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94,244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120,662</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for stock options granted were: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4260" w:type="dxa"/>
            <w:vAlign w:val="bottom"/>
          </w:tcPr>
          <w:p>
            <w:pPr>
              <w:spacing w:after="0"/>
              <w:rPr>
                <w:sz w:val="16"/>
                <w:szCs w:val="16"/>
                <w:color w:val="auto"/>
              </w:rPr>
            </w:pPr>
          </w:p>
        </w:tc>
        <w:tc>
          <w:tcPr>
            <w:tcW w:w="20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20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20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79.7%-80.9%</w:t>
            </w: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76.2%-78.5%</w:t>
            </w: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76.3-78.8%</w:t>
            </w:r>
          </w:p>
        </w:tc>
        <w:tc>
          <w:tcPr>
            <w:tcW w:w="18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23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4.31%</w:t>
            </w:r>
          </w:p>
        </w:tc>
        <w:tc>
          <w:tcPr>
            <w:tcW w:w="23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4.02%</w:t>
            </w:r>
          </w:p>
        </w:tc>
        <w:tc>
          <w:tcPr>
            <w:tcW w:w="22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80" w:type="dxa"/>
            <w:vAlign w:val="bottom"/>
            <w:gridSpan w:val="2"/>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rPr>
              <w:t>0.00%</w:t>
            </w:r>
          </w:p>
        </w:tc>
        <w:tc>
          <w:tcPr>
            <w:tcW w:w="2380" w:type="dxa"/>
            <w:vAlign w:val="bottom"/>
            <w:gridSpan w:val="2"/>
            <w:shd w:val="clear" w:color="auto" w:fill="CFF0FC"/>
          </w:tcPr>
          <w:p>
            <w:pPr>
              <w:ind w:left="1700"/>
              <w:spacing w:after="0"/>
              <w:rPr>
                <w:sz w:val="20"/>
                <w:szCs w:val="20"/>
                <w:color w:val="auto"/>
              </w:rPr>
            </w:pPr>
            <w:r>
              <w:rPr>
                <w:rFonts w:ascii="Times New Roman" w:cs="Times New Roman" w:eastAsia="Times New Roman" w:hAnsi="Times New Roman"/>
                <w:sz w:val="18"/>
                <w:szCs w:val="18"/>
                <w:color w:val="auto"/>
              </w:rPr>
              <w:t>0.00%</w:t>
            </w:r>
          </w:p>
        </w:tc>
        <w:tc>
          <w:tcPr>
            <w:tcW w:w="2220" w:type="dxa"/>
            <w:vAlign w:val="bottom"/>
            <w:gridSpan w:val="2"/>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04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5"/>
              </w:rPr>
              <w:t>5.99</w:t>
            </w:r>
          </w:p>
        </w:tc>
        <w:tc>
          <w:tcPr>
            <w:tcW w:w="340" w:type="dxa"/>
            <w:vAlign w:val="bottom"/>
          </w:tcPr>
          <w:p>
            <w:pPr>
              <w:spacing w:after="0"/>
              <w:rPr>
                <w:sz w:val="20"/>
                <w:szCs w:val="20"/>
                <w:color w:val="auto"/>
              </w:rPr>
            </w:pPr>
          </w:p>
        </w:tc>
        <w:tc>
          <w:tcPr>
            <w:tcW w:w="20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6.02</w:t>
            </w:r>
          </w:p>
        </w:tc>
        <w:tc>
          <w:tcPr>
            <w:tcW w:w="340" w:type="dxa"/>
            <w:vAlign w:val="bottom"/>
          </w:tcPr>
          <w:p>
            <w:pPr>
              <w:spacing w:after="0"/>
              <w:rPr>
                <w:sz w:val="20"/>
                <w:szCs w:val="20"/>
                <w:color w:val="auto"/>
              </w:rPr>
            </w:pPr>
          </w:p>
        </w:tc>
        <w:tc>
          <w:tcPr>
            <w:tcW w:w="204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5"/>
              </w:rPr>
              <w:t>6.03</w:t>
            </w:r>
          </w:p>
        </w:tc>
        <w:tc>
          <w:tcPr>
            <w:tcW w:w="180" w:type="dxa"/>
            <w:vAlign w:val="bottom"/>
          </w:tcPr>
          <w:p>
            <w:pPr>
              <w:spacing w:after="0"/>
              <w:rPr>
                <w:sz w:val="20"/>
                <w:szCs w:val="20"/>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option activity under the Company’s equity award plans: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(1)</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9,605,542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2,723,284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(337,770)</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(674,507)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11,316,549</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7,377,984</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40.45</w:t>
            </w:r>
          </w:p>
        </w:tc>
        <w:tc>
          <w:tcPr>
            <w:tcW w:w="1420" w:type="dxa"/>
            <w:vAlign w:val="bottom"/>
            <w:tcBorders>
              <w:top w:val="single" w:sz="8" w:color="CFF0FC"/>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top w:val="single" w:sz="8" w:color="CFF0FC"/>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42,179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520" w:right="660" w:hanging="512"/>
        <w:spacing w:after="0" w:line="282"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closing price of the common stock for the options that were in the money as of December 31, 2025 and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per share of stock options granted during the years ended December 31, 2025, 2024 and 2023, was $17.53,</w:t>
      </w:r>
    </w:p>
    <w:p>
      <w:pPr>
        <w:spacing w:after="0" w:line="2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$17.13 and $27.88, respectively. The aggregate intrinsic value of stock options exercised during the years ended December 31, 2025, 2024 and 2023 was $3.4 million, $10.7 million and $20.0 million, respectively. The weighted-average exercise price of stock options exercised for the years ended December 31, 2025, 2024 and 2023 was $14.13, $9.94 and $7.69, respectively.</w:t>
      </w:r>
    </w:p>
    <w:p>
      <w:pPr>
        <w:spacing w:after="0" w:line="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70.8 million of unrecognized compensation cost related to unvested stock options, which is expected to be recognized over a weighted-average period of approximately 2.3 years.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issued shares of restricted common stock during the years ended December 31, 2025, 2024 and 2023, which consisted only of restricted stock units. Restricted common stock issued generally vests over a period of two to four years.</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Generally, if the holders of restricted stock units cease to have a business relationship with the Company, any unvested restricted stock units will be cancelled.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restricted stock activity: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2,576,855</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1,380,227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(1,048,601)</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(364,629)</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2,543,852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aggregate fair value of restricted stock that vested during the years ended December 31, 2025, 2024 and 2023 was $22.9 million, $35.6 million and $13.8 million, respectively.</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December 31, 2025, there was approximately $49.7 million of unrecognized stock-based compensation expense related to restricted stock that is expected to vest. These costs are expected to be recognized over a weighted-average remaining vesting period of approximately 2.5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2020, the Company’s board of directors adopted the Beam Therapeutics Inc. 2019 Employee Stock Purchase Plan, or ESPP, which was approved by the Company’s stockholders. Pursuant to the ESPP, certain employees of the Company, excluding consultants and non-employee directors, are eligible to purchase common stock of the Company at a reduced rate during offering periods. The ESPP permits participants to purchase common stock using funds contributed through payroll deductions, subject to a calendar year limit of $25,000 and at a purchase price of 85% of the lower of the fair market value of the Company’s common stock on the first trading day of the offering period or on the applicable purchase date, which will be the final trading day of the applicable purchase period.</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used the Black-Scholes option valuation model to estimate the fair value of the purchase right under the ESPP on the date of grant. The expected volatility is based on the historical volatility of the Company's common stock for a period of months corresponding with the expected life of the option. The risk-free interest rate is based on the U.S. Treasury yield curve at the time of grant for securities with a maturity period similar to the expected life of the option. The expected life is based on the term of the purchase period for the grants made under the ESPP.</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uses the straight-line attribution approach to record the expense over the offering period. Stock-based compensation expense related to the ESPP for the years ended December 31, 2025, 2024 and 2023 was $1.6 million, $1.3 million and $1.3 million, respectively.</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issued 174,708, 135,187 and 130,403 shares under the ESPP during the years ended December 31, 2025, 2024 and 2023, respectively. As of December 31, 2025, the Company had 3,590,328 shares available for issuance under the ESPP.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 attributable to common stockholders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because including them would have had an anti-dilutive effect: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160" w:type="dxa"/>
            <w:vAlign w:val="bottom"/>
            <w:vMerge w:val="restart"/>
          </w:tcPr>
          <w:p>
            <w:pPr>
              <w:spacing w:after="0"/>
              <w:rPr>
                <w:sz w:val="13"/>
                <w:szCs w:val="13"/>
                <w:color w:val="auto"/>
              </w:rPr>
            </w:pPr>
          </w:p>
        </w:tc>
        <w:tc>
          <w:tcPr>
            <w:tcW w:w="138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vMerge w:val="restart"/>
          </w:tcPr>
          <w:p>
            <w:pPr>
              <w:spacing w:after="0"/>
              <w:rPr>
                <w:sz w:val="13"/>
                <w:szCs w:val="13"/>
                <w:color w:val="auto"/>
              </w:rPr>
            </w:pPr>
          </w:p>
        </w:tc>
        <w:tc>
          <w:tcPr>
            <w:tcW w:w="138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3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2,543,852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2,576,855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11,316,549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9,605,542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8,276,033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21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100,118</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73,399</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13,960,519</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12,255,796</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11,276,600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3540" w:type="dxa"/>
            <w:vAlign w:val="bottom"/>
            <w:gridSpan w:val="2"/>
          </w:tcPr>
          <w:p>
            <w:pPr>
              <w:jc w:val="right"/>
              <w:ind w:right="2096"/>
              <w:spacing w:after="0"/>
              <w:rPr>
                <w:sz w:val="20"/>
                <w:szCs w:val="20"/>
                <w:color w:val="auto"/>
              </w:rPr>
            </w:pPr>
            <w:r>
              <w:rPr>
                <w:rFonts w:ascii="Times New Roman" w:cs="Times New Roman" w:eastAsia="Times New Roman" w:hAnsi="Times New Roman"/>
                <w:sz w:val="18"/>
                <w:szCs w:val="18"/>
                <w:color w:val="auto"/>
              </w:rPr>
              <w:t>F-32</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-942340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-942340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7" w:name="page168"/>
    <w:bookmarkEnd w:id="167"/>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18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(79,992)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(376,742)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(132,527)</w:t>
            </w: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98,905,577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82,313,008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77,151,771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(0.81)</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The Company's operations are all domestic. As further described in Note 2, Summary of significant accounting policies, the Company has elected to prospectively adopt the guidance in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or ASU 2023-09. The following table is a reconciliation of the U.S. federal statutory rate of 21% to the Company's effective tax rate for the year ended December 31, 2025 in accordance with the guidance in ASU No. 2023-09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3"/>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 at U.S. federal statutory rate</w:t>
            </w:r>
          </w:p>
        </w:tc>
        <w:tc>
          <w:tcPr>
            <w:tcW w:w="21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(16,799)</w:t>
            </w: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(10,168)</w:t>
            </w:r>
          </w:p>
        </w:tc>
        <w:tc>
          <w:tcPr>
            <w:tcW w:w="10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In-process research and development expense</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U.S. federal statutory rate of 21% to the Company's effective rate for the years ended December 31, 2024 and 2023 in accordance with the guidance prior to the adoption of ASU 2023-09:</w:t>
      </w:r>
    </w:p>
    <w:p>
      <w:pPr>
        <w:spacing w:after="0" w:line="4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r>
      <w:tr>
        <w:trPr>
          <w:trHeight w:val="216"/>
        </w:trPr>
        <w:tc>
          <w:tcPr>
            <w:tcW w:w="86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Nondeductible/ nontaxable permanent items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r>
      <w:tr>
        <w:trPr>
          <w:trHeight w:val="20"/>
        </w:trPr>
        <w:tc>
          <w:tcPr>
            <w:tcW w:w="76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6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-170815</wp:posOffset>
            </wp:positionV>
            <wp:extent cx="1117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taxes are as follows (in thousands):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141,126</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48,954</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w:t>
            </w: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180,954</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24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468,738</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ROU asset</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(27,506)</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(28,649)</w:t>
            </w: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(1,563)</w:t>
            </w: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(455,329)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(438,259)</w:t>
            </w:r>
          </w:p>
        </w:tc>
      </w:tr>
      <w:tr>
        <w:trPr>
          <w:trHeight w:val="20"/>
        </w:trPr>
        <w:tc>
          <w:tcPr>
            <w:tcW w:w="5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-864870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paid no income taxes. For the year ended December 31, 2025, the Company did not record a current tax provision and recorded a current tax provision of less than $0.1 million and $1.4 million of income tax expense for the years ended December 31, 2024 and 2023, respectively, which reflects that Company generated taxable income that was not fully offset by the use of net operating loss carryforwards and tax credits. Management has evaluated the positive and negative evidence bearing upon the realizability of the Company’s deferred tax assets and has determined that it is not more likely than not that the Company will recognize the benefits of the deferred tax assets. As a result, the Company has recorded a full valuation allowance at December 31, 2025 and 2024. The valuation allowance increased by $17.1 million and $108.9 million for the years ended December 31, 2025 and 2024, respectively.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Sections 382 and 383 of the Internal Revenue Code of 1986, as amended, limit a corporation’s ability to utilize tax attributes to the extent the corporation experiences an “ownership change,” generally defined as a greater than 50 percentage point change in ownership, measured by value, among 5% or greater shareholders over a rolling three-year testing period. To the extent a corporation experiences an ownership change, utilization of pre-ownership change tax attributes (e.g., net operating losses and general business tax credits) to offset post-ownership change taxable income or taxes, is subject to an annual limitation, generally calculated as the pre-ownership change equity value of the corporation, subject to certain prescribed adjustments, multiplied by the long-term tax exempt rate published monthly by the Internal Revenue Service. The Company completed a Section 382 study as of December 31, 2024, and determined that no historical ownership changes occurred since December 2021. The Company has not completed an analysis through December 31, 2025. To the extent there was a change in control during 2025, the Company's attributes could be subject to limitation. The Company may experience ownership changes in the future as a result of shifts in stock ownership.</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$511.7 million of federal net operating loss carryforwards compared to $181.5 million as of December 31, 2024. Additionally, as of December 31, 2025, the Company had $71.9 million of federal and $36.4 million of Massachusetts tax credits that expire starting in 2043 and 2038, respectively. As of December 31, 2024, the Company had $61.7 million of federal and $32.7 million of Massachusetts tax credits that expire starting in 2043 and 2038.</w:t>
      </w:r>
    </w:p>
    <w:p>
      <w:pPr>
        <w:spacing w:after="0" w:line="7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no uncertain tax positions. The Company recognizes both interest and penalties associated with unrecognized tax benefits as a component of income tax expense. The Company has not recorded any interest or penalties for unrecognized tax benefits since its inception.</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filed income tax returns in the United States and the Commonwealth of Massachusetts in all tax years since inception. Tax years beginning in 2022 remain open to examination in these jurisdictions, as carryforward attributes generated in past years may be adjusted in a future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2018, the Company established a defined-contribution plan under Section 401(k) of the Internal Revenue Code, or the 401(k) Plan. The 401(k) Plan covers all employees who meet defined minimum age and service requirements and allows participants to defer a portion of their annual compensation on a pre-tax basis. Beginning January 1, 2020, the Company made matching contributions equal to 50% of the employee’s contributions, subject to a maximum of 6% of eligible compensation. The Company made matching contributions of $2.6 million, $2.3 million, and $2.5 million for the years ended December 31, 2025, 2024, and 2023 respectively.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16. Segment Data</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defines its segments on the basis of the way in which internally reported financial information is regularly reviewed by the chief operating decision maker, or CODM, to analyze financial performance, make decisions, and allocate resources. The Company’s CODM is John Evans, its Chief Executive Officer. The Company manages its operations as a single operating and reportable segment and the measure of segment profit or loss is consolidated net income (loss). The CODM uses net income (loss) in the budget and forecasting process and considers budget-to-actual variances on a quarterly basis when making decisions about the allocation of operating and capital resources.</w:t>
      </w:r>
    </w:p>
    <w:p>
      <w:pPr>
        <w:spacing w:after="0" w:line="7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The internal reporting of significant segment expenses is based on the functional classification. External expenses include costs from external manufacturing, clinical and research organizations, supply chain and logistics costs, consultants, and other vendors. Employee related expenses include, employee salaries and benefits costs, employee meal, travel and entertainment spend, along with payroll related taxes and other similar items. These functional costs exclude stock-based compensation, facility and information technology costs, depreciation and amortization, and other segment items.</w:t>
      </w:r>
    </w:p>
    <w:p>
      <w:pPr>
        <w:spacing w:after="0" w:line="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the Company’s segment, including significant expenses, other segment items, certain other segment expenses, and a reconciliation to net income (loss):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17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3"/>
                <w:szCs w:val="13"/>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139,743</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63,518</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142,695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115,189</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External general and administrative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34,822</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information technology related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(43,733)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(49,094)</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(46,676)</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(243,667)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(376,742)</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(132,527)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8440" w:firstLine="8"/>
        <w:spacing w:after="0" w:line="397" w:lineRule="auto"/>
        <w:tabs>
          <w:tab w:leader="none" w:pos="1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Denotes significant segment expense Other Segment Items includes:</w:t>
      </w:r>
    </w:p>
    <w:p>
      <w:pPr>
        <w:spacing w:after="0" w:line="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derivative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non-controlling equity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contingent consideration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equity method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Sublicenses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In-process research and development charges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On February 24, 2026, or the Closing Date, the Company entered into a financing agreement, or the Financing Agreement, with certain of its subsidiaries as guarantors party thereto, the lenders party thereto, or the Lenders, and Sixth Street Lending Partners, as the administrative agent and collateral agent for the Lenders. The Financing Agreement provides for a senior secured term loan facility of up to $500 million, or the Credit Facility, consisting of (i) an initial draw of $100 million on the Closing Date, (ii) a potential additional $100 million draw upon the acceptance by the FDA of our BLA submission for risto-cel prior to a certain date, or the Delayed Draw A, (iii) a potential additional $100 million draw at the Company’s option upon the FDA’s approval of the risto-cel BLA prior to a certain date, or the Delayed Draw B, (iv) a potential additional $100 million draw at the Company’s option upon achieving a revenue target from sales of risto-cel prior to a certain date and (v) a potential additional $100 million draw subject to agreement among the Company and the Lenders. The Credit Facility matures on February 24, 2033, or the Maturity Date, and bears interest at an annual rate equal to the 3-month Secured Overnight Financing Rate (SOFR) plus 6.50% (subject to a 1.00% floor) or permits interest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0" w:name="page171"/>
    <w:bookmarkEnd w:id="170"/>
    <w:p>
      <w:pPr>
        <w:ind w:right="420"/>
        <w:spacing w:after="0" w:line="282" w:lineRule="auto"/>
        <w:rPr>
          <w:sz w:val="20"/>
          <w:szCs w:val="20"/>
          <w:color w:val="auto"/>
        </w:rPr>
      </w:pPr>
      <w:r>
        <w:rPr>
          <w:rFonts w:ascii="Times New Roman" w:cs="Times New Roman" w:eastAsia="Times New Roman" w:hAnsi="Times New Roman"/>
          <w:sz w:val="18"/>
          <w:szCs w:val="18"/>
          <w:color w:val="auto"/>
        </w:rPr>
        <w:t>on a base rate plus a margin. Certain additional commitment, administrative, undrawn amount and facility fees are also payable in connection with the Credit Facility.</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Facility requires quarterly interest payments, but does not provide for scheduled amortization payments during the term. All principal will be due on the Maturity Date. The Company will have the right to prepay loans under the Credit Facility at any time. The Company is required to repay loans under the Credit Facility with proceeds from certain asset sales and licensing transactions, condemnation events and extraordinary receipts, subject, in some cases, to reinvestment rights. Repayments are subject, in some cases, to prepayment premiums.</w:t>
      </w:r>
    </w:p>
    <w:p>
      <w:pPr>
        <w:spacing w:after="0" w:line="7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All obligations under the Financing Agreement will be secured on a first-priority basis, subject to certain exceptions, by security interests in substantially all assets of the Company and its material subsidiaries, including its intellectual property, and will be guaranteed by the Company's material subsidiaries, subject to certain exceptions.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Financing Agreement contains customary covenants, including, without limitation, a financial covenant to maintain liquidity of at least $40 million (which shall increase to $80 million upon the draw of the Delayed Draw A and $125 million upon the draw of the Delayed Draw B) if the Company's market capitalization is below $1.75 billion, a covenant to use commercially reasonable efforts to develop and commercialize risto-cel and negative covenants that, subject to certain exceptions, restrict the Company's ability to incur additional indebtedness, grant liens, make investments (including acquisitions), effectuate mergers or consolidations, engage in asset sales and licensing transactions, pay dividends, modify material agreements, pay subordinated indebtedness, and undertake other matters customarily restricted in such agreements. Among other permissions, the Company is permitted, on terms and conditions set forth in the Financing Agreement, to have outstanding convertible unsecured notes in an amount not to exceed $400 million. The Company is subject to restrictions on sales and licensing transactions with respect to its core intellectual property, including risto-cel, subject to certain exceptions, including certain transactions related to areas outside the United States.</w:t>
      </w:r>
    </w:p>
    <w:p>
      <w:pPr>
        <w:spacing w:after="0" w:line="80" w:lineRule="exact"/>
        <w:rPr>
          <w:sz w:val="20"/>
          <w:szCs w:val="20"/>
          <w:color w:val="auto"/>
        </w:rPr>
      </w:pPr>
    </w:p>
    <w:p>
      <w:pPr>
        <w:ind w:right="520"/>
        <w:spacing w:after="0" w:line="257" w:lineRule="auto"/>
        <w:rPr>
          <w:sz w:val="20"/>
          <w:szCs w:val="20"/>
          <w:color w:val="auto"/>
        </w:rPr>
      </w:pPr>
      <w:r>
        <w:rPr>
          <w:rFonts w:ascii="Times New Roman" w:cs="Times New Roman" w:eastAsia="Times New Roman" w:hAnsi="Times New Roman"/>
          <w:sz w:val="18"/>
          <w:szCs w:val="18"/>
          <w:color w:val="auto"/>
        </w:rPr>
        <w:t>The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the Company and its subsidiaries, and change of control.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333-277427 on Form S-3 and Registration Statement Nos. 333-236582, 333-254378, 333-263067, 333-270079, 333-277382 and No. 333-285182 on Form S-8 of our reports dated February 24, 2026, relating to the financial statements of Beam Therapeutics Inc., and the effectiveness of Beam Therapeutics Inc.’s internal control over financial reporting appearing in this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Evans, certify that:</w:t>
      </w:r>
    </w:p>
    <w:p>
      <w:pPr>
        <w:spacing w:after="0" w:line="117" w:lineRule="exact"/>
        <w:rPr>
          <w:sz w:val="20"/>
          <w:szCs w:val="20"/>
          <w:color w:val="auto"/>
        </w:rPr>
      </w:pPr>
    </w:p>
    <w:p>
      <w:pPr>
        <w:ind w:left="520" w:hanging="503"/>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Beam Therapeutics Inc.;</w:t>
      </w:r>
    </w:p>
    <w:p>
      <w:pPr>
        <w:spacing w:after="0" w:line="360"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520" w:right="200" w:hanging="503"/>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Times New Roman" w:cs="Times New Roman" w:eastAsia="Times New Roman" w:hAnsi="Times New Roman"/>
          <w:sz w:val="18"/>
          <w:szCs w:val="18"/>
          <w:color w:val="auto"/>
        </w:rPr>
      </w:pPr>
    </w:p>
    <w:p>
      <w:pPr>
        <w:ind w:left="1160" w:right="280" w:hanging="509"/>
        <w:spacing w:after="0" w:line="266" w:lineRule="auto"/>
        <w:tabs>
          <w:tab w:leader="none" w:pos="1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0" w:lineRule="exact"/>
        <w:rPr>
          <w:rFonts w:ascii="Times New Roman" w:cs="Times New Roman" w:eastAsia="Times New Roman" w:hAnsi="Times New Roman"/>
          <w:sz w:val="18"/>
          <w:szCs w:val="18"/>
          <w:color w:val="auto"/>
        </w:rPr>
      </w:pPr>
    </w:p>
    <w:p>
      <w:pPr>
        <w:ind w:left="1160" w:right="200" w:hanging="509"/>
        <w:spacing w:after="0" w:line="266" w:lineRule="auto"/>
        <w:tabs>
          <w:tab w:leader="none" w:pos="1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0" w:lineRule="exact"/>
        <w:rPr>
          <w:rFonts w:ascii="Times New Roman" w:cs="Times New Roman" w:eastAsia="Times New Roman" w:hAnsi="Times New Roman"/>
          <w:sz w:val="18"/>
          <w:szCs w:val="18"/>
          <w:color w:val="auto"/>
        </w:rPr>
      </w:pPr>
    </w:p>
    <w:p>
      <w:pPr>
        <w:jc w:val="both"/>
        <w:ind w:left="1160" w:right="360" w:hanging="509"/>
        <w:spacing w:after="0" w:line="312" w:lineRule="auto"/>
        <w:tabs>
          <w:tab w:leader="none" w:pos="11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4" w:lineRule="exact"/>
        <w:rPr>
          <w:rFonts w:ascii="Times New Roman" w:cs="Times New Roman" w:eastAsia="Times New Roman" w:hAnsi="Times New Roman"/>
          <w:sz w:val="17"/>
          <w:szCs w:val="17"/>
          <w:color w:val="auto"/>
        </w:rPr>
      </w:pPr>
    </w:p>
    <w:p>
      <w:pPr>
        <w:ind w:left="1160" w:right="400" w:hanging="509"/>
        <w:spacing w:after="0" w:line="266" w:lineRule="auto"/>
        <w:tabs>
          <w:tab w:leader="none" w:pos="11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520" w:right="220" w:hanging="503"/>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spacing w:after="0" w:line="86" w:lineRule="exact"/>
        <w:rPr>
          <w:sz w:val="20"/>
          <w:szCs w:val="20"/>
          <w:color w:val="auto"/>
        </w:rPr>
      </w:pPr>
    </w:p>
    <w:p>
      <w:pPr>
        <w:ind w:left="1140" w:right="280" w:hanging="509"/>
        <w:spacing w:after="0" w:line="282"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6" w:lineRule="exact"/>
        <w:rPr>
          <w:rFonts w:ascii="Times New Roman" w:cs="Times New Roman" w:eastAsia="Times New Roman" w:hAnsi="Times New Roman"/>
          <w:sz w:val="18"/>
          <w:szCs w:val="18"/>
          <w:color w:val="auto"/>
        </w:rPr>
      </w:pPr>
    </w:p>
    <w:p>
      <w:pPr>
        <w:ind w:left="1140" w:hanging="509"/>
        <w:spacing w:after="0" w:line="282"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480" w:val="left"/>
          <w:tab w:leader="none" w:pos="600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17145</wp:posOffset>
            </wp:positionV>
            <wp:extent cx="330898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1313180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1440" w:right="65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Sravan Emany, certify that:</w:t>
      </w:r>
    </w:p>
    <w:p>
      <w:pPr>
        <w:spacing w:after="0" w:line="117" w:lineRule="exact"/>
        <w:rPr>
          <w:sz w:val="20"/>
          <w:szCs w:val="20"/>
          <w:color w:val="auto"/>
        </w:rPr>
      </w:pPr>
    </w:p>
    <w:p>
      <w:pPr>
        <w:ind w:left="520" w:hanging="503"/>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Beam Therapeutics Inc.;</w:t>
      </w:r>
    </w:p>
    <w:p>
      <w:pPr>
        <w:spacing w:after="0" w:line="360"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0" w:lineRule="exact"/>
        <w:rPr>
          <w:rFonts w:ascii="Times New Roman" w:cs="Times New Roman" w:eastAsia="Times New Roman" w:hAnsi="Times New Roman"/>
          <w:sz w:val="18"/>
          <w:szCs w:val="18"/>
          <w:color w:val="auto"/>
        </w:rPr>
      </w:pPr>
    </w:p>
    <w:p>
      <w:pPr>
        <w:ind w:left="520" w:right="200" w:hanging="503"/>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6" w:lineRule="exact"/>
        <w:rPr>
          <w:rFonts w:ascii="Times New Roman" w:cs="Times New Roman" w:eastAsia="Times New Roman" w:hAnsi="Times New Roman"/>
          <w:sz w:val="18"/>
          <w:szCs w:val="18"/>
          <w:color w:val="auto"/>
        </w:rPr>
      </w:pPr>
    </w:p>
    <w:p>
      <w:pPr>
        <w:jc w:val="both"/>
        <w:ind w:left="520" w:right="240" w:hanging="503"/>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Times New Roman" w:cs="Times New Roman" w:eastAsia="Times New Roman" w:hAnsi="Times New Roman"/>
          <w:sz w:val="18"/>
          <w:szCs w:val="18"/>
          <w:color w:val="auto"/>
        </w:rPr>
      </w:pPr>
    </w:p>
    <w:p>
      <w:pPr>
        <w:ind w:left="1160" w:right="280" w:hanging="509"/>
        <w:spacing w:after="0" w:line="266" w:lineRule="auto"/>
        <w:tabs>
          <w:tab w:leader="none" w:pos="1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0" w:lineRule="exact"/>
        <w:rPr>
          <w:rFonts w:ascii="Times New Roman" w:cs="Times New Roman" w:eastAsia="Times New Roman" w:hAnsi="Times New Roman"/>
          <w:sz w:val="18"/>
          <w:szCs w:val="18"/>
          <w:color w:val="auto"/>
        </w:rPr>
      </w:pPr>
    </w:p>
    <w:p>
      <w:pPr>
        <w:ind w:left="1160" w:right="200" w:hanging="509"/>
        <w:spacing w:after="0" w:line="266" w:lineRule="auto"/>
        <w:tabs>
          <w:tab w:leader="none" w:pos="1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0" w:lineRule="exact"/>
        <w:rPr>
          <w:rFonts w:ascii="Times New Roman" w:cs="Times New Roman" w:eastAsia="Times New Roman" w:hAnsi="Times New Roman"/>
          <w:sz w:val="18"/>
          <w:szCs w:val="18"/>
          <w:color w:val="auto"/>
        </w:rPr>
      </w:pPr>
    </w:p>
    <w:p>
      <w:pPr>
        <w:jc w:val="both"/>
        <w:ind w:left="1160" w:right="360" w:hanging="509"/>
        <w:spacing w:after="0" w:line="312" w:lineRule="auto"/>
        <w:tabs>
          <w:tab w:leader="none" w:pos="116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4" w:lineRule="exact"/>
        <w:rPr>
          <w:rFonts w:ascii="Times New Roman" w:cs="Times New Roman" w:eastAsia="Times New Roman" w:hAnsi="Times New Roman"/>
          <w:sz w:val="17"/>
          <w:szCs w:val="17"/>
          <w:color w:val="auto"/>
        </w:rPr>
      </w:pPr>
    </w:p>
    <w:p>
      <w:pPr>
        <w:ind w:left="1160" w:right="400" w:hanging="509"/>
        <w:spacing w:after="0" w:line="266" w:lineRule="auto"/>
        <w:tabs>
          <w:tab w:leader="none" w:pos="1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Times New Roman" w:cs="Times New Roman" w:eastAsia="Times New Roman" w:hAnsi="Times New Roman"/>
          <w:sz w:val="18"/>
          <w:szCs w:val="18"/>
          <w:color w:val="auto"/>
        </w:rPr>
      </w:pPr>
    </w:p>
    <w:p>
      <w:pPr>
        <w:ind w:left="520" w:right="220" w:hanging="503"/>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6" w:lineRule="exact"/>
        <w:rPr>
          <w:rFonts w:ascii="Times New Roman" w:cs="Times New Roman" w:eastAsia="Times New Roman" w:hAnsi="Times New Roman"/>
          <w:sz w:val="18"/>
          <w:szCs w:val="18"/>
          <w:color w:val="auto"/>
        </w:rPr>
      </w:pPr>
    </w:p>
    <w:p>
      <w:pPr>
        <w:ind w:left="1160" w:right="600" w:hanging="509"/>
        <w:spacing w:after="0" w:line="282" w:lineRule="auto"/>
        <w:tabs>
          <w:tab w:leader="none" w:pos="1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6" w:lineRule="exact"/>
        <w:rPr>
          <w:rFonts w:ascii="Times New Roman" w:cs="Times New Roman" w:eastAsia="Times New Roman" w:hAnsi="Times New Roman"/>
          <w:sz w:val="18"/>
          <w:szCs w:val="18"/>
          <w:color w:val="auto"/>
        </w:rPr>
      </w:pPr>
    </w:p>
    <w:p>
      <w:pPr>
        <w:ind w:left="1160" w:right="320" w:hanging="509"/>
        <w:spacing w:after="0" w:line="282" w:lineRule="auto"/>
        <w:tabs>
          <w:tab w:leader="none" w:pos="1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5" w:name="page176"/>
    <w:bookmarkEnd w:id="175"/>
    <w:p>
      <w:pPr>
        <w:spacing w:after="0" w:line="113" w:lineRule="exact"/>
        <w:rPr>
          <w:sz w:val="20"/>
          <w:szCs w:val="20"/>
          <w:color w:val="auto"/>
        </w:rPr>
      </w:pPr>
    </w:p>
    <w:p>
      <w:pPr>
        <w:spacing w:after="0"/>
        <w:tabs>
          <w:tab w:leader="none" w:pos="5480" w:val="left"/>
          <w:tab w:leader="none" w:pos="596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tab/>
        <w:t>/s/ Sravan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17145</wp:posOffset>
            </wp:positionV>
            <wp:extent cx="33261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Sravan Emany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1184910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Beam Therapeutics Inc. (the “Company”) on Form 10-K for the period ended December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900" w:hanging="359"/>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560" w:val="left"/>
          <w:tab w:leader="none" w:pos="600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Beam Therapeutics Inc. (the “Company”) on Form 10-K for the period ended December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560" w:val="left"/>
          <w:tab w:leader="none" w:pos="600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Sravan Emany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Sravan Emany</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8" w:name="page179"/>
    <w:bookmarkEnd w:id="1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lowerRoman"/>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lowerRoman"/>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1)"/>
      <w:numFmt w:val="lowerRoman"/>
      <w:start w:val="3"/>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
      <w:numFmt w:val="bullet"/>
      <w:start w:val="1"/>
    </w:lvl>
    <w:lvl w:ilvl="1">
      <w:lvlJc w:val="left"/>
      <w:lvlText w:val="•"/>
      <w:numFmt w:val="bullet"/>
      <w:start w:val="1"/>
    </w:lvl>
  </w:abstractNum>
  <w:abstractNum w:abstractNumId="72">
    <w:nsid w:val="7BD3EE7B"/>
    <w:multiLevelType w:val="hybridMultilevel"/>
    <w:lvl w:ilvl="0">
      <w:lvlJc w:val="left"/>
      <w:lvlText w:val="%1."/>
      <w:numFmt w:val="decimal"/>
      <w:start w:val="1"/>
    </w:lvl>
    <w:lvl w:ilvl="1">
      <w:lvlJc w:val="left"/>
      <w:lvlText w:val="(%2)"/>
      <w:numFmt w:val="lowerLetter"/>
      <w:start w:val="1"/>
    </w:lvl>
  </w:abstractNum>
  <w:abstractNum w:abstractNumId="73">
    <w:nsid w:val="51D9C564"/>
    <w:multiLevelType w:val="hybridMultilevel"/>
    <w:lvl w:ilvl="0">
      <w:lvlJc w:val="left"/>
      <w:lvlText w:val="(%1)"/>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5"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5"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png"/><Relationship Id="rId286" Type="http://schemas.openxmlformats.org/officeDocument/2006/relationships/image" Target="media/image230.png"/><Relationship Id="rId287" Type="http://schemas.openxmlformats.org/officeDocument/2006/relationships/image" Target="media/image231.png"/><Relationship Id="rId288" Type="http://schemas.openxmlformats.org/officeDocument/2006/relationships/image" Target="media/image232.png"/><Relationship Id="rId289" Type="http://schemas.openxmlformats.org/officeDocument/2006/relationships/image" Target="media/image233.png"/><Relationship Id="rId290" Type="http://schemas.openxmlformats.org/officeDocument/2006/relationships/image" Target="media/image234.png"/><Relationship Id="rId291" Type="http://schemas.openxmlformats.org/officeDocument/2006/relationships/image" Target="media/image235.png"/><Relationship Id="rId292"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pn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18" Type="http://schemas.openxmlformats.org/officeDocument/2006/relationships/image" Target="media/image262.png"/><Relationship Id="rId319" Type="http://schemas.openxmlformats.org/officeDocument/2006/relationships/image" Target="media/image263.png"/><Relationship Id="rId320" Type="http://schemas.openxmlformats.org/officeDocument/2006/relationships/image" Target="media/image264.pn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png"/><Relationship Id="rId324" Type="http://schemas.openxmlformats.org/officeDocument/2006/relationships/image" Target="media/image268.png"/><Relationship Id="rId325" Type="http://schemas.openxmlformats.org/officeDocument/2006/relationships/image" Target="media/image269.png"/><Relationship Id="rId326" Type="http://schemas.openxmlformats.org/officeDocument/2006/relationships/image" Target="media/image270.png"/><Relationship Id="rId327" Type="http://schemas.openxmlformats.org/officeDocument/2006/relationships/image" Target="media/image271.png"/><Relationship Id="rId328" Type="http://schemas.openxmlformats.org/officeDocument/2006/relationships/image" Target="media/image272.png"/><Relationship Id="rId329" Type="http://schemas.openxmlformats.org/officeDocument/2006/relationships/image" Target="media/image273.png"/><Relationship Id="rId330" Type="http://schemas.openxmlformats.org/officeDocument/2006/relationships/image" Target="media/image274.png"/><Relationship Id="rId331" Type="http://schemas.openxmlformats.org/officeDocument/2006/relationships/image" Target="media/image275.png"/><Relationship Id="rId332" Type="http://schemas.openxmlformats.org/officeDocument/2006/relationships/image" Target="media/image276.png"/><Relationship Id="rId333" Type="http://schemas.openxmlformats.org/officeDocument/2006/relationships/image" Target="media/image277.png"/><Relationship Id="rId334" Type="http://schemas.openxmlformats.org/officeDocument/2006/relationships/image" Target="media/image278.png"/><Relationship Id="rId335" Type="http://schemas.openxmlformats.org/officeDocument/2006/relationships/image" Target="media/image279.png"/><Relationship Id="rId336" Type="http://schemas.openxmlformats.org/officeDocument/2006/relationships/image" Target="media/image280.png"/><Relationship Id="rId337" Type="http://schemas.openxmlformats.org/officeDocument/2006/relationships/image" Target="media/image281.png"/><Relationship Id="rId338" Type="http://schemas.openxmlformats.org/officeDocument/2006/relationships/image" Target="media/image282.png"/><Relationship Id="rId339" Type="http://schemas.openxmlformats.org/officeDocument/2006/relationships/image" Target="media/image283.png"/><Relationship Id="rId340" Type="http://schemas.openxmlformats.org/officeDocument/2006/relationships/image" Target="media/image284.png"/><Relationship Id="rId341" Type="http://schemas.openxmlformats.org/officeDocument/2006/relationships/image" Target="media/image285.png"/><Relationship Id="rId342" Type="http://schemas.openxmlformats.org/officeDocument/2006/relationships/image" Target="media/image286.png"/><Relationship Id="rId343" Type="http://schemas.openxmlformats.org/officeDocument/2006/relationships/image" Target="media/image287.png"/><Relationship Id="rId344" Type="http://schemas.openxmlformats.org/officeDocument/2006/relationships/image" Target="media/image288.png"/><Relationship Id="rId345" Type="http://schemas.openxmlformats.org/officeDocument/2006/relationships/image" Target="media/image289.png"/><Relationship Id="rId346" Type="http://schemas.openxmlformats.org/officeDocument/2006/relationships/image" Target="media/image290.png"/><Relationship Id="rId347" Type="http://schemas.openxmlformats.org/officeDocument/2006/relationships/image" Target="media/image291.png"/><Relationship Id="rId348" Type="http://schemas.openxmlformats.org/officeDocument/2006/relationships/image" Target="media/image292.png"/><Relationship Id="rId349" Type="http://schemas.openxmlformats.org/officeDocument/2006/relationships/image" Target="media/image293.png"/><Relationship Id="rId350" Type="http://schemas.openxmlformats.org/officeDocument/2006/relationships/image" Target="media/image294.png"/><Relationship Id="rId351" Type="http://schemas.openxmlformats.org/officeDocument/2006/relationships/image" Target="media/image295.png"/><Relationship Id="rId352" Type="http://schemas.openxmlformats.org/officeDocument/2006/relationships/image" Target="media/image296.png"/><Relationship Id="rId353" Type="http://schemas.openxmlformats.org/officeDocument/2006/relationships/image" Target="media/image297.png"/><Relationship Id="rId354" Type="http://schemas.openxmlformats.org/officeDocument/2006/relationships/image" Target="media/image298.png"/><Relationship Id="rId355" Type="http://schemas.openxmlformats.org/officeDocument/2006/relationships/image" Target="media/image299.png"/><Relationship Id="rId356" Type="http://schemas.openxmlformats.org/officeDocument/2006/relationships/image" Target="media/image300.png"/><Relationship Id="rId357" Type="http://schemas.openxmlformats.org/officeDocument/2006/relationships/image" Target="media/image301.png"/><Relationship Id="rId358" Type="http://schemas.openxmlformats.org/officeDocument/2006/relationships/image" Target="media/image302.png"/><Relationship Id="rId359" Type="http://schemas.openxmlformats.org/officeDocument/2006/relationships/image" Target="media/image303.png"/><Relationship Id="rId360" Type="http://schemas.openxmlformats.org/officeDocument/2006/relationships/image" Target="media/image304.png"/><Relationship Id="rId361" Type="http://schemas.openxmlformats.org/officeDocument/2006/relationships/image" Target="media/image305.png"/><Relationship Id="rId362" Type="http://schemas.openxmlformats.org/officeDocument/2006/relationships/image" Target="media/image306.png"/><Relationship Id="rId363" Type="http://schemas.openxmlformats.org/officeDocument/2006/relationships/image" Target="media/image307.png"/><Relationship Id="rId364" Type="http://schemas.openxmlformats.org/officeDocument/2006/relationships/image" Target="media/image308.png"/><Relationship Id="rId365" Type="http://schemas.openxmlformats.org/officeDocument/2006/relationships/image" Target="media/image309.png"/><Relationship Id="rId366" Type="http://schemas.openxmlformats.org/officeDocument/2006/relationships/image" Target="media/image310.png"/><Relationship Id="rId367" Type="http://schemas.openxmlformats.org/officeDocument/2006/relationships/image" Target="media/image311.png"/><Relationship Id="rId368" Type="http://schemas.openxmlformats.org/officeDocument/2006/relationships/image" Target="media/image312.png"/><Relationship Id="rId369" Type="http://schemas.openxmlformats.org/officeDocument/2006/relationships/image" Target="media/image313.png"/><Relationship Id="rId370" Type="http://schemas.openxmlformats.org/officeDocument/2006/relationships/image" Target="media/image314.png"/><Relationship Id="rId371" Type="http://schemas.openxmlformats.org/officeDocument/2006/relationships/image" Target="media/image315.png"/><Relationship Id="rId372" Type="http://schemas.openxmlformats.org/officeDocument/2006/relationships/image" Target="media/image316.png"/><Relationship Id="rId373" Type="http://schemas.openxmlformats.org/officeDocument/2006/relationships/image" Target="media/image317.png"/><Relationship Id="rId374" Type="http://schemas.openxmlformats.org/officeDocument/2006/relationships/image" Target="media/image318.png"/><Relationship Id="rId375" Type="http://schemas.openxmlformats.org/officeDocument/2006/relationships/image" Target="media/image319.png"/><Relationship Id="rId376" Type="http://schemas.openxmlformats.org/officeDocument/2006/relationships/image" Target="media/image320.png"/><Relationship Id="rId377" Type="http://schemas.openxmlformats.org/officeDocument/2006/relationships/image" Target="media/image321.png"/><Relationship Id="rId378" Type="http://schemas.openxmlformats.org/officeDocument/2006/relationships/image" Target="media/image322.png"/><Relationship Id="rId379" Type="http://schemas.openxmlformats.org/officeDocument/2006/relationships/image" Target="media/image323.png"/><Relationship Id="rId380" Type="http://schemas.openxmlformats.org/officeDocument/2006/relationships/image" Target="media/image324.png"/><Relationship Id="rId381" Type="http://schemas.openxmlformats.org/officeDocument/2006/relationships/image" Target="media/image325.png"/><Relationship Id="rId382" Type="http://schemas.openxmlformats.org/officeDocument/2006/relationships/image" Target="media/image326.png"/><Relationship Id="rId383" Type="http://schemas.openxmlformats.org/officeDocument/2006/relationships/image" Target="media/image327.png"/><Relationship Id="rId384" Type="http://schemas.openxmlformats.org/officeDocument/2006/relationships/image" Target="media/image328.png"/><Relationship Id="rId385" Type="http://schemas.openxmlformats.org/officeDocument/2006/relationships/image" Target="media/image329.png"/><Relationship Id="rId386" Type="http://schemas.openxmlformats.org/officeDocument/2006/relationships/image" Target="media/image330.png"/><Relationship Id="rId387" Type="http://schemas.openxmlformats.org/officeDocument/2006/relationships/image" Target="media/image331.png"/><Relationship Id="rId388" Type="http://schemas.openxmlformats.org/officeDocument/2006/relationships/image" Target="media/image332.png"/><Relationship Id="rId389" Type="http://schemas.openxmlformats.org/officeDocument/2006/relationships/image" Target="media/image333.png"/><Relationship Id="rId390" Type="http://schemas.openxmlformats.org/officeDocument/2006/relationships/image" Target="media/image334.png"/><Relationship Id="rId391" Type="http://schemas.openxmlformats.org/officeDocument/2006/relationships/image" Target="media/image335.png"/><Relationship Id="rId392" Type="http://schemas.openxmlformats.org/officeDocument/2006/relationships/image" Target="media/image336.png"/><Relationship Id="rId393" Type="http://schemas.openxmlformats.org/officeDocument/2006/relationships/image" Target="media/image337.png"/><Relationship Id="rId394" Type="http://schemas.openxmlformats.org/officeDocument/2006/relationships/image" Target="media/image338.png"/><Relationship Id="rId395" Type="http://schemas.openxmlformats.org/officeDocument/2006/relationships/image" Target="media/image339.png"/><Relationship Id="rId396" Type="http://schemas.openxmlformats.org/officeDocument/2006/relationships/image" Target="media/image340.png"/><Relationship Id="rId397" Type="http://schemas.openxmlformats.org/officeDocument/2006/relationships/image" Target="media/image341.png"/><Relationship Id="rId398" Type="http://schemas.openxmlformats.org/officeDocument/2006/relationships/image" Target="media/image342.png"/><Relationship Id="rId399" Type="http://schemas.openxmlformats.org/officeDocument/2006/relationships/image" Target="media/image343.png"/><Relationship Id="rId400" Type="http://schemas.openxmlformats.org/officeDocument/2006/relationships/image" Target="media/image344.png"/><Relationship Id="rId401" Type="http://schemas.openxmlformats.org/officeDocument/2006/relationships/image" Target="media/image345.png"/><Relationship Id="rId402" Type="http://schemas.openxmlformats.org/officeDocument/2006/relationships/image" Target="media/image346.png"/><Relationship Id="rId403" Type="http://schemas.openxmlformats.org/officeDocument/2006/relationships/image" Target="media/image347.png"/><Relationship Id="rId404" Type="http://schemas.openxmlformats.org/officeDocument/2006/relationships/image" Target="media/image348.png"/><Relationship Id="rId405" Type="http://schemas.openxmlformats.org/officeDocument/2006/relationships/image" Target="media/image349.png"/><Relationship Id="rId406" Type="http://schemas.openxmlformats.org/officeDocument/2006/relationships/image" Target="media/image350.png"/><Relationship Id="rId407" Type="http://schemas.openxmlformats.org/officeDocument/2006/relationships/image" Target="media/image351.png"/><Relationship Id="rId408" Type="http://schemas.openxmlformats.org/officeDocument/2006/relationships/image" Target="media/image352.png"/><Relationship Id="rId409" Type="http://schemas.openxmlformats.org/officeDocument/2006/relationships/image" Target="media/image353.png"/><Relationship Id="rId410" Type="http://schemas.openxmlformats.org/officeDocument/2006/relationships/image" Target="media/image354.png"/><Relationship Id="rId411" Type="http://schemas.openxmlformats.org/officeDocument/2006/relationships/image" Target="media/image355.png"/><Relationship Id="rId412" Type="http://schemas.openxmlformats.org/officeDocument/2006/relationships/image" Target="media/image356.png"/><Relationship Id="rId413" Type="http://schemas.openxmlformats.org/officeDocument/2006/relationships/image" Target="media/image357.png"/><Relationship Id="rId414" Type="http://schemas.openxmlformats.org/officeDocument/2006/relationships/image" Target="media/image358.png"/><Relationship Id="rId415" Type="http://schemas.openxmlformats.org/officeDocument/2006/relationships/image" Target="media/image359.png"/><Relationship Id="rId416" Type="http://schemas.openxmlformats.org/officeDocument/2006/relationships/image" Target="media/image360.png"/><Relationship Id="rId417" Type="http://schemas.openxmlformats.org/officeDocument/2006/relationships/image" Target="media/image361.png"/><Relationship Id="rId418" Type="http://schemas.openxmlformats.org/officeDocument/2006/relationships/image" Target="media/image362.png"/><Relationship Id="rId419" Type="http://schemas.openxmlformats.org/officeDocument/2006/relationships/image" Target="media/image363.png"/><Relationship Id="rId420" Type="http://schemas.openxmlformats.org/officeDocument/2006/relationships/image" Target="media/image364.png"/><Relationship Id="rId421" Type="http://schemas.openxmlformats.org/officeDocument/2006/relationships/image" Target="media/image365.png"/><Relationship Id="rId422" Type="http://schemas.openxmlformats.org/officeDocument/2006/relationships/image" Target="media/image366.png"/><Relationship Id="rId423" Type="http://schemas.openxmlformats.org/officeDocument/2006/relationships/image" Target="media/image367.png"/><Relationship Id="rId424" Type="http://schemas.openxmlformats.org/officeDocument/2006/relationships/image" Target="media/image368.png"/><Relationship Id="rId425" Type="http://schemas.openxmlformats.org/officeDocument/2006/relationships/image" Target="media/image369.png"/><Relationship Id="rId426" Type="http://schemas.openxmlformats.org/officeDocument/2006/relationships/image" Target="media/image370.png"/><Relationship Id="rId427" Type="http://schemas.openxmlformats.org/officeDocument/2006/relationships/image" Target="media/image371.png"/><Relationship Id="rId428" Type="http://schemas.openxmlformats.org/officeDocument/2006/relationships/image" Target="media/image372.png"/><Relationship Id="rId429" Type="http://schemas.openxmlformats.org/officeDocument/2006/relationships/image" Target="media/image373.png"/><Relationship Id="rId430" Type="http://schemas.openxmlformats.org/officeDocument/2006/relationships/image" Target="media/image374.png"/><Relationship Id="rId431" Type="http://schemas.openxmlformats.org/officeDocument/2006/relationships/image" Target="media/image375.png"/><Relationship Id="rId432" Type="http://schemas.openxmlformats.org/officeDocument/2006/relationships/image" Target="media/image376.png"/><Relationship Id="rId433" Type="http://schemas.openxmlformats.org/officeDocument/2006/relationships/image" Target="media/image377.png"/><Relationship Id="rId434" Type="http://schemas.openxmlformats.org/officeDocument/2006/relationships/image" Target="media/image378.png"/><Relationship Id="rId435" Type="http://schemas.openxmlformats.org/officeDocument/2006/relationships/image" Target="media/image379.png"/><Relationship Id="rId436" Type="http://schemas.openxmlformats.org/officeDocument/2006/relationships/image" Target="media/image380.png"/><Relationship Id="rId437" Type="http://schemas.openxmlformats.org/officeDocument/2006/relationships/image" Target="media/image381.png"/><Relationship Id="rId438" Type="http://schemas.openxmlformats.org/officeDocument/2006/relationships/image" Target="media/image382.png"/><Relationship Id="rId439" Type="http://schemas.openxmlformats.org/officeDocument/2006/relationships/image" Target="media/image383.png"/><Relationship Id="rId440" Type="http://schemas.openxmlformats.org/officeDocument/2006/relationships/image" Target="media/image384.png"/><Relationship Id="rId441" Type="http://schemas.openxmlformats.org/officeDocument/2006/relationships/image" Target="media/image385.png"/><Relationship Id="rId442" Type="http://schemas.openxmlformats.org/officeDocument/2006/relationships/image" Target="media/image386.png"/><Relationship Id="rId443" Type="http://schemas.openxmlformats.org/officeDocument/2006/relationships/image" Target="media/image387.png"/><Relationship Id="rId444" Type="http://schemas.openxmlformats.org/officeDocument/2006/relationships/image" Target="media/image388.png"/><Relationship Id="rId445" Type="http://schemas.openxmlformats.org/officeDocument/2006/relationships/image" Target="media/image389.png"/><Relationship Id="rId446" Type="http://schemas.openxmlformats.org/officeDocument/2006/relationships/image" Target="media/image390.png"/><Relationship Id="rId447" Type="http://schemas.openxmlformats.org/officeDocument/2006/relationships/image" Target="media/image391.png"/><Relationship Id="rId448" Type="http://schemas.openxmlformats.org/officeDocument/2006/relationships/image" Target="media/image392.png"/><Relationship Id="rId449" Type="http://schemas.openxmlformats.org/officeDocument/2006/relationships/image" Target="media/image393.png"/><Relationship Id="rId450" Type="http://schemas.openxmlformats.org/officeDocument/2006/relationships/image" Target="media/image394.png"/><Relationship Id="rId451" Type="http://schemas.openxmlformats.org/officeDocument/2006/relationships/image" Target="media/image395.png"/><Relationship Id="rId452" Type="http://schemas.openxmlformats.org/officeDocument/2006/relationships/image" Target="media/image396.png"/><Relationship Id="rId453" Type="http://schemas.openxmlformats.org/officeDocument/2006/relationships/image" Target="media/image397.png"/><Relationship Id="rId454" Type="http://schemas.openxmlformats.org/officeDocument/2006/relationships/image" Target="media/image398.png"/><Relationship Id="rId455" Type="http://schemas.openxmlformats.org/officeDocument/2006/relationships/image" Target="media/image399.png"/><Relationship Id="rId456" Type="http://schemas.openxmlformats.org/officeDocument/2006/relationships/image" Target="media/image400.png"/><Relationship Id="rId457" Type="http://schemas.openxmlformats.org/officeDocument/2006/relationships/image" Target="media/image401.png"/><Relationship Id="rId458" Type="http://schemas.openxmlformats.org/officeDocument/2006/relationships/image" Target="media/image402.png"/><Relationship Id="rId459" Type="http://schemas.openxmlformats.org/officeDocument/2006/relationships/image" Target="media/image403.png"/><Relationship Id="rId460" Type="http://schemas.openxmlformats.org/officeDocument/2006/relationships/image" Target="media/image404.png"/><Relationship Id="rId461" Type="http://schemas.openxmlformats.org/officeDocument/2006/relationships/image" Target="media/image405.png"/><Relationship Id="rId462" Type="http://schemas.openxmlformats.org/officeDocument/2006/relationships/image" Target="media/image406.png"/><Relationship Id="rId463" Type="http://schemas.openxmlformats.org/officeDocument/2006/relationships/image" Target="media/image407.png"/><Relationship Id="rId464" Type="http://schemas.openxmlformats.org/officeDocument/2006/relationships/image" Target="media/image408.png"/><Relationship Id="rId465" Type="http://schemas.openxmlformats.org/officeDocument/2006/relationships/image" Target="media/image409.png"/><Relationship Id="rId466" Type="http://schemas.openxmlformats.org/officeDocument/2006/relationships/image" Target="media/image410.png"/><Relationship Id="rId467" Type="http://schemas.openxmlformats.org/officeDocument/2006/relationships/image" Target="media/image411.png"/><Relationship Id="rId468" Type="http://schemas.openxmlformats.org/officeDocument/2006/relationships/image" Target="media/image412.png"/><Relationship Id="rId469" Type="http://schemas.openxmlformats.org/officeDocument/2006/relationships/image" Target="media/image413.png"/><Relationship Id="rId470" Type="http://schemas.openxmlformats.org/officeDocument/2006/relationships/image" Target="media/image414.png"/><Relationship Id="rId471" Type="http://schemas.openxmlformats.org/officeDocument/2006/relationships/image" Target="media/image415.png"/><Relationship Id="rId472" Type="http://schemas.openxmlformats.org/officeDocument/2006/relationships/image" Target="media/image416.png"/><Relationship Id="rId473" Type="http://schemas.openxmlformats.org/officeDocument/2006/relationships/image" Target="media/image417.png"/><Relationship Id="rId474" Type="http://schemas.openxmlformats.org/officeDocument/2006/relationships/image" Target="media/image418.png"/><Relationship Id="rId475" Type="http://schemas.openxmlformats.org/officeDocument/2006/relationships/image" Target="media/image419.png"/><Relationship Id="rId476" Type="http://schemas.openxmlformats.org/officeDocument/2006/relationships/image" Target="media/image420.png"/><Relationship Id="rId477" Type="http://schemas.openxmlformats.org/officeDocument/2006/relationships/image" Target="media/image421.png"/><Relationship Id="rId478" Type="http://schemas.openxmlformats.org/officeDocument/2006/relationships/image" Target="media/image422.png"/><Relationship Id="rId479" Type="http://schemas.openxmlformats.org/officeDocument/2006/relationships/image" Target="media/image423.png"/><Relationship Id="rId480" Type="http://schemas.openxmlformats.org/officeDocument/2006/relationships/image" Target="media/image424.png"/><Relationship Id="rId481" Type="http://schemas.openxmlformats.org/officeDocument/2006/relationships/image" Target="media/image425.png"/><Relationship Id="rId482" Type="http://schemas.openxmlformats.org/officeDocument/2006/relationships/image" Target="media/image426.png"/><Relationship Id="rId483" Type="http://schemas.openxmlformats.org/officeDocument/2006/relationships/image" Target="media/image427.png"/><Relationship Id="rId484" Type="http://schemas.openxmlformats.org/officeDocument/2006/relationships/image" Target="media/image428.png"/><Relationship Id="rId485" Type="http://schemas.openxmlformats.org/officeDocument/2006/relationships/image" Target="media/image429.png"/><Relationship Id="rId486" Type="http://schemas.openxmlformats.org/officeDocument/2006/relationships/image" Target="media/image430.png"/><Relationship Id="rId487" Type="http://schemas.openxmlformats.org/officeDocument/2006/relationships/image" Target="media/image431.png"/><Relationship Id="rId488" Type="http://schemas.openxmlformats.org/officeDocument/2006/relationships/image" Target="media/image432.png"/><Relationship Id="rId489" Type="http://schemas.openxmlformats.org/officeDocument/2006/relationships/image" Target="media/image433.png"/><Relationship Id="rId490" Type="http://schemas.openxmlformats.org/officeDocument/2006/relationships/image" Target="media/image434.png"/><Relationship Id="rId491" Type="http://schemas.openxmlformats.org/officeDocument/2006/relationships/image" Target="media/image435.png"/><Relationship Id="rId492" Type="http://schemas.openxmlformats.org/officeDocument/2006/relationships/image" Target="media/image436.png"/><Relationship Id="rId493" Type="http://schemas.openxmlformats.org/officeDocument/2006/relationships/image" Target="media/image437.png"/><Relationship Id="rId494" Type="http://schemas.openxmlformats.org/officeDocument/2006/relationships/image" Target="media/image438.png"/><Relationship Id="rId495" Type="http://schemas.openxmlformats.org/officeDocument/2006/relationships/image" Target="media/image439.png"/><Relationship Id="rId496" Type="http://schemas.openxmlformats.org/officeDocument/2006/relationships/image" Target="media/image440.png"/><Relationship Id="rId497" Type="http://schemas.openxmlformats.org/officeDocument/2006/relationships/image" Target="media/image441.png"/><Relationship Id="rId498" Type="http://schemas.openxmlformats.org/officeDocument/2006/relationships/image" Target="media/image442.png"/><Relationship Id="rId499" Type="http://schemas.openxmlformats.org/officeDocument/2006/relationships/image" Target="media/image443.png"/><Relationship Id="rId163" Type="http://schemas.openxmlformats.org/officeDocument/2006/relationships/hyperlink" Target="https://www.sec.gov/Archives/edgar/data/1745999/000119312520031290/d842502dex31.htm" TargetMode="External"/><Relationship Id="rId164" Type="http://schemas.openxmlformats.org/officeDocument/2006/relationships/hyperlink" Target="https://www.sec.gov/Archives/edgar/data/1745999/000095017023004866/beam-ex3_2.htm" TargetMode="External"/><Relationship Id="rId165" Type="http://schemas.openxmlformats.org/officeDocument/2006/relationships/hyperlink" Target="https://www.sec.gov/Archives/edgar/data/1745999/000119312519257401/d734398dex41.htm" TargetMode="External"/><Relationship Id="rId166" Type="http://schemas.openxmlformats.org/officeDocument/2006/relationships/hyperlink" Target="https://www.sec.gov/Archives/edgar/data/0001745999/000119312521103074/d160079dex411.htm" TargetMode="External"/><Relationship Id="rId167" Type="http://schemas.openxmlformats.org/officeDocument/2006/relationships/hyperlink" Target="https://www.sec.gov/Archives/edgar/data/1745999/000119312525051072/d930164dex41.htm" TargetMode="External"/><Relationship Id="rId168" Type="http://schemas.openxmlformats.org/officeDocument/2006/relationships/hyperlink" Target="https://www.sec.gov/Archives/edgar/data/1745999/000119312519257401/d734398dex102.htm" TargetMode="External"/><Relationship Id="rId169" Type="http://schemas.openxmlformats.org/officeDocument/2006/relationships/hyperlink" Target="https://www.sec.gov/Archives/edgar/data/0001745999/000119312521103255/d161815dex11.htm" TargetMode="External"/><Relationship Id="rId170" Type="http://schemas.openxmlformats.org/officeDocument/2006/relationships/hyperlink" Target="https://www.sec.gov/Archives/edgar/data/1745999/000119312519257401/d734398dex104.htm" TargetMode="External"/><Relationship Id="rId171" Type="http://schemas.openxmlformats.org/officeDocument/2006/relationships/hyperlink" Target="https://www.sec.gov/Archives/edgar/data/0001745999/000156459021013190/beam-ex105_865.htm" TargetMode="External"/><Relationship Id="rId172" Type="http://schemas.openxmlformats.org/officeDocument/2006/relationships/hyperlink" Target="https://www.sec.gov/Archives/edgar/data/0001745999/000156459021013190/beam-ex106_866.htm" TargetMode="External"/><Relationship Id="rId173" Type="http://schemas.openxmlformats.org/officeDocument/2006/relationships/hyperlink" Target="https://www.sec.gov/Archives/edgar/data/1745999/000119312519257401/d734398dex106.htm" TargetMode="External"/><Relationship Id="rId174" Type="http://schemas.openxmlformats.org/officeDocument/2006/relationships/hyperlink" Target="https://www.sec.gov/Archives/edgar/data/0001745999/000156459021013190/beam-ex1010_868.htm" TargetMode="External"/><Relationship Id="rId175" Type="http://schemas.openxmlformats.org/officeDocument/2006/relationships/hyperlink" Target="https://www.sec.gov/Archives/edgar/data/0001745999/000156459021013190/beam-ex1011_159.htm" TargetMode="External"/><Relationship Id="rId176" Type="http://schemas.openxmlformats.org/officeDocument/2006/relationships/hyperlink" Target="https://www.sec.gov/Archives/edgar/data/1745999/000119312519257401/d734398dex107.htm" TargetMode="External"/><Relationship Id="rId177" Type="http://schemas.openxmlformats.org/officeDocument/2006/relationships/hyperlink" Target="https://www.sec.gov/Archives/edgar/data/1745999/000119312520014727/d221975dex108.htm" TargetMode="External"/><Relationship Id="rId178" Type="http://schemas.openxmlformats.org/officeDocument/2006/relationships/hyperlink" Target="https://www.sec.gov/Archives/edgar/data/1745999/000119312519257401/d734398dex1010.htm" TargetMode="External"/><Relationship Id="rId179" Type="http://schemas.openxmlformats.org/officeDocument/2006/relationships/hyperlink" Target="https://www.sec.gov/Archives/edgar/data/1745999/000119312519257401/d734398dex1011.htm" TargetMode="External"/><Relationship Id="rId182" Type="http://schemas.openxmlformats.org/officeDocument/2006/relationships/hyperlink" Target="https://www.sec.gov/Archives/edgar/data/1745999/000119312519257401/d734398dex1012.htm" TargetMode="External"/><Relationship Id="rId185" Type="http://schemas.openxmlformats.org/officeDocument/2006/relationships/hyperlink" Target="https://www.sec.gov/Archives/edgar/data/0001745999/000095017021001110/beam-20210630ex10_1.htm" TargetMode="External"/><Relationship Id="rId188" Type="http://schemas.openxmlformats.org/officeDocument/2006/relationships/hyperlink" Target="https://www.sec.gov/Archives/edgar/data/1745999/000119312520014727/d221975dex1014.htm" TargetMode="External"/><Relationship Id="rId191" Type="http://schemas.openxmlformats.org/officeDocument/2006/relationships/hyperlink" Target="https://www.sec.gov/Archives/edgar/data/1745999/000095017025026076/beam-ex10_18.htm" TargetMode="External"/><Relationship Id="rId194" Type="http://schemas.openxmlformats.org/officeDocument/2006/relationships/hyperlink" Target="https://www.sec.gov/Archives/edgar/data/1745999/000119312520014727/d221975dex1016.htm" TargetMode="External"/><Relationship Id="rId196" Type="http://schemas.openxmlformats.org/officeDocument/2006/relationships/hyperlink" Target="https://www.sec.gov/Archives/edgar/data/1745999/000119312520014727/d221975dex1017.htm" TargetMode="External"/><Relationship Id="rId199" Type="http://schemas.openxmlformats.org/officeDocument/2006/relationships/hyperlink" Target="https://www.sec.gov/Archives/edgar/data/1745999/000119312520014727/d221975dex1018.htm" TargetMode="External"/><Relationship Id="rId202" Type="http://schemas.openxmlformats.org/officeDocument/2006/relationships/hyperlink" Target="https://www.sec.gov/Archives/edgar/data/1745999/000119312520014727/d221975dex1019.htm" TargetMode="External"/><Relationship Id="rId205" Type="http://schemas.openxmlformats.org/officeDocument/2006/relationships/hyperlink" Target="https://www.sec.gov/Archives/edgar/data/0001745999/000156459021013190/beam-ex1025_407.htm" TargetMode="External"/><Relationship Id="rId208" Type="http://schemas.openxmlformats.org/officeDocument/2006/relationships/hyperlink" Target="https://www.sec.gov/Archives/edgar/data/0001745999/000156459021013190/beam-ex1026_406.htm" TargetMode="External"/><Relationship Id="rId211" Type="http://schemas.openxmlformats.org/officeDocument/2006/relationships/hyperlink" Target="https://www.sec.gov/Archives/edgar/data/1745999/000095017022002166/beam-ex10_27.htm" TargetMode="External"/><Relationship Id="rId214" Type="http://schemas.openxmlformats.org/officeDocument/2006/relationships/hyperlink" Target="https://www.sec.gov/Archives/edgar/data/1745999/000119312520014727/d221975dex1021.htm" TargetMode="External"/><Relationship Id="rId216" Type="http://schemas.openxmlformats.org/officeDocument/2006/relationships/hyperlink" Target="https://www.sec.gov/Archives/edgar/data/1745999/000095017025102393/beam-ex10_1.htm" TargetMode="External"/><Relationship Id="rId219" Type="http://schemas.openxmlformats.org/officeDocument/2006/relationships/hyperlink" Target="https://www.sec.gov/Archives/edgar/data/1745999/000156459020039490/beam-ex101_197.htm" TargetMode="External"/><Relationship Id="rId222" Type="http://schemas.openxmlformats.org/officeDocument/2006/relationships/hyperlink" Target="https://www.sec.gov/Archives/edgar/data/1745999/000095017022002166/beam-ex10_31.htm" TargetMode="External"/><Relationship Id="rId225" Type="http://schemas.openxmlformats.org/officeDocument/2006/relationships/hyperlink" Target="https://www.sec.gov/Archives/edgar/data/1745999/000095017022002166/beam-ex10_32.htm" TargetMode="External"/><Relationship Id="rId228" Type="http://schemas.openxmlformats.org/officeDocument/2006/relationships/hyperlink" Target="https://www.sec.gov/Archives/edgar/data/1745999/000095017022002166/beam-ex10_33.htm" TargetMode="External"/><Relationship Id="rId231" Type="http://schemas.openxmlformats.org/officeDocument/2006/relationships/hyperlink" Target="https://www.sec.gov/Archives/edgar/data/1745999/000119312521209865/d187752dex11.htm" TargetMode="External"/><Relationship Id="rId234" Type="http://schemas.openxmlformats.org/officeDocument/2006/relationships/hyperlink" Target="https://www.sec.gov/Archives/edgar/data/1745999/000095017023004866/beam-ex10_35.htm" TargetMode="External"/><Relationship Id="rId237" Type="http://schemas.openxmlformats.org/officeDocument/2006/relationships/hyperlink" Target="https://www.sec.gov/Archives/edgar/data/1745999/000095017023020090/beam-ex10_1.htm" TargetMode="External"/><Relationship Id="rId240" Type="http://schemas.openxmlformats.org/officeDocument/2006/relationships/hyperlink" Target="https://www.sec.gov/Archives/edgar/data/1745999/000095017023020090/beam-ex10_2.htm" TargetMode="External"/><Relationship Id="rId244" Type="http://schemas.openxmlformats.org/officeDocument/2006/relationships/hyperlink" Target="https://www.sec.gov/Archives/edgar/data/1745999/000119312523140832/d481853dex11.htm" TargetMode="External"/><Relationship Id="rId245" Type="http://schemas.openxmlformats.org/officeDocument/2006/relationships/hyperlink" Target="https://www.sec.gov/Archives/edgar/data/1745999/000095017024020622/beam-ex10_39.htm" TargetMode="External"/><Relationship Id="rId246" Type="http://schemas.openxmlformats.org/officeDocument/2006/relationships/hyperlink" Target="https://www.sec.gov/Archives/edgar/data/1745999/000095017024020622/beam-ex10_40.htm" TargetMode="External"/><Relationship Id="rId247" Type="http://schemas.openxmlformats.org/officeDocument/2006/relationships/hyperlink" Target="https://www.sec.gov/Archives/edgar/data/1745999/000095017024020622/beam-ex10_41.htm" TargetMode="External"/><Relationship Id="rId248" Type="http://schemas.openxmlformats.org/officeDocument/2006/relationships/hyperlink" Target="https://www.sec.gov/Archives/edgar/data/1745999/000095017024053939/beam-ex10_2.htm" TargetMode="External"/><Relationship Id="rId249" Type="http://schemas.openxmlformats.org/officeDocument/2006/relationships/hyperlink" Target="https://www.sec.gov/Archives/edgar/data/1745999/000095017024091242/beam-ex10_3.htm" TargetMode="External"/><Relationship Id="rId250" Type="http://schemas.openxmlformats.org/officeDocument/2006/relationships/hyperlink" Target="https://www.sec.gov/Archives/edgar/data/1745999/000095017025026076/beam-ex10_42.htm" TargetMode="External"/><Relationship Id="rId251" Type="http://schemas.openxmlformats.org/officeDocument/2006/relationships/hyperlink" Target="https://www.sec.gov/Archives/edgar/data/1745999/000119312526048684/beam-ex10_1.htm" TargetMode="External"/><Relationship Id="rId252" Type="http://schemas.openxmlformats.org/officeDocument/2006/relationships/hyperlink" Target="https://www.sec.gov/Archives/edgar/data/1745999/000095017025026076/beam-ex19_1.htm" TargetMode="External"/><Relationship Id="rId253" Type="http://schemas.openxmlformats.org/officeDocument/2006/relationships/hyperlink" Target="https://www.sec.gov/Archives/edgar/data/1745999/000095017022002166/beam-ex21_1.htm" TargetMode="External"/><Relationship Id="rId254" Type="http://schemas.openxmlformats.org/officeDocument/2006/relationships/hyperlink" Target="https://www.sec.gov/Archives/edgar/data/1745999/000095017024020622/beam-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2026-02-24T06:24:12Z</dcterms:created>
  <dcterms:modified xsi:type="dcterms:W3CDTF">2026-02-24T06:24:12Z</dcterms:modified>
</cp:coreProperties>
</file>