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Bellon Christine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80"/>
        <w:spacing w:after="0" w:line="308" w:lineRule="auto"/>
        <w:rPr>
          <w:sz w:val="20"/>
          <w:szCs w:val="20"/>
          <w:color w:val="auto"/>
        </w:rPr>
      </w:pPr>
      <w:r>
        <w:rPr>
          <w:rFonts w:ascii="Times New Roman" w:cs="Times New Roman" w:eastAsia="Times New Roman" w:hAnsi="Times New Roman"/>
          <w:sz w:val="17"/>
          <w:szCs w:val="17"/>
          <w:color w:val="0000FF"/>
        </w:rPr>
        <w:t>C/O BEAM THERAPEUTICS INC., 238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Beam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BEAM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25.92</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01/31/2025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01/31/2035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vests in equal monthly installments each month following the date of grant for the subsequent 48 months, subject to the Reporting Person's continued service with BEAM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02/03/2025</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3878"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2025-02-03T15:11:01Z</dcterms:created>
  <dcterms:modified xsi:type="dcterms:W3CDTF">2025-02-03T15:11:01Z</dcterms:modified>
</cp:coreProperties>
</file>