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07373V105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574,427.00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574,427.00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574,427.00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0"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0"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696,172.00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696,172.00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696,172.00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ectPr>
          <w:pgSz w:w="11900" w:h="16838" w:orient="portrait"/>
          <w:cols w:equalWidth="0" w:num="2">
            <w:col w:w="1060" w:space="60"/>
            <w:col w:w="8979"/>
          </w:cols>
          <w:pgMar w:left="360" w:top="0"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193,998.00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193,998.00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84,368.00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84,368.00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84,368.00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124,235.00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124,235.00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124,235.00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355"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1,387,018.00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1,387,018.00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1,387,018.00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79,868.00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79,868.00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79,868.00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304,036.00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304,036.00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1" w:right="1440" w:bottom="0" w:gutter="0" w:footer="0" w:header="0"/>
          <w:type w:val="continuous"/>
        </w:sectPr>
      </w:pPr>
    </w:p>
    <w:bookmarkStart w:id="6" w:name="page7"/>
    <w:bookmarkEnd w:id="6"/>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71"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4,795,001.00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4,795,001.00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71"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71" w:gutter="0" w:footer="0" w:header="0"/>
          <w:type w:val="continuous"/>
        </w:sectPr>
      </w:pPr>
    </w:p>
    <w:bookmarkStart w:id="7" w:name="page8"/>
    <w:bookmarkEnd w:id="7"/>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7,935,087.00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7,935,087.00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7,935,087.00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124,235.00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124,235.00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124,235.00</w:t>
      </w:r>
    </w:p>
    <w:p>
      <w:pPr>
        <w:sectPr>
          <w:pgSz w:w="11900" w:h="16838" w:orient="portrait"/>
          <w:cols w:equalWidth="0" w:num="1">
            <w:col w:w="10099"/>
          </w:cols>
          <w:pgMar w:left="360" w:top="126" w:right="1440" w:bottom="0" w:gutter="0" w:footer="0" w:header="0"/>
          <w:type w:val="continuous"/>
        </w:sectPr>
      </w:pPr>
    </w:p>
    <w:bookmarkStart w:id="8" w:name="page9"/>
    <w:bookmarkEnd w:id="8"/>
    <w:p>
      <w:pPr>
        <w:spacing w:after="0" w:line="5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304,036.00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304,036.00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2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11" w:right="1440" w:bottom="0" w:gutter="0" w:footer="0" w:header="0"/>
          <w:type w:val="continuous"/>
        </w:sectPr>
      </w:pPr>
    </w:p>
    <w:bookmarkStart w:id="9" w:name="page10"/>
    <w:bookmarkEnd w:id="9"/>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4,795,001.00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4,795,001.00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369" w:right="1440" w:bottom="0" w:gutter="0" w:footer="0" w:header="0"/>
          <w:type w:val="continuous"/>
        </w:sectPr>
      </w:pPr>
    </w:p>
    <w:bookmarkStart w:id="10" w:name="page11"/>
    <w:bookmarkEnd w:id="10"/>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8,239,123.00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7036"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7036"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right="6499" w:hanging="1112"/>
        <w:spacing w:after="0" w:line="415" w:lineRule="auto"/>
        <w:tabs>
          <w:tab w:leader="none" w:pos="11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 Dunn Hannah E.</w:t>
      </w:r>
    </w:p>
    <w:p>
      <w:pPr>
        <w:sectPr>
          <w:pgSz w:w="11900" w:h="17036" w:orient="portrait"/>
          <w:cols w:equalWidth="0" w:num="1">
            <w:col w:w="10099"/>
          </w:cols>
          <w:pgMar w:left="360" w:top="112" w:right="1440" w:bottom="0" w:gutter="0" w:footer="0" w:header="0"/>
          <w:type w:val="continuous"/>
        </w:sectPr>
      </w:pPr>
    </w:p>
    <w:bookmarkStart w:id="11" w:name="page12"/>
    <w:bookmarkEnd w:id="11"/>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66" w:right="1440" w:bottom="0" w:gutter="0" w:footer="0" w:header="0"/>
          <w:type w:val="continuous"/>
        </w:sectPr>
      </w:pPr>
    </w:p>
    <w:bookmarkStart w:id="12" w:name="page13"/>
    <w:bookmarkEnd w:id="12"/>
    <w:p>
      <w:pPr>
        <w:ind w:left="1120"/>
        <w:spacing w:after="0"/>
        <w:rPr>
          <w:sz w:val="20"/>
          <w:szCs w:val="20"/>
          <w:color w:val="auto"/>
        </w:rPr>
      </w:pPr>
      <w:r>
        <w:rPr>
          <w:rFonts w:ascii="Times New Roman" w:cs="Times New Roman" w:eastAsia="Times New Roman" w:hAnsi="Times New Roman"/>
          <w:sz w:val="22"/>
          <w:szCs w:val="22"/>
          <w:color w:val="auto"/>
        </w:rPr>
        <w:t>8,239,123.00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355" w:right="1440" w:bottom="0" w:gutter="0" w:footer="0" w:header="0"/>
          <w:type w:val="continuous"/>
        </w:sectPr>
      </w:pPr>
    </w:p>
    <w:bookmarkStart w:id="13" w:name="page14"/>
    <w:bookmarkEnd w:id="13"/>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14" w:name="page15"/>
    <w:bookmarkEnd w:id="14"/>
    <w:p>
      <w:pPr>
        <w:spacing w:after="0" w:line="51" w:lineRule="exact"/>
        <w:rPr>
          <w:sz w:val="20"/>
          <w:szCs w:val="20"/>
          <w:color w:val="auto"/>
        </w:rPr>
      </w:pPr>
    </w:p>
    <w:p>
      <w:pPr>
        <w:ind w:left="1120" w:right="3199" w:hanging="1112"/>
        <w:spacing w:after="0" w:line="371" w:lineRule="auto"/>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8,239,123.00</w:t>
      </w:r>
    </w:p>
    <w:p>
      <w:pPr>
        <w:jc w:val="right"/>
        <w:ind w:right="1399"/>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ectPr>
          <w:pgSz w:w="11900" w:h="16889" w:orient="portrait"/>
          <w:cols w:equalWidth="0" w:num="1">
            <w:col w:w="10099"/>
          </w:cols>
          <w:pgMar w:left="360" w:top="112"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2" w:right="1440" w:bottom="0" w:gutter="0" w:footer="0" w:header="0"/>
          <w:type w:val="continuous"/>
        </w:sectPr>
      </w:pPr>
    </w:p>
    <w:bookmarkStart w:id="15" w:name="page16"/>
    <w:bookmarkEnd w:id="15"/>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92" w:lineRule="auto"/>
        <w:rPr>
          <w:sz w:val="20"/>
          <w:szCs w:val="20"/>
          <w:color w:val="auto"/>
        </w:rPr>
      </w:pPr>
      <w:r>
        <w:rPr>
          <w:rFonts w:ascii="Times New Roman" w:cs="Times New Roman" w:eastAsia="Times New Roman" w:hAnsi="Times New Roman"/>
          <w:sz w:val="22"/>
          <w:szCs w:val="22"/>
          <w:color w:val="auto"/>
        </w:rPr>
        <w:t>With:</w:t>
      </w:r>
    </w:p>
    <w:p>
      <w:pPr>
        <w:ind w:left="1400" w:right="7059" w:hanging="231"/>
        <w:spacing w:after="0" w:line="237" w:lineRule="auto"/>
        <w:tabs>
          <w:tab w:leader="none" w:pos="1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ectPr>
          <w:pgSz w:w="11900" w:h="16838" w:orient="portrait"/>
          <w:cols w:equalWidth="0" w:num="1">
            <w:col w:w="10099"/>
          </w:cols>
          <w:pgMar w:left="360" w:top="355" w:right="1440" w:bottom="0" w:gutter="0" w:footer="0" w:header="0"/>
          <w:type w:val="continuous"/>
        </w:sectPr>
      </w:pPr>
    </w:p>
    <w:bookmarkStart w:id="16" w:name="page17"/>
    <w:bookmarkEnd w:id="16"/>
    <w:p>
      <w:pPr>
        <w:ind w:left="140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8,239,123.00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5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5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5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ectPr>
          <w:pgSz w:w="11900" w:h="16838" w:orient="portrait"/>
          <w:cols w:equalWidth="0" w:num="1">
            <w:col w:w="10099"/>
          </w:cols>
          <w:pgMar w:left="360" w:top="112" w:right="1440" w:bottom="50" w:gutter="0" w:footer="0" w:header="0"/>
          <w:type w:val="continuous"/>
        </w:sectPr>
      </w:pPr>
    </w:p>
    <w:bookmarkStart w:id="17" w:name="page18"/>
    <w:bookmarkEnd w:id="17"/>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4"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4"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With:</w:t>
      </w:r>
    </w:p>
    <w:p>
      <w:pPr>
        <w:sectPr>
          <w:pgSz w:w="11900" w:h="16844" w:orient="portrait"/>
          <w:cols w:equalWidth="0" w:num="1">
            <w:col w:w="10099"/>
          </w:cols>
          <w:pgMar w:left="360" w:top="639" w:right="1440" w:bottom="0" w:gutter="0" w:footer="0" w:header="0"/>
          <w:type w:val="continuous"/>
        </w:sectPr>
      </w:pPr>
    </w:p>
    <w:bookmarkStart w:id="18" w:name="page19"/>
    <w:bookmarkEnd w:id="18"/>
    <w:p>
      <w:pPr>
        <w:ind w:left="1400" w:right="7059" w:hanging="231"/>
        <w:spacing w:after="0" w:line="259" w:lineRule="auto"/>
        <w:tabs>
          <w:tab w:leader="none" w:pos="14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8,239,123.00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8,239,123.00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22" w:right="14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Person</w:t>
      </w:r>
    </w:p>
    <w:p>
      <w:pPr>
        <w:spacing w:after="0" w:line="183" w:lineRule="auto"/>
        <w:tabs>
          <w:tab w:leader="none" w:pos="1380" w:val="left"/>
        </w:tabs>
        <w:rPr>
          <w:sz w:val="20"/>
          <w:szCs w:val="20"/>
          <w:color w:val="auto"/>
        </w:rPr>
      </w:pPr>
      <w:r>
        <w:rPr>
          <w:rFonts w:ascii="Times New Roman" w:cs="Times New Roman" w:eastAsia="Times New Roman" w:hAnsi="Times New Roman"/>
          <w:sz w:val="32"/>
          <w:szCs w:val="32"/>
          <w:color w:val="auto"/>
          <w:vertAlign w:val="superscript"/>
        </w:rPr>
        <w:t>With:</w:t>
      </w:r>
      <w:r>
        <w:rPr>
          <w:sz w:val="20"/>
          <w:szCs w:val="20"/>
          <w:color w:val="auto"/>
        </w:rPr>
        <w:tab/>
      </w:r>
      <w:r>
        <w:rPr>
          <w:rFonts w:ascii="Times New Roman" w:cs="Times New Roman" w:eastAsia="Times New Roman" w:hAnsi="Times New Roman"/>
          <w:sz w:val="18"/>
          <w:szCs w:val="18"/>
          <w:color w:val="auto"/>
        </w:rPr>
        <w:t>Shared Dispositive</w:t>
      </w:r>
    </w:p>
    <w:p>
      <w:pPr>
        <w:ind w:left="1160"/>
        <w:spacing w:after="0" w:line="199"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8,239,123.00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6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8,239,123.00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8,239,123.00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8,239,123.00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1" w:right="1440" w:bottom="640" w:gutter="0" w:footer="0" w:header="0"/>
          <w:type w:val="continuous"/>
        </w:sectPr>
      </w:pPr>
    </w:p>
    <w:bookmarkStart w:id="21" w:name="page22"/>
    <w:bookmarkEnd w:id="21"/>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Beam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238 Main Street, Cambridge, Massachusetts, 02142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1"/>
          <w:szCs w:val="21"/>
          <w:color w:val="auto"/>
        </w:rPr>
        <w:t>This statement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w:t>
      </w:r>
    </w:p>
    <w:p>
      <w:pPr>
        <w:spacing w:after="0" w:line="4"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(vii) Farallon Capital (AM) Investors, L.P., a Delaware limited partnership ("FCAMI"), with respect to the Shares held by it; (viii) Farallon Capital F5 Master I, L.P., a Cayman Islands exempted limited partnership ("F5MI"), with respect to the Shares held by it; and (ix) Farallon Healthcare Partners Master, L.P., a Cayman Islands exempted limited partnership ("FHPM"), with respect to the Shares held by it. FCP, FCIP, FCIP II, FCIP III, FCIP V, FCOI II, FCAMI, F5MI and FHPM are together referred to herein as the "Farallon Funds." (x) Farallon Partners, L.L.C., a Delaware limited liability company (the "Farallon General Partner"), which is the general partner of each of FCP, FCIP, FCIP II, FCIP III, FCOI II and FCAMI and the sole member of each of the FCIP V General Partner (as defined</w:t>
      </w:r>
    </w:p>
    <w:p>
      <w:pPr>
        <w:spacing w:after="0" w:line="3" w:lineRule="exact"/>
        <w:rPr>
          <w:sz w:val="20"/>
          <w:szCs w:val="20"/>
          <w:color w:val="auto"/>
        </w:rPr>
      </w:pPr>
    </w:p>
    <w:p>
      <w:pPr>
        <w:ind w:left="920" w:hanging="912"/>
        <w:spacing w:after="0" w:line="220" w:lineRule="auto"/>
        <w:tabs>
          <w:tab w:leader="none" w:pos="920" w:val="left"/>
        </w:tabs>
        <w:numPr>
          <w:ilvl w:val="0"/>
          <w:numId w:val="3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below) and the FHPM General Partner (as defined below), with respect to the Shares held by each of the Farallon Funds other than F5MI. (xi) Farallon Institutional (GP) V, L.L.C., a Delaware limited liability company (the "FCIP V General Partner"), which is the general partner of FCIP V, with respect to the Shares held by FCIP V. (xii) Farallon F5 (GP), L.L.C., a Delaware limited liability company (the "F5MI General Partner"), which is the general partner of F5MI, with respect to the Shares held by F5MI. (xiii) Farallon Healthcare Partners (GP), L.L.C., a Delaware limited liability company (the "FHPM General Partner"), which is the general partner of FHPM, with respect to the Shares held by FHPM. (xiv)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Joshua J. Dapice ("Dapice"); Philip D. Dreyfuss ("Dreyfuss"); Hannah E. Dunn ("Dunn"); Richard B. Fried ("Fried"); Varun N. Gehani ("Gehani"); Nicolas Giauque ("Giauque"); David T. Kim ("Kim"); Michael G. Linn ("Linn"); Patrick (Cheng) Luo ("Luo"); Rajiv A. Patel ("Patel"); Thomas G. Roberts, Jr. ("Roberts"); Edric C. Saito ("Saito"); William Seybold ("Seybold"); Daniel S. Short ("Short"); Andrew J. M. Spokes ("Spokes"); John R. Warren ("Warren"); and Mark C. Wehrly ("Wehrly"). Dapice, Dreyfuss, Dunn, Fried, Gehani, Giauque, Kim, Linn, Luo, Patel, Roberts, Saito, Seybold, Short, Spokes, Warren and Wehrly are together referred to herein as the "Farallon Individual Reporting Persons." Effective January 1, 2025, Luo became a managing member of the Farallon General Partner and a manager of each of the FCIP V General Partner, the F5MI General Partner and the FHPM General Partner. Accordingly, as of that date, Luo may be deemed a beneficial owner of the Shares held by the Farallon Funds.</w:t>
      </w:r>
    </w:p>
    <w:p>
      <w:pPr>
        <w:spacing w:after="0" w:line="19"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3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93" w:lineRule="auto"/>
        <w:tabs>
          <w:tab w:leader="none" w:pos="920" w:val="left"/>
        </w:tabs>
        <w:numPr>
          <w:ilvl w:val="0"/>
          <w:numId w:val="3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the F5MI General Partner and the FHPM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07373V105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140"/>
          </w:cols>
          <w:pgMar w:left="360" w:top="110" w:right="399" w:bottom="0" w:gutter="0" w:footer="0" w:header="0"/>
        </w:sectPr>
      </w:pPr>
    </w:p>
    <w:bookmarkStart w:id="22" w:name="page23"/>
    <w:bookmarkEnd w:id="22"/>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3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The Shares reported hereby for the Farallon Funds are held directly by the Farallon Funds. The Farallon General Partner, as the general partner of FCP, FCIP, FCIP II, FCIP III, FCOI II and FCAMI and the sole member of the FCIP V General Partner and the FHPM General Partner, may be deemed to be a beneficial owner of all such Shares held by the Farallon Funds other than F5MI. The FCIP V General Partner, as the general partner of FCIP V, may be deemed to be a beneficial owner of all</w:t>
      </w:r>
    </w:p>
    <w:p>
      <w:pPr>
        <w:spacing w:after="0" w:line="3" w:lineRule="exact"/>
        <w:rPr>
          <w:sz w:val="20"/>
          <w:szCs w:val="20"/>
          <w:color w:val="auto"/>
        </w:rPr>
      </w:pPr>
    </w:p>
    <w:p>
      <w:pPr>
        <w:ind w:left="920" w:hanging="912"/>
        <w:spacing w:after="0" w:line="232" w:lineRule="auto"/>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held by FCIP V. The F5MI General Partner, as the general partner of F5MI, may be deemed to be a beneficial owner of all such Shares held by F5MI. The FHPM General Partner, as the general partner of FHPM, may be deemed to be a beneficial owner of all such Shares held by FHPM. Each of the Farallon Individual Reporting Persons, as a managing member or senior managing member, as the case may be, of the Farallon General Partner and a manager or senior manager, as the case may be, of the FCIP V General Partner, the F5MI General Partner and the FHPM General Partner, in each case with the power to exercise investment discretion, may be deemed to be a beneficial owner of all such Shares held by the Farallon Funds. Each of the Farallon General Partner, the FCIP V General Partner, the F5MI General Partner, the FHPM General Partner and the Farallon Individual Reporting Persons hereby disclaims any beneficial ownership of any such Shares.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3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80"/>
          </w:cols>
          <w:pgMar w:left="360" w:top="126"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160"/>
          </w:cols>
          <w:pgMar w:left="360" w:top="126" w:right="459" w:bottom="0" w:gutter="0" w:footer="0" w:header="0"/>
          <w:type w:val="continuous"/>
        </w:sectPr>
      </w:pPr>
    </w:p>
    <w:bookmarkStart w:id="23" w:name="page24"/>
    <w:bookmarkEnd w:id="2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ectPr>
          <w:pgSz w:w="11900" w:h="16838" w:orient="portrait"/>
          <w:cols w:equalWidth="0" w:num="1">
            <w:col w:w="11140"/>
          </w:cols>
          <w:pgMar w:left="360" w:top="111" w:right="399" w:bottom="0" w:gutter="0" w:footer="0" w:header="0"/>
        </w:sectPr>
      </w:pPr>
    </w:p>
    <w:bookmarkStart w:id="24" w:name="page25"/>
    <w:bookmarkEnd w:id="24"/>
    <w:p>
      <w:pPr>
        <w:ind w:left="4580"/>
        <w:spacing w:after="0"/>
        <w:rPr>
          <w:sz w:val="20"/>
          <w:szCs w:val="20"/>
          <w:color w:val="auto"/>
        </w:rPr>
      </w:pPr>
      <w:r>
        <w:rPr>
          <w:rFonts w:ascii="Times New Roman" w:cs="Times New Roman" w:eastAsia="Times New Roman" w:hAnsi="Times New Roman"/>
          <w:sz w:val="22"/>
          <w:szCs w:val="22"/>
          <w:color w:val="auto"/>
        </w:rPr>
        <w:t>Name/Title: Hannah E. Dunn, Managing Member of its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9760"/>
          </w:cols>
          <w:pgMar w:left="1440" w:top="111" w:right="699" w:bottom="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3"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ectPr>
          <w:pgSz w:w="11900" w:h="16838" w:orient="portrait"/>
          <w:cols w:equalWidth="0" w:num="1">
            <w:col w:w="9019"/>
          </w:cols>
          <w:pgMar w:left="1440" w:top="111" w:right="1440" w:bottom="0" w:gutter="0" w:footer="0" w:header="0"/>
        </w:sectPr>
      </w:pPr>
    </w:p>
    <w:bookmarkStart w:id="26" w:name="page27"/>
    <w:bookmarkEnd w:id="26"/>
    <w:p>
      <w:pPr>
        <w:jc w:val="both"/>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0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Acquisition Statement Pursuant to Section 240.13d-1(k)</w:t>
      </w:r>
    </w:p>
    <w:p>
      <w:pPr>
        <w:sectPr>
          <w:pgSz w:w="11900" w:h="16838" w:orient="portrait"/>
          <w:cols w:equalWidth="0" w:num="1">
            <w:col w:w="10099"/>
          </w:cols>
          <w:pgMar w:left="360" w:top="111"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color w:val="auto"/>
        </w:rPr>
        <w:t>EXHIBIT 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5, 2025</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 L.P.,</w:t>
      </w:r>
    </w:p>
    <w:p>
      <w:pPr>
        <w:ind w:left="1740"/>
        <w:spacing w:after="0"/>
        <w:rPr>
          <w:sz w:val="20"/>
          <w:szCs w:val="20"/>
          <w:color w:val="auto"/>
        </w:rPr>
      </w:pPr>
      <w:r>
        <w:rPr>
          <w:rFonts w:ascii="Times New Roman" w:cs="Times New Roman" w:eastAsia="Times New Roman" w:hAnsi="Times New Roman"/>
          <w:sz w:val="20"/>
          <w:szCs w:val="20"/>
          <w:color w:val="auto"/>
        </w:rPr>
        <w:t>FARALLON CAPITAL INSTITUTIONAL PARTNERS III, L.P.,</w:t>
      </w:r>
    </w:p>
    <w:p>
      <w:pPr>
        <w:ind w:left="1740"/>
        <w:spacing w:after="0"/>
        <w:rPr>
          <w:sz w:val="20"/>
          <w:szCs w:val="20"/>
          <w:color w:val="auto"/>
        </w:rPr>
      </w:pPr>
      <w:r>
        <w:rPr>
          <w:rFonts w:ascii="Times New Roman" w:cs="Times New Roman" w:eastAsia="Times New Roman" w:hAnsi="Times New Roman"/>
          <w:sz w:val="20"/>
          <w:szCs w:val="20"/>
          <w:color w:val="auto"/>
        </w:rPr>
        <w:t>FARALLON CAPITAL OFFSHORE INVESTORS II, L.P. and</w:t>
      </w:r>
    </w:p>
    <w:p>
      <w:pPr>
        <w:ind w:left="1740"/>
        <w:spacing w:after="0"/>
        <w:rPr>
          <w:sz w:val="20"/>
          <w:szCs w:val="20"/>
          <w:color w:val="auto"/>
        </w:rPr>
      </w:pPr>
      <w:r>
        <w:rPr>
          <w:rFonts w:ascii="Times New Roman" w:cs="Times New Roman" w:eastAsia="Times New Roman" w:hAnsi="Times New Roman"/>
          <w:sz w:val="20"/>
          <w:szCs w:val="20"/>
          <w:color w:val="auto"/>
        </w:rPr>
        <w:t>FARALLON CAPITAL (AM) INVESTORS, L.P.</w:t>
      </w:r>
    </w:p>
    <w:p>
      <w:pPr>
        <w:ind w:left="1740"/>
        <w:spacing w:after="0"/>
        <w:rPr>
          <w:sz w:val="20"/>
          <w:szCs w:val="20"/>
          <w:color w:val="auto"/>
        </w:rPr>
      </w:pPr>
      <w:r>
        <w:rPr>
          <w:rFonts w:ascii="Times New Roman" w:cs="Times New Roman" w:eastAsia="Times New Roman" w:hAnsi="Times New Roman"/>
          <w:sz w:val="20"/>
          <w:szCs w:val="20"/>
          <w:color w:val="auto"/>
        </w:rPr>
        <w:t>By Hannah E. Dunn, Managing Member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FOUR CROSSINGS INSTITUTIONAL PARTNERS V, L.P.</w:t>
      </w:r>
    </w:p>
    <w:p>
      <w:pPr>
        <w:ind w:left="1740"/>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CAPITAL F5 MASTER I, L.P.</w:t>
      </w:r>
    </w:p>
    <w:p>
      <w:pPr>
        <w:ind w:left="1740"/>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FARALLON HEALTHCARE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60350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On its own behalf and</w:t>
      </w:r>
    </w:p>
    <w:p>
      <w:pPr>
        <w:ind w:left="1740"/>
        <w:spacing w:after="0"/>
        <w:rPr>
          <w:sz w:val="20"/>
          <w:szCs w:val="20"/>
          <w:color w:val="auto"/>
        </w:rPr>
      </w:pPr>
      <w:r>
        <w:rPr>
          <w:rFonts w:ascii="Times New Roman" w:cs="Times New Roman" w:eastAsia="Times New Roman" w:hAnsi="Times New Roman"/>
          <w:sz w:val="20"/>
          <w:szCs w:val="20"/>
          <w:color w:val="auto"/>
        </w:rPr>
        <w:t>As the General Partner of</w:t>
      </w:r>
    </w:p>
    <w:p>
      <w:pPr>
        <w:ind w:left="1740"/>
        <w:spacing w:after="0"/>
        <w:rPr>
          <w:sz w:val="20"/>
          <w:szCs w:val="20"/>
          <w:color w:val="auto"/>
        </w:rPr>
      </w:pPr>
      <w:r>
        <w:rPr>
          <w:rFonts w:ascii="Times New Roman" w:cs="Times New Roman" w:eastAsia="Times New Roman" w:hAnsi="Times New Roman"/>
          <w:sz w:val="20"/>
          <w:szCs w:val="20"/>
          <w:color w:val="auto"/>
        </w:rPr>
        <w:t>FARALLON HEALTHCARE PARTNERS MASTER, L.P.</w:t>
      </w:r>
    </w:p>
    <w:p>
      <w:pPr>
        <w:ind w:left="1740"/>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6035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jc w:val="both"/>
        <w:ind w:left="1740"/>
        <w:spacing w:after="0" w:line="249" w:lineRule="auto"/>
        <w:rPr>
          <w:sz w:val="20"/>
          <w:szCs w:val="20"/>
          <w:color w:val="auto"/>
        </w:rPr>
      </w:pPr>
      <w:r>
        <w:rPr>
          <w:rFonts w:ascii="Times New Roman" w:cs="Times New Roman" w:eastAsia="Times New Roman" w:hAnsi="Times New Roman"/>
          <w:sz w:val="20"/>
          <w:szCs w:val="20"/>
          <w:color w:val="auto"/>
        </w:rPr>
        <w:t>Hannah E. Dunn, individually and as attorney-in-fact for each of Joshua J. Dapice, Philip D. Dreyfuss, Richard B. Fried, Varun N. Gehani, Nicolas Giauque, David T. Kim, Michael G. Linn, Patrick (Cheng) Luo, Rajiv A. Patel, Thomas G. Roberts, Jr., Edric C. Saito, William Seybold, Daniel S. Short, Andrew J. M. Spokes, John R. Warren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-599440</wp:posOffset>
            </wp:positionV>
            <wp:extent cx="6035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2"/>
      <w:numFmt w:val="bullet"/>
      <w:start w:val="1"/>
    </w:lvl>
  </w:abstractNum>
  <w:abstractNum w:abstractNumId="1">
    <w:nsid w:val="7C83E458"/>
    <w:multiLevelType w:val="hybridMultilevel"/>
    <w:lvl w:ilvl="0">
      <w:lvlJc w:val="left"/>
      <w:lvlText w:val="3"/>
      <w:numFmt w:val="bullet"/>
      <w:start w:val="1"/>
    </w:lvl>
  </w:abstractNum>
  <w:abstractNum w:abstractNumId="2">
    <w:nsid w:val="257130A3"/>
    <w:multiLevelType w:val="hybridMultilevel"/>
    <w:lvl w:ilvl="0">
      <w:lvlJc w:val="left"/>
      <w:lvlText w:val="%1"/>
      <w:numFmt w:val="decimal"/>
      <w:start w:val="12"/>
    </w:lvl>
  </w:abstractNum>
  <w:abstractNum w:abstractNumId="3">
    <w:nsid w:val="62BBD95A"/>
    <w:multiLevelType w:val="hybridMultilevel"/>
    <w:lvl w:ilvl="0">
      <w:lvlJc w:val="left"/>
      <w:lvlText w:val="2"/>
      <w:numFmt w:val="bullet"/>
      <w:start w:val="1"/>
    </w:lvl>
  </w:abstractNum>
  <w:abstractNum w:abstractNumId="4">
    <w:nsid w:val="436C6125"/>
    <w:multiLevelType w:val="hybridMultilevel"/>
    <w:lvl w:ilvl="0">
      <w:lvlJc w:val="left"/>
      <w:lvlText w:val="3"/>
      <w:numFmt w:val="bullet"/>
      <w:start w:val="1"/>
    </w:lvl>
  </w:abstractNum>
  <w:abstractNum w:abstractNumId="5">
    <w:nsid w:val="628C895D"/>
    <w:multiLevelType w:val="hybridMultilevel"/>
    <w:lvl w:ilvl="0">
      <w:lvlJc w:val="left"/>
      <w:lvlText w:val="4"/>
      <w:numFmt w:val="bullet"/>
      <w:start w:val="1"/>
    </w:lvl>
  </w:abstractNum>
  <w:abstractNum w:abstractNumId="6">
    <w:nsid w:val="333AB105"/>
    <w:multiLevelType w:val="hybridMultilevel"/>
    <w:lvl w:ilvl="0">
      <w:lvlJc w:val="left"/>
      <w:lvlText w:val="2"/>
      <w:numFmt w:val="bullet"/>
      <w:start w:val="1"/>
    </w:lvl>
  </w:abstractNum>
  <w:abstractNum w:abstractNumId="7">
    <w:nsid w:val="721DA317"/>
    <w:multiLevelType w:val="hybridMultilevel"/>
    <w:lvl w:ilvl="0">
      <w:lvlJc w:val="left"/>
      <w:lvlText w:val="2"/>
      <w:numFmt w:val="bullet"/>
      <w:start w:val="1"/>
    </w:lvl>
  </w:abstractNum>
  <w:abstractNum w:abstractNumId="8">
    <w:nsid w:val="2443A858"/>
    <w:multiLevelType w:val="hybridMultilevel"/>
    <w:lvl w:ilvl="0">
      <w:lvlJc w:val="left"/>
      <w:lvlText w:val="2"/>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2"/>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9"/>
      <w:numFmt w:val="bullet"/>
      <w:start w:val="1"/>
    </w:lvl>
  </w:abstractNum>
  <w:abstractNum w:abstractNumId="14">
    <w:nsid w:val="4353D0CD"/>
    <w:multiLevelType w:val="hybridMultilevel"/>
    <w:lvl w:ilvl="0">
      <w:lvlJc w:val="left"/>
      <w:lvlText w:val="1"/>
      <w:numFmt w:val="bullet"/>
      <w:start w:val="1"/>
    </w:lvl>
  </w:abstractNum>
  <w:abstractNum w:abstractNumId="15">
    <w:nsid w:val="B03E0C6"/>
    <w:multiLevelType w:val="hybridMultilevel"/>
    <w:lvl w:ilvl="0">
      <w:lvlJc w:val="left"/>
      <w:lvlText w:val="2"/>
      <w:numFmt w:val="bullet"/>
      <w:start w:val="1"/>
    </w:lvl>
  </w:abstractNum>
  <w:abstractNum w:abstractNumId="16">
    <w:nsid w:val="189A769B"/>
    <w:multiLevelType w:val="hybridMultilevel"/>
    <w:lvl w:ilvl="0">
      <w:lvlJc w:val="left"/>
      <w:lvlText w:val="3"/>
      <w:numFmt w:val="bullet"/>
      <w:start w:val="1"/>
    </w:lvl>
  </w:abstractNum>
  <w:abstractNum w:abstractNumId="17">
    <w:nsid w:val="54E49EB4"/>
    <w:multiLevelType w:val="hybridMultilevel"/>
    <w:lvl w:ilvl="0">
      <w:lvlJc w:val="left"/>
      <w:lvlText w:val="9"/>
      <w:numFmt w:val="bullet"/>
      <w:start w:val="1"/>
    </w:lvl>
  </w:abstractNum>
  <w:abstractNum w:abstractNumId="18">
    <w:nsid w:val="71F32454"/>
    <w:multiLevelType w:val="hybridMultilevel"/>
    <w:lvl w:ilvl="0">
      <w:lvlJc w:val="left"/>
      <w:lvlText w:val="1"/>
      <w:numFmt w:val="bullet"/>
      <w:start w:val="1"/>
    </w:lvl>
  </w:abstractNum>
  <w:abstractNum w:abstractNumId="19">
    <w:nsid w:val="2CA88611"/>
    <w:multiLevelType w:val="hybridMultilevel"/>
    <w:lvl w:ilvl="0">
      <w:lvlJc w:val="left"/>
      <w:lvlText w:val="2"/>
      <w:numFmt w:val="bullet"/>
      <w:start w:val="1"/>
    </w:lvl>
  </w:abstractNum>
  <w:abstractNum w:abstractNumId="20">
    <w:nsid w:val="836C40E"/>
    <w:multiLevelType w:val="hybridMultilevel"/>
    <w:lvl w:ilvl="0">
      <w:lvlJc w:val="left"/>
      <w:lvlText w:val="3"/>
      <w:numFmt w:val="bullet"/>
      <w:start w:val="1"/>
    </w:lvl>
  </w:abstractNum>
  <w:abstractNum w:abstractNumId="21">
    <w:nsid w:val="2901D82"/>
    <w:multiLevelType w:val="hybridMultilevel"/>
    <w:lvl w:ilvl="0">
      <w:lvlJc w:val="left"/>
      <w:lvlText w:val="9"/>
      <w:numFmt w:val="bullet"/>
      <w:start w:val="1"/>
    </w:lvl>
  </w:abstractNum>
  <w:abstractNum w:abstractNumId="22">
    <w:nsid w:val="3A95F874"/>
    <w:multiLevelType w:val="hybridMultilevel"/>
    <w:lvl w:ilvl="0">
      <w:lvlJc w:val="left"/>
      <w:lvlText w:val="1"/>
      <w:numFmt w:val="bullet"/>
      <w:start w:val="1"/>
    </w:lvl>
  </w:abstractNum>
  <w:abstractNum w:abstractNumId="23">
    <w:nsid w:val="8138641"/>
    <w:multiLevelType w:val="hybridMultilevel"/>
    <w:lvl w:ilvl="0">
      <w:lvlJc w:val="left"/>
      <w:lvlText w:val="2"/>
      <w:numFmt w:val="bullet"/>
      <w:start w:val="1"/>
    </w:lvl>
  </w:abstractNum>
  <w:abstractNum w:abstractNumId="24">
    <w:nsid w:val="1E7FF521"/>
    <w:multiLevelType w:val="hybridMultilevel"/>
    <w:lvl w:ilvl="0">
      <w:lvlJc w:val="left"/>
      <w:lvlText w:val="3"/>
      <w:numFmt w:val="bullet"/>
      <w:start w:val="1"/>
    </w:lvl>
  </w:abstractNum>
  <w:abstractNum w:abstractNumId="25">
    <w:nsid w:val="7C3DBD3D"/>
    <w:multiLevelType w:val="hybridMultilevel"/>
    <w:lvl w:ilvl="0">
      <w:lvlJc w:val="left"/>
      <w:lvlText w:val="8"/>
      <w:numFmt w:val="bullet"/>
      <w:start w:val="1"/>
    </w:lvl>
  </w:abstractNum>
  <w:abstractNum w:abstractNumId="26">
    <w:nsid w:val="737B8DDC"/>
    <w:multiLevelType w:val="hybridMultilevel"/>
    <w:lvl w:ilvl="0">
      <w:lvlJc w:val="left"/>
      <w:lvlText w:val="2"/>
      <w:numFmt w:val="bullet"/>
      <w:start w:val="1"/>
    </w:lvl>
  </w:abstractNum>
  <w:abstractNum w:abstractNumId="27">
    <w:nsid w:val="6CEAF087"/>
    <w:multiLevelType w:val="hybridMultilevel"/>
    <w:lvl w:ilvl="0">
      <w:lvlJc w:val="left"/>
      <w:lvlText w:val="3"/>
      <w:numFmt w:val="bullet"/>
      <w:start w:val="1"/>
    </w:lvl>
  </w:abstractNum>
  <w:abstractNum w:abstractNumId="28">
    <w:nsid w:val="22221A70"/>
    <w:multiLevelType w:val="hybridMultilevel"/>
    <w:lvl w:ilvl="0">
      <w:lvlJc w:val="left"/>
      <w:lvlText w:val="8"/>
      <w:numFmt w:val="bullet"/>
      <w:start w:val="1"/>
    </w:lvl>
  </w:abstractNum>
  <w:abstractNum w:abstractNumId="29">
    <w:nsid w:val="4516DDE9"/>
    <w:multiLevelType w:val="hybridMultilevel"/>
    <w:lvl w:ilvl="0">
      <w:lvlJc w:val="left"/>
      <w:lvlText w:val="2"/>
      <w:numFmt w:val="bullet"/>
      <w:start w:val="1"/>
    </w:lvl>
  </w:abstractNum>
  <w:abstractNum w:abstractNumId="30">
    <w:nsid w:val="3006C83E"/>
    <w:multiLevelType w:val="hybridMultilevel"/>
    <w:lvl w:ilvl="0">
      <w:lvlJc w:val="left"/>
      <w:lvlText w:val="3"/>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3"/>
    </w:lvl>
  </w:abstractNum>
  <w:abstractNum w:abstractNumId="34">
    <w:nsid w:val="440BADFC"/>
    <w:multiLevelType w:val="hybridMultilevel"/>
    <w:lvl w:ilvl="0">
      <w:lvlJc w:val="left"/>
      <w:lvlText w:val="(%1)"/>
      <w:numFmt w:val="lowerLetter"/>
      <w:start w:val="1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2025-02-05T18:33:17Z</dcterms:created>
  <dcterms:modified xsi:type="dcterms:W3CDTF">2025-02-05T18:33:17Z</dcterms:modified>
</cp:coreProperties>
</file>