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900" w:right="1920" w:hanging="3879"/>
        <w:spacing w:after="0" w:line="295" w:lineRule="auto"/>
        <w:tabs>
          <w:tab w:leader="none" w:pos="4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4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940" w:type="dxa"/>
            <w:vAlign w:val="bottom"/>
            <w:gridSpan w:val="5"/>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480" w:type="dxa"/>
            <w:vAlign w:val="bottom"/>
            <w:vMerge w:val="restart"/>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60" w:type="dxa"/>
            <w:vAlign w:val="bottom"/>
            <w:vMerge w:val="restart"/>
          </w:tcPr>
          <w:p>
            <w:pPr>
              <w:jc w:val="right"/>
              <w:ind w:right="1485"/>
              <w:spacing w:after="0"/>
              <w:rPr>
                <w:sz w:val="20"/>
                <w:szCs w:val="20"/>
                <w:color w:val="auto"/>
              </w:rPr>
            </w:pPr>
            <w:r>
              <w:rPr>
                <w:rFonts w:ascii="Times New Roman" w:cs="Times New Roman" w:eastAsia="Times New Roman" w:hAnsi="Times New Roman"/>
                <w:sz w:val="16"/>
                <w:szCs w:val="16"/>
                <w:b w:val="1"/>
                <w:bCs w:val="1"/>
                <w:color w:val="auto"/>
              </w:rPr>
              <w:t>81-5238376</w:t>
            </w: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80" w:type="dxa"/>
            <w:vAlign w:val="bottom"/>
            <w:gridSpan w:val="4"/>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State or other jurisdiction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I.R.S. Employer</w:t>
            </w:r>
          </w:p>
        </w:tc>
        <w:tc>
          <w:tcPr>
            <w:tcW w:w="0" w:type="dxa"/>
            <w:vAlign w:val="bottom"/>
          </w:tcPr>
          <w:p>
            <w:pPr>
              <w:spacing w:after="0"/>
              <w:rPr>
                <w:sz w:val="1"/>
                <w:szCs w:val="1"/>
                <w:color w:val="auto"/>
              </w:rPr>
            </w:pPr>
          </w:p>
        </w:tc>
      </w:tr>
      <w:tr>
        <w:trPr>
          <w:trHeight w:val="192"/>
        </w:trPr>
        <w:tc>
          <w:tcPr>
            <w:tcW w:w="688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1"/>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238 Main Street</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tcPr>
          <w:p>
            <w:pPr>
              <w:jc w:val="right"/>
              <w:ind w:right="1665"/>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91"/>
        </w:trPr>
        <w:tc>
          <w:tcPr>
            <w:tcW w:w="688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Address of principal executive offices</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Zip Code</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857-327-8775</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3940" w:type="dxa"/>
            <w:vAlign w:val="bottom"/>
            <w:gridSpan w:val="5"/>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80" w:type="dxa"/>
            <w:vAlign w:val="bottom"/>
            <w:vMerge w:val="restart"/>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Pr>
          <w:p>
            <w:pPr>
              <w:spacing w:after="0"/>
              <w:rPr>
                <w:sz w:val="16"/>
                <w:szCs w:val="16"/>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jc w:val="center"/>
              <w:ind w:left="965"/>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57"/>
        </w:trPr>
        <w:tc>
          <w:tcPr>
            <w:tcW w:w="34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38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tcPr>
          <w:p>
            <w:pPr>
              <w:jc w:val="center"/>
              <w:ind w:left="925"/>
              <w:spacing w:after="0" w:line="157"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2"/>
        </w:trPr>
        <w:tc>
          <w:tcPr>
            <w:tcW w:w="3480" w:type="dxa"/>
            <w:vAlign w:val="bottom"/>
          </w:tcPr>
          <w:p>
            <w:pPr>
              <w:jc w:val="center"/>
              <w:ind w:left="184"/>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020" w:type="dxa"/>
            <w:vAlign w:val="bottom"/>
          </w:tcPr>
          <w:p>
            <w:pPr>
              <w:spacing w:after="0"/>
              <w:rPr>
                <w:sz w:val="18"/>
                <w:szCs w:val="18"/>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BEAM</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50"/>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296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1"/>
              </w:rPr>
              <w:t>Yes</w:t>
            </w:r>
          </w:p>
        </w:tc>
        <w:tc>
          <w:tcPr>
            <w:tcW w:w="24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29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5" w:right="379" w:bottom="1440" w:gutter="0" w:footer="0" w:header="0"/>
        </w:sectPr>
      </w:pP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ind w:left="20"/>
        <w:spacing w:after="0" w:line="161" w:lineRule="exact"/>
        <w:tabs>
          <w:tab w:leader="none" w:pos="2040" w:val="left"/>
          <w:tab w:leader="none" w:pos="82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64" w:lineRule="exact"/>
        <w:rPr>
          <w:sz w:val="24"/>
          <w:szCs w:val="24"/>
          <w:color w:val="auto"/>
        </w:rPr>
      </w:pPr>
    </w:p>
    <w:p>
      <w:pPr>
        <w:ind w:left="20"/>
        <w:spacing w:after="0" w:line="161" w:lineRule="exact"/>
        <w:tabs>
          <w:tab w:leader="none" w:pos="2040" w:val="left"/>
          <w:tab w:leader="none" w:pos="82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74"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2">
            <w:col w:w="10740" w:space="180"/>
            <w:col w:w="280"/>
          </w:cols>
          <w:pgMar w:left="320" w:top="965" w:right="379" w:bottom="1440" w:gutter="0" w:footer="0" w:header="0"/>
          <w:type w:val="continuous"/>
        </w:sectPr>
      </w:pPr>
    </w:p>
    <w:p>
      <w:pPr>
        <w:ind w:right="52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$1.91 billion, based on the closing price of the registrant’s common stock on Nasdaq on June 28, 2024, the last business day of the registrant’s most recently completed second quarter.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18, 2025 was 83,688,295.</w:t>
      </w:r>
    </w:p>
    <w:p>
      <w:pPr>
        <w:spacing w:after="0" w:line="94"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Registrant incorporates by reference into Part III (Items 10, 11, 12, 13 and 14) of this Annual Report on Form 10-K portions of the Registrant’s definitive Proxy Statement for the 2025 Annual Meeting of Stockholders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5"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58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4340" w:type="dxa"/>
            <w:vAlign w:val="bottom"/>
            <w:gridSpan w:val="7"/>
            <w:vMerge w:val="restart"/>
          </w:tcPr>
          <w:p>
            <w:pPr>
              <w:spacing w:after="0"/>
              <w:rPr>
                <w:sz w:val="24"/>
                <w:szCs w:val="24"/>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140" w:type="dxa"/>
            <w:vAlign w:val="bottom"/>
          </w:tcPr>
          <w:p>
            <w:pPr>
              <w:spacing w:after="0"/>
              <w:rPr>
                <w:sz w:val="14"/>
                <w:szCs w:val="14"/>
                <w:color w:val="auto"/>
              </w:rPr>
            </w:pPr>
          </w:p>
        </w:tc>
        <w:tc>
          <w:tcPr>
            <w:tcW w:w="5860" w:type="dxa"/>
            <w:vAlign w:val="bottom"/>
            <w:tcBorders>
              <w:bottom w:val="single" w:sz="8" w:color="0000FF"/>
            </w:tcBorders>
            <w:gridSpan w:val="20"/>
            <w:vMerge w:val="continue"/>
          </w:tcPr>
          <w:p>
            <w:pPr>
              <w:spacing w:after="0"/>
              <w:rPr>
                <w:sz w:val="14"/>
                <w:szCs w:val="14"/>
                <w:color w:val="auto"/>
              </w:rPr>
            </w:pPr>
          </w:p>
        </w:tc>
        <w:tc>
          <w:tcPr>
            <w:tcW w:w="4340" w:type="dxa"/>
            <w:vAlign w:val="bottom"/>
            <w:gridSpan w:val="7"/>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TRADEMARKS</w:t>
            </w:r>
          </w:p>
        </w:tc>
        <w:tc>
          <w:tcPr>
            <w:tcW w:w="8960" w:type="dxa"/>
            <w:vAlign w:val="bottom"/>
            <w:gridSpan w:val="2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7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750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2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 SUMMARY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PART 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6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215"/>
        </w:trPr>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important risks, uncertainties and assumptions, including those described in “Risk Factors Summary” and in “Risk Factors” in Part I, Item 1A of this report. Unless legally required, we assume no obligation to update any such forward-looking information to reflect actual results or changes in the factors affecting such forward-looking information. These forward-looking statements reflect, among other things:</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expectations and anticipated results of operations;</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clinical trials, including our Phase 1/2 clinical trial designed to assess the safety and efficacy of BEAM-101 for the treatment of sickle cell disease, our Phase 1/2 clinical trial designed to assess the safety and efficacy of BEAM-302 for the treatment of alpha-1 antitrypsin deficiency, our Phase 1/2 clinical trial designed to assess the safety and efficacy of BEAM-301 for the treatment of glycogen storage disease type 1a, and our anticipated Phase 1 healthy volunteer clinical trial of BEAM-103;</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research and development programs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a sustainable portfolio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life-long, curative, precision genetic medicines for patients through base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 hub for partnering with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preclinical studies for product candidates in our pipeline;</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develop and successfully complete any clinical trials or preclinical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 broad suite of clinically validated delivery modalities;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generate additional novel lipid nanoparticles that we believe could accelerate novel nonviral delivery of gene editing or other nucleic acid payloads to tissues beyond the liver and our ability to expand the reach of our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31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and success of our collaborations with third parties, including any future payments we may receive under our collaboration and license agreements, and our ability to identify and enter into future license agreements and collaborations;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base editing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delivery modalities and obtain and maintain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commercial-scale current Good Manufacturing Practice, or cGMP, manufacturing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strategic and other potential benefits of our acquisition of any additional technologies;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period over which we believe that our existing cash, cash equivalents and marketable securities, will be sufficient to fund our operating expenses and capital expenditure requirements;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3" w:name="page4"/>
    <w:bookmarkEnd w:id="3"/>
    <w:p>
      <w:pPr>
        <w:ind w:left="1020" w:right="4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or other global or regional events.</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When we use the terms “Beam,” the “Company,” “we,” “us” or “our” in this Annual Report on Form 10-K, we mean Beam Therapeutics Inc. and its subsidiaries on a consolidated basis, unless the context indicates otherwise.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BEAM and other marks as trademarks in the United States and/or in other countries. This Annual Report on Form 10-K contains references to our trademarks and service marks and to those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Annual Report on Form 10-K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Summary” and “Risk Factors” in Part I, Item 1A of this report. These and other factors could cause our future performance to differ materially from our assumptions and estimates.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risks. You should consider carefully the following risks, which are discussed more fully in “Risk Factors” in Part I, Item 1A of this report, and all of the other information contained in this Annual Report on Form 10-K before investing in our common stock. These risks include, but are not limited to,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and develop potential product candidates. If these efforts are unsuccessful, we may never become a commercial stage company or generate any revenues.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product candidates are still in preclinical development or early clinical development and it will be many years before we or our collaborators commercialize a product candidate, if ever.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or treatment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any product candidates we identify and develop fail to demonstrate safety, purity and potency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product candidates we may develop or the delivery modalities we rely on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rFonts w:ascii="Times New Roman" w:cs="Times New Roman" w:eastAsia="Times New Roman" w:hAnsi="Times New Roman"/>
          <w:sz w:val="18"/>
          <w:szCs w:val="18"/>
          <w:color w:val="auto"/>
        </w:rPr>
      </w:pPr>
    </w:p>
    <w:p>
      <w:pPr>
        <w:jc w:val="both"/>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clinical trials at sites outside the United States. The U.S. Food and Drug Administration, or the FDA, may not accept data from trials conducted in such locations, and the conduct of trials outside the United States could subject us to additional delays and expense.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tested many of our proposed delivery modalities and product candidates in clinical trials and any favorable preclinical results are not predictive of results that may be observed in clinical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 perception of genetic medicines, and gene editing and base editing in particular, may negatively impact regulatory approval of, and/or demand for, our potential products.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governing genetic medicines, and in particular any novel genetic medicines we may develop, have changed frequently and may continue to change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 w:name="page6"/>
    <w:bookmarkEnd w:id="5"/>
    <w:p>
      <w:pPr>
        <w:ind w:left="503" w:right="2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and supply of materials for our research programs, preclinical studies and clinical trial and expect to continue to do so for at least a portion of our future research programs, preclinical studies, and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product candidates in the field of genetics medicines, a field that includes gene therapy and gene editing, in which there is little clinical experience, there is increased risk that the FDA, the European Medicines Agency or other regulatory authorities may not consider the endpoints of our clinical trials to provide clinically meaningful results and that these results may be difficult to analyze.</w:t>
      </w:r>
    </w:p>
    <w:p>
      <w:pPr>
        <w:spacing w:after="0" w:line="67"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and for our technology, or if the scope of the patent protection obtained is not sufficiently broad, or if we or our licensors are unable to successfully defend our or our licensors’ patents against third-party challenges or enforce our or our licensors’ patents against third parties our competitors could develop and commercialize products and technology similar or identical to ours, and our ability to successfully commercialize any product candidates we may develop, and our technology may be adversely affected.</w:t>
      </w:r>
    </w:p>
    <w:p>
      <w:pPr>
        <w:spacing w:after="0" w:line="75"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technology and product candidates are subject, in part, to the terms and conditions of licenses granted to us by others.</w:t>
      </w:r>
    </w:p>
    <w:p>
      <w:pPr>
        <w:spacing w:after="0" w:line="53"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asserted and may in the future assert that we, our employees, consultants, or advisors have wrongfully used or disclosed confidential information or misappropriated trade secrets.</w:t>
      </w:r>
    </w:p>
    <w:p>
      <w:pPr>
        <w:spacing w:after="0" w:line="53" w:lineRule="exact"/>
        <w:rPr>
          <w:rFonts w:ascii="Times New Roman" w:cs="Times New Roman" w:eastAsia="Times New Roman" w:hAnsi="Times New Roman"/>
          <w:sz w:val="18"/>
          <w:szCs w:val="18"/>
          <w:color w:val="auto"/>
        </w:rPr>
      </w:pPr>
    </w:p>
    <w:p>
      <w:pPr>
        <w:ind w:left="503" w:right="6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71"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rely on information technology in our own systems and those of our business partners. These systems are subject to a wide and growing variety of cybersecurity risks that may adversely impact our business activities or our ability to engage in various transactions to support our business activities.</w:t>
      </w:r>
    </w:p>
    <w:p>
      <w:pPr>
        <w:spacing w:after="0" w:line="67"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activities depend on the use and disclosure of personal data related to individuals participating in our clinical trials. The rules addressing this data are changing across the world, and these rules may adversely impact our ability to identify individuals for clinical trials or conduct our trials.</w:t>
      </w:r>
    </w:p>
    <w:p>
      <w:pPr>
        <w:spacing w:after="0" w:line="67" w:lineRule="exact"/>
        <w:rPr>
          <w:rFonts w:ascii="Times New Roman" w:cs="Times New Roman" w:eastAsia="Times New Roman" w:hAnsi="Times New Roman"/>
          <w:sz w:val="18"/>
          <w:szCs w:val="18"/>
          <w:color w:val="auto"/>
        </w:rPr>
      </w:pPr>
    </w:p>
    <w:p>
      <w:pPr>
        <w:ind w:left="503" w:right="10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other intellectual property may be subject to priority disputes or inventorship disputes or we may be subject to claims that we have infringed, misappropriated or otherwise violated the intellectual property of a third party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stock price.</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6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100" w:firstLine="8"/>
        <w:spacing w:after="0" w:line="25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delivery modalities, including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depending on tissue type. The elegance of the base editing approach, combined with a tissue specific delivery modality, provides the basis for a targeted, efficient, precise, and highly versatile gene editing system that is designed to be capable of gene correction, gene silencing, gene activation, gene modification, and/or multiplex editing of several genes simultaneously.</w:t>
      </w:r>
    </w:p>
    <w:p>
      <w:pPr>
        <w:spacing w:after="0" w:line="8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currently prioritizing the lead programs in our hematology and genetic disease portfolios, each of which have the potential to provide differentiated therapies for significant patient populations with high unmet medical need:</w:t>
      </w:r>
    </w:p>
    <w:p>
      <w:pPr>
        <w:spacing w:after="0" w:line="54" w:lineRule="exact"/>
        <w:rPr>
          <w:sz w:val="20"/>
          <w:szCs w:val="20"/>
          <w:color w:val="auto"/>
        </w:rPr>
      </w:pPr>
    </w:p>
    <w:p>
      <w:pPr>
        <w:ind w:left="1020" w:right="4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BEAM-101 is a patient-specific, autologous hematopoietic stem cell, or HSC, investigational therapy designed to offer a potentially best-in-class profile, incorporating base edits that are intended to alleviate the effects of sickle cell disease by increasing fetal hemoglobin, which is expected to increase functional hemoglobin production and, in the case of sickle cell disease, inhibit hemoglobin S polymerization. In December 2024, we announced preliminary positive data from our Phase 1/2 clinical trial of BEAM-101, which we refer to as the BEACON trial. The adult enrollment target for BEACON has been achieved, and the first adolescent patients have cleared screening and enrolled in the trial. We expect to dose 30 patients in the BEACON trial by mid-2025. We also plan to present updated data from the trial in mid-2025.</w:t>
      </w:r>
    </w:p>
    <w:p>
      <w:pPr>
        <w:spacing w:after="0" w:line="79"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BEAM-302 is a liver-targeting lipid nanoparticle, or LNP, formulation of base editing reagents designed to offer a one-time treatment to correct the E342K point mutation (PiZZ genotype), which is most commonly responsible for severe alpha-1 antitrypsin deficiency, or AATD. AATD is an inherited genetic disorder that can cause early onset emphysema and liver disease. We are evaluating BEAM-302 in a Phase 1/2 dose-escalation clinical trial and expect to report initial data from multiple cohorts in the trial in the first half of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continuing to advance our other hematology and genetic diseases programs:</w:t>
      </w:r>
    </w:p>
    <w:p>
      <w:pPr>
        <w:spacing w:after="0" w:line="117" w:lineRule="exact"/>
        <w:rPr>
          <w:sz w:val="20"/>
          <w:szCs w:val="20"/>
          <w:color w:val="auto"/>
        </w:rPr>
      </w:pPr>
    </w:p>
    <w:p>
      <w:pPr>
        <w:ind w:left="1020" w:right="16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Stem Cell Antibody Paired Evasion, or ESCAPE, is a potentially non-genotoxic approach to HSC transplantation, or HSCT, which combines antibody-based conditioning with multiplex gene edited HSCs. In our ESCAPE program, we expect to initiate a Phase 1 healthy volunteer clinical trial of BEAM-103, an anti-CD117 monoclonal antibody designed to suppress hematopoietic stem and progenitor cells that express CD117, by the end of 2025.</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glycogen storage disease type 1a, or GSD1a. We are evaluating BEAM-301 in a Phase 1/2 clinical trial, with patient dosing expected to commence in early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Limitations of nuclease editing</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Gene editing works by disrupting, inserting, or modifying genes in the natural context of the genome. Most established gene editing methods rely on a class of enzymes, called nucleases, to make a double-stranded break in the DNA at a targeted location. Nuclease editors have several significant limitations.</w:t>
      </w:r>
    </w:p>
    <w:p>
      <w:pPr>
        <w:spacing w:after="0" w:line="3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First, there is a lack of predictability in genetic outcomes when altering gene sequences with nucleases. Nuclease editors can be effective if the desired outcome is to knock out or switch off the whole gene, but do not allow for precise control of the specific genetic outcome at the target site and its effects may vary from individual to individual.</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Second, there are potential toxicities associated with double-stranded breaks, such as activating the cell death response and/or genomic instability. In addition, if the double-stranded break occurs in the wrong place, the break can also lead to unwanted gene disruptions. Multiple edits using double-stranded breaks can compound this issue and lead to large-scale genomic translocations and rearrangements, potentially limiting the applicability of nuclease-based approaches in multiplex editing.</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Third, while gene disruption with nucleases is efficient, making specific sequence changes to correct or modify genes remains largely inefficient. It also requires the simultaneous delivery of an additional DNA template containing the desired, corrected gene sequence, which needs to be positioned at the precise location where the double-stranded break has occurred. The requirement of an additional DNA template significantly increases the complexity of delivery.</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Finally, nuclease editing does not allow for the correction of genes in non-dividing cells, further limiting their applications, given that the majority of cells in the adult body are non-dividing.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editors: A potential differentiated class of gene editors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base editing technology is a differentiated therapeutic approach to gene editing, potentially capable of altering the human genome at the foundational level of genetic information – a single base – without making a double-stranded break in the DNA. The elegance and simplicity of this approach can be thought of as a “pencil,” where the error is erased and the correct letter is written.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base editing platform offers meaningful advantages over established approaches in gene editing,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precise and predictable gene editing, designed to make only one type of base edit at the desired target 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efficient and therapeutically relevant levels of gene correction, which are generally unachievable by nuclease-based editing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applicability in a wide range of cell types, including both dividing and non-dividing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chemical modification of DNA with no requirement for delivery of the corrected DNA sequence;</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unwanted DNA modifications associated with double-stranded breaks, including gene disruptions and chromosomal rearrangements, such as translocations or deletions;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permanent editing of genes, creating the opportunity for a life-long therapeutic outcome, including the ability to treat infants or young children since the edit will be passed on by dividing cells as the child grows;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applications, including gene correction, gene silencing, gene activation, gene modification and/or multiplex editing of several genes simultaneously</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Preservation of natural regulation and a normal number of copies of the gene in the cell by modification of genes in their native genomic setting;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versatile and modular product engine that can target a different gene sequence with the same base editor and a different guide RNA.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technology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proprietary DNA base editors have two principal components that may be fused together or incorporated into one another to form a single protein. The first component is a CRISPR associated protein. These proteins have been adapted and engineered to target specific genomic locations in human cells. The targeting ability of the CRISPR protein has been preserved, but the cutting ability has been modified such that the CRISPR protein does not make a double-stranded break in the DNA. The second component of our base editors is a human deaminase, a class of naturally occurring enzymes. Our Cytosine Base Editors, or CBEs, and our Adenine Base Editors, or ABEs, each use a different, engineered deaminase, which we have designed to act only on single-stranded DNA. The deaminase makes a predictable chemical modification, called deamination, of the amine group on either adenine (A) or cytosine (C) bases.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8" w:name="page9"/>
    <w:bookmarkEnd w:id="8"/>
    <w:p>
      <w:pPr>
        <w:ind w:right="20"/>
        <w:spacing w:after="0" w:line="254" w:lineRule="auto"/>
        <w:rPr>
          <w:sz w:val="20"/>
          <w:szCs w:val="20"/>
          <w:color w:val="auto"/>
        </w:rPr>
      </w:pPr>
      <w:r>
        <w:rPr>
          <w:rFonts w:ascii="Times New Roman" w:cs="Times New Roman" w:eastAsia="Times New Roman" w:hAnsi="Times New Roman"/>
          <w:sz w:val="18"/>
          <w:szCs w:val="18"/>
          <w:color w:val="auto"/>
        </w:rPr>
        <w:t>The deaminase in a CBE will convert an amine group of C, resulting in the formation of uracil (U), which is read by the DNA polymerase as a thymine (T) base. Once this strand has been edited, the intermediate DNA consists of an edited strand, containing a U at the target locus, and an unedited strand with a guanine (G) base. The U:G is a mismatch and in order to preserve the edit, we modify the CRISPR to cleave the unedited single strand of the DNA, referred to as nicking. Nicking is intended to increase the efficiency of editing by inducing the cell to use the newly edited strand, and not the unedited strand, as the template for repair, resulting in a U:A pair with minimal translocations. Upon DNA repair or replication, the U is read as a T, resulting in a T:A pair, thereby completing the permanent conversion of a C:G base pair to a T:A base pair. Analogously, when an ABE is used instead of a CBE, the conversion of an amine group of A results in the formation of inosine, which is read by the DNA polymerase as a G, which subsequently leads to an A-to-G change. As a result, an A:T pair is converted to a G:C pair. Because the DNA is double-stranded, by targeting the non-coding strand, we can also convert a T:A pair to a C:G and a G:C pair to a A:T pair in the coding strand.</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modular and individual components of our base editors have the potential to be customized for specific diseases, potentially allowing us to create new programs with significant efficiencies in development. For instance, by changing the guide RNA and/or CRISPR protein, we can retarget base editors to different genomic locations based on their gene sequences. By changing the deaminase, we can retarget which base is edited (e.g., C or A). As a result, we believe our base editing technology is highly versatile, efficient, and scalable for the discovery of new drug candidates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platform</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the unique advantages of base editing – single base editing precision, predictable editing outcome, high editing efficiency, and the avoidance of double-stranded breaks – make it a compelling approach for a wide range of therapeutic applications. This includes gene correction, gene modification, gene silencing and gene activation, as well as multiplex editing of several genes simultaneously.</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To complement our next-generation gene editing technologies, we are also making significant investments in a suite of delivery technologies designed to deliver gene editing or other nucleic acid payloads to the right cells and enable potentially curative therapy. These delivery technologies include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modalities, such as electroporation,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modalities, such as LNPs. In our pipeline, we have initially focused on applications of these technologies where their delivery capabilities have already been clinically-validated by third parties, such as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editing of blood stem cells and LNP delivery to the liver. Longer term, we are also investing in more innovative delivery options, including through our collaboration with Orbital Therapeutics, Inc., or Orbital, which is focused on next-generation mRNA and non-viral delivery technology. We have also developed critical enabling capabilities such as mRNA manufacturing and cell processing for autologous and allogeneic cell therapy.</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Due to the critical importance of high-quality manufacturing and control of production timing and know-how, we have also established a 100,000 square foot cGMP manufacturing facility in Research Triangle Park, North Carolina. The facility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and liver-mediated diseases, with the capability to scale-up to support potential commercial supply. For our initial clinical trials, we are relying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summary, we believe that building an integrated platform combining our gene editing capabilities with advanced delivery and manufacturing capabilities will give us the flexibility to develop a sustainable portfolio, featuring rapid development of new programs and lifecycle improvements in our core programs.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our internal pipeline, the breadth and depth of our integrated technology platform gives us the opportunity to create a hub for partnering with other companies, which is an important part of our business model. We believe this model will help us to unlock the full potential of precision genetic medicine across a wider array of possible applications, including many outside our core areas of focus.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overall goal with these platform activities is to continue expanding our access to the technologies and teams in genetic medicine that will maximize our long-term value creation and impact on patients.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base editing portfolio</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advancing multiple programs through clinical development in parallel. Our lead programs are focused on sickle cell disease and AATD, and we are also advancing programs in other genetic diseases.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our primary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2200" cy="255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520"/>
        <w:spacing w:after="0" w:line="382" w:lineRule="auto"/>
        <w:rPr>
          <w:sz w:val="20"/>
          <w:szCs w:val="20"/>
          <w:color w:val="auto"/>
        </w:rPr>
      </w:pPr>
      <w:r>
        <w:rPr>
          <w:rFonts w:ascii="Times New Roman" w:cs="Times New Roman" w:eastAsia="Times New Roman" w:hAnsi="Times New Roman"/>
          <w:sz w:val="14"/>
          <w:szCs w:val="14"/>
          <w:color w:val="auto"/>
        </w:rPr>
        <w:t>LNP = Lipid Nanoparticle; HSC = Hematopoietic Stem Cell; ESCAPE: Engineered Stem Cell Antibody Paired Evasion; FcRN = neonatal Fc receptor Pipeline does not include assets designated for partnering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are advancing hematology base editing programs in which HSCs are collected from a patient, edited using electroporation, a clinically validated technology for the delivery of therapeutic constructs into harvested cells, and then infused back into the patient following a conditioning regimen, such as treatment with busulfan, the standard of care in HSC transplantation today. Once reinfused, the HSCs begin repopulating a portion of the bone marrow in a process known as engraftment. The engrafted, edited HSCs give rise to progenitor cell types with the corrected gene sequences. We are deploying this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approach in our BEAM-101 and ESCAPE base editing programs.</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Sickle cell disease, a severe inherited blood disease, is caused by a single point mutation, E6V, in the beta globin gene. This mutation causes the mutated form of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are pursuing a long-term, staged development strategy for our base editing approach to treat hematological diseases that consists of advancing our lead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program, BEAM-101, in Wave 1, improving patient conditioning regimens in Wave 2, and enabling</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base editing with delivery directly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HSCs of patients via LNPs in Wave 3. We believe this suite of technologies – base editing, improved conditioning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editing HSCs – can maximize the potential applicability of our sickle cell disease programs to patients as well as create a platform for the treatment of many other severe genetic blood disorders.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6"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Wave 1: Ex vivo base editing via autologous transplant with BEAM-101</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using base editing to pursue the development of BEAM-101 for the treatment of sickle cell disease. BEAM-101 is a patient-specific, autologous HSC investigational therapy designed to offer a potentially best-in-class profile, incorporating base edits that are intended to mimic single nucleotide polymorphisms seen in individuals with hereditary persistence of fetal hemoglobin, or HPFH. The beneficial effects of the fetal form of hemoglobin, or HbF, to compensate for mutations in adult hemoglobin were first identified in individuals with HPFH. Individuals who carry mutations that would have typically caused them to be beta-thalassemia or sickle cell disease patients, but who also have HPFH, are asymptomatic or experience a much milder form of their disease.</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BEAM-101 aims to alleviate the effects of sickle cell disease by increasing HbF, which is expected to increase functional hemoglobin production and, in the case of sickle cell disease, inhibit hemoglobin S polymerization.</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conducting a Phase 1/2 clinical trial designed to assess the safety and efficacy of BEAM-101 for the treatment of sickle cell disease, which we refer to as our BEACON trial. The BEACON trial includes up to 45 patients ages 18 to 35 with severe sickle cell disease who have received prior treatment with at least one disease-modifying agent with inadequate response or intolerance. Following mobilization, conditioning and treatment with BEAM-101, patients are assessed for safety and tolerability, with safety endpoints including neutrophil and platelet engraftment. Patients are also assessed for efficacy, with efficacy endpoints including the change from baseline in severe vaso-occlusive events, transfusion requirements, HbF levels, and quality of life assessments. The trial’s Data Monitoring Committee and the U.S. Food &amp; Drug Administration have cleared the trial to enroll adolescents from 12 to 17 years old. The adult enrollment target for BEACON has been achieved, and the first adolescent patients have cleared screening and enrolled in the trial. We expect to dose 30 patients in the BEACON trial by mid-2025. We also plan to present updated data from the trial in mid-2025.</w:t>
      </w:r>
    </w:p>
    <w:p>
      <w:pPr>
        <w:spacing w:after="0" w:line="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December 2024, we presented initial data from the BEACON trial at the 2024 American Society of Hematology Annual Meeting and Exposition, or ASH. The presentation contained preliminary data as of October 28, 2024 from seven patients in the trial, with follow up ranging from one to 11 months. The presentation data included the following:</w:t>
      </w:r>
    </w:p>
    <w:p>
      <w:pPr>
        <w:spacing w:after="0" w:line="68" w:lineRule="exact"/>
        <w:rPr>
          <w:sz w:val="20"/>
          <w:szCs w:val="20"/>
          <w:color w:val="auto"/>
        </w:rPr>
      </w:pPr>
    </w:p>
    <w:p>
      <w:pPr>
        <w:ind w:left="1020" w:right="3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achieved endogenous HbF levels exceeding 60% and reduction in corresponding sickle hemoglobin S below 40% that was durable through the data cutoff date. A pancellular distribution of HbF was also observed after the elimination of transfused blood. Total hemoglobin levels increased rapidly with resolution of anemia in all patients after elimination of the transfused blood.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achieved the minimum target cell dose in either 1 or 2 cycles of mobilization (average: 1.4). The mean time to neutrophil</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engraftment was 17.1 days (range: 15–21), with a low mean duration of neutropenia (6.3 days). The mean time to platelet engraftment was</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days (range: 11–34).</w:t>
      </w:r>
    </w:p>
    <w:p>
      <w:pPr>
        <w:spacing w:after="0" w:line="98"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markers of hemolysis, including indirect bilirubin, haptoglobin, lactate dehydrogenase and reticulocytes, normalized or improved in all patients following BEAM-101 treatment.</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safety profile of BEAM-101 was consistent with busulfan conditioning and autologous HSCT. The most common treatment-emergent adverse events were consistent with busulfan conditioning, including febrile neutropenia, stomatitis and anemia. One patient died four months after BEAM-101 infusion due to respiratory failure that was determined by the investigator to be likely related to busulfan conditioning and deemed unrelated to BEAM-101. No vaso-occlusive crises were reported post-engraftment.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2: Non-genotoxic conditioning</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parallel with Wave 1 development, we also aim to improve the transplant conditioning regimen for patients undergoing HSCT, reducing toxicity challenges associated with HSCT standard of care. Conditioning is a critical component necessary to prepare a patient’s body to receive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edited cells that must engraft in the patient’s bone marrow in order to be effective. However, today’s conditioning regimens rely on nonspecific chemotherapy or radiation, which are associated with significant toxicities. As a potential alternative to genotoxic conditioning regimens in HSCT, we are advancing our ESCAPE program. ESCAPE aims to avoid toxicity challenges associated with currently available conditioning regimens for patients with sickle cell disease and beta-thalassemia ahead of autologous HSCT, by combining antibody-based conditioning with multiplex gene edited HSCs. ESCAPE may also have applications in other diseases of the blood and immune system where HSCT could deliver potential benefits but has been limited by toxicities associated with current standard of care conditioning regimens.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nominated a development candidate for our ESCAPE technology comprised of two investigational drug products: BEAM-103, an anti-CD117 monoclonal antibody, and BEAM-104, a cell therapy that includes the same therapeutic edit as BEAM-101 (editing the HBG1/2 genes to elevate fetal hemoglobin), plus an additional edit to CD117 designed to block binding of BEAM-103, allowing the edited cells to evade suppression by the antibody. We intend to advance BEAM-103 and BEAM-104 for development in sickle cell disease and beta-thalassemia, potentially building on the same regulatory, manufacturing, clinical and commercial foundations being established with BEAM-101. We expect to initiate a Phase 1 healthy volunteer clinical trial of BEAM-103 by the end of 2025.</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Wave 3: In vivo base editing via HSC-targeted LNPs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are also exploring the potential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sickle cell disease, in which base editors would be delivered to the patient through an infusion of LNPs targeted to HSCs, eliminating the need for transplantation altogether. This approach could provide a more accessible option for patients, particularly in regions where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treatment is challenging. In preclinical studies, we achieved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validation of our most potent HSC-directed LNP, demonstrating:</w:t>
      </w:r>
    </w:p>
    <w:p>
      <w:pPr>
        <w:spacing w:after="0" w:line="74" w:lineRule="exact"/>
        <w:rPr>
          <w:sz w:val="20"/>
          <w:szCs w:val="20"/>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dose-dependent mRNA transfection in HSCs, resulting in fluorescent reporter expression in more than 40% of cells, maintained out to 16 weeks post-delivery;</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efficient transfection of human CD34+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transfection of nearly 20% of CD34+ HSCs in humanized mice and NHPs at a dose of 1.0 mg/kg.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Genetic diseases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Because only one dose of a base editing therapy may be needed in a course of treatment, LNPs are a suitable delivery modality that we believe is unlikely to face the complications seen with chronic use of LNPs, such as those observed when delivering oligonucleotides or mRNA for gene therapy. All of the components of the LNP, as well as the mRNA encoding the base editor, are well-defined and can be manufactured synthetically, providing the opportunity for scalable manufacturing. We are currently using LNPs to advance BEAM-302 and BEAM-301.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BEAM-302: In vivo LNP liver-targeting for AATD</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correct the E342K point mutation (PiZZ genotype) predominantly responsible for the severe form of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In addition to resulting in lower levels, the PiZ AAT protein variant is also less enzymatically effective compared to wildtype AAT protein.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100,000 individuals in the United States have two copies of the Z allele. There are currently no curative treatments for patients with AATD.</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conducting a Phase 1/2 open label, dose escalation clinical trial of BEAM-302 at sites located in the United Kingdom for the treatment of AATD. The trial will evaluate the safety, pharmacodynamics, pharmacokinetics and efficacy of BEAM-302 initially in patients with AATD-associated lung disease. The study design includes a dose exploration portion followed by a dose expansion portion to identify the optimal dose to take forward in a pivotal study. We continue to progress enrollment and global site activation and expect to report initial clinical data from multiple cohorts in the trial in the first half of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BEAM-301: In vivo LNP liver-targeting for GSD1a</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GSD1a. GSD1a is an autosomal recessive disorder caused by mutations in the G6PC gene that disrupts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conducting a Phase 1/2 clinical trial of BEAM-301 at a select number of sites in the United States. The trial is an open-label, multi-cohort, single-ascending dose evaluation of BEAM-301 for the treatment of GSD1a in patients with the R83C mutation. Key endpoints of the trial include safety and tolerability, time to hypoglycemia during fasting, and changes from baseline in corn starch supplementation. In January 2025, we activated the first clinical trial site for the Phase 1/2 clinical trial of BEAM-301. We are continuing site activation activities and expect dosing to commence in early 2025.</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portfolio of precision gene editing technologies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licensed a portfolio of three additional complementary gene editing technologies – prime editing, Cas12b nuclease editing and RNA base editing</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 for certain fields. Combined with base editing, we have assembled a broad and versatile portfolio of next generation gene editing technologies for the potential treatment of many severe diseases.</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license to prime editing from Prime Medicine, Inc. Prime editing may be able to achieve the rewriting of short sequences of DNA at a target location. Prime editing utilizes a CRISPR protein to target a mutation site in DNA and to nick a single strand of the target DNA. The guide RNA allows the CRISPR protein to recognize a DNA sequence that is complementary to the guide RNA and also carries a primer for reverse transcription and a replacement template. The reverse transcriptase copies the template sequence in the nicked site, installing the edit. As with base editing, prime editing does not cause double-stranded breaks in the target DNA, resulting in lower insertion and deletion rates than gene editing technologies that rely on double stranded breaks.</w:t>
      </w:r>
    </w:p>
    <w:p>
      <w:pPr>
        <w:spacing w:after="0" w:line="7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have the exclusive right to develop prime editing technology for the creation or modification of any single base transition mutations, as well as any edits made for the treatment of sickle cell disease. Transition mutations (i.e., A-to-G, G-to-A, C-to-T, or T-to-C) are the largest single class of disease-associated genetic mutations and include all of our current targets for base editing programs.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The Broad Institute, Inc., or Broad Institute, that gives us access to the Cas12b nuclease family, which allows us to make “cut” edits, which may be appropriate for some applications that require a double stranded break, or to use the general gene targeting ability of Cas12b for other gene editing applications.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Broad Institute license also gives us access to RNA base editing technology, a two-part modular system using an RNA-directed CRISPR protein for targeting RNA strands and a deaminase for editing. This CRISPR protein, known as Cas13, is modified so that it cannot break the RNA strand, and is fused to a deaminase capable of making a single base edit at a specific target location within the RNA strand.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w:t>
      </w:r>
      <w:r>
        <w:rPr>
          <w:rFonts w:ascii="Times New Roman" w:cs="Times New Roman" w:eastAsia="Times New Roman" w:hAnsi="Times New Roman"/>
          <w:sz w:val="18"/>
          <w:szCs w:val="18"/>
          <w:color w:val="auto"/>
        </w:rPr>
        <w:t>ti</w:t>
      </w:r>
      <w:r>
        <w:rPr>
          <w:rFonts w:ascii="Times New Roman" w:cs="Times New Roman" w:eastAsia="Times New Roman" w:hAnsi="Times New Roman"/>
          <w:sz w:val="18"/>
          <w:szCs w:val="18"/>
          <w:b w:val="1"/>
          <w:bCs w:val="1"/>
          <w:color w:val="auto"/>
        </w:rPr>
        <w:t>ons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our collection of base editing, gene editing and delivery technologies has significant potential across a broad array of genetic diseases. To fully realize this potential, we have established and plan to continue to seek out innovative collaborations, licenses, and strategic alliances with pioneering companies and with leading academic and research institutions. Additionally, we have and intend to continue to pursue relationships that potentially allow us to accelerate our preclinical research and development efforts. We believe these relationships will allow us to aggressively pursue our vision of maximizing the potential of base editing to provide life-long cures for patients suffering from serious diseases.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2021, we entered into a four-year research collaboration agreement with Pfizer Inc., or Pfizer,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three targets for rare genetic diseases of the liver, muscle and central nervous system. Under the terms of the agreement, we will conduct all research activities through development candidate selection for three pre-specified, undisclosed targets. Pfizer may opt in to exclusive, worldwide licenses to each development candidate, after which it will be responsible for all development activities, as well as potential regulatory approvals and commercialization, for each such development candidate. We have a right to opt in, at the end of Phase 1/2 clinical trials, upon the payment of an option exercise fee, to a global co-development and co-commercialization agreement with respect to one program licensed under the collaboration pursuant to which we and Pfizer would share net profits as well as development and commercialization costs in a 35%/65% ratio (Beam/Pfizer).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2021, we entered into a research collaboration agreement, or the Apellis Agreement, with Apellis Pharmaceuticals, Inc., or Apellis, focused on the use of our base editing technology to discover new treatments for complement system-driven diseases. Under the terms of the Apellis Agreement, we will conduct preclinical research on six base editing programs that target specific genes within the complement system in various organs, including the eye, liver, and brain. Apellis has an exclusive option to license any or all of the six programs and will assume responsibility for subsequent development. We may elect to enter into a 50-50 U.S. co-development and co-commercialization agreement with Apellis with respect to one program licensed under the collaboration.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 Therapeutics and Eli Lilly and Company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2019, we entered into a collaboration and license agreement, or the Verve Agreement, with Verve Therapeutics, Inc., or Verve, a company focused on gene editing for cardiovascular disease treatments, and in July 2022, we and Verve amended the Verve Agreement. Under the terms of the Verve Agreement, as amended, we granted Verve exclusive worldwide licenses under certain of our editing technologies for human therapeutic applications against a total of three liver-mediated, cardiovascular disease targets, including use of our base editing technology for each of these targets and use of certain of our gene editing technology for two of such targets. In exchange, we received shares of Verve common stock. In October 2023, we entered into a transfer and delegation agreement, or the Lilly Agreement, with Eli Lilly and Company, or Lilly, pursuant to which Lilly acquired certain assets and other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18"/>
          <w:szCs w:val="18"/>
          <w:color w:val="auto"/>
        </w:rPr>
        <w:t>rights under the Verve Agreement, including our opt-in rights to co-develop and co-commercialize each of Verve’s base editing programs for cardiovascular disease, which consist of programs targeting PCSK9, ANGPTL3 and an undisclosed liver-mediated, cardiovascular target. In addition, Lilly acquired the right to receive any future milestone or royalty payments payable to us under the Verve Agreement. Under the terms of the Lilly Agreement, we received a $200.0 million payment and are eligible to receive up to $350.0 million in potential future development-stage payments upon the completion of certain clinical, regulatory and alliance events.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Sana Biotechnology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engineered cell therapy programs. Under the terms of the Sana Agreement, licensed products include certain specified allogeneic T cell and stem cell-derived products directed at specified genetic targets, with certain limited rights for Sana to add and substitute such products and targets. The Sana Agreement excludes the grant of any Beam-controlled rights to perform base editing. Sana is conducting a first-in-human trial of SC291, its CD19-targeted allogeneic CAR-T cell therapy, in patients with various B-cell mediated autoimmune diseases. Sana is also conducting a first-in-human trial of SC262, its CD22-directed allogeneic CAR-T cell therapy, in patients with relapsed or refractory B-cell malignancies.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Therapeutics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2022, we entered into a license and research collaboration agreement, or the Orbital Agreement, with Orbital, pursuant to which each of us granted the other licenses to certain technology controlled during the three years after entry into the Orbital Agreement that are necessary or reasonably useful for the non-viral delivery or the design or manufacture of RNA for the prevention, treatment or diagnosis of human disease. Our license to Orbital is for all fields other than our exclusive field and also excludes the targets and substantially all of the indications that are the subject of our existing programs. Our exclusive field consists of all products and biologics that function in the process of gene editing or conditioning for use in cell transplantation, or that act in combination with any such products or biologics. Orbital’s license to us is for all fields other than Orbital’s exclusive field. Orbital’s exclusive field consists of products and biologics that function as vaccines and also of therapeutic proteins, other than therapeutic proteins (i) that use gene editing, (ii) for use in conditioning, (iii) for use in regenerative medicine, (iv) for use as a CAR immune therapy, including CAR-T, CAR-NK and CAR-macrophage compositions, (v) for use as a T-cell receptor therapy or (vi) that modulate certain immune responses. The licenses are exclusive in each party’s exclusive field for three years and non-exclusive in those fields thereafter. We and Orbital agreed that for a period of three years after entry into the Orbital Agreement, subject to limited exceptions, we would not research, develop and commercialize, or grant licenses to research, develop and commercialize, products or biologics within the other party’s exclusive field.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Medicine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September 2019, we entered into a collaboration and license agreement with Prime Medicine to research and develop a novel gene editing technology developed by one of our founders. Under the terms of the agreement, we granted Prime Medicine a non-exclusive license to certain of its CRISPR technology (including Cas12b), delivery technology and certain other technology controlled by us to develop and commercialize gene editing products for the treatment of human diseases. Prime Medicine granted us an exclusive license to develop and commercialize prime gene editing technology for the creation or modification of any single base transition mutations, as well as any edits made for the treatment of sickle cell disease.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including the genetic medicines field,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Within these industries, we will compete with existing large pharmaceutical companies, specialty pharmaceutical companies, and biotechnology companies.</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are several other companies utilizing base editing technology, including PerkinElmer, Life Edit (an ElevateBio company), Metagenomi, Revvity and Intellia Therapeutics. In addition, we face competition from companies utilizing other gene editing modalities and various other genetic medicines.</w:t>
      </w:r>
    </w:p>
    <w:p>
      <w:pPr>
        <w:spacing w:after="0" w:line="5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Within the disease areas that we focus on, we are also aware of competing companies that have approved therapies, those with therapies in development, and others that may emerge in the future. For sickle cell disease, these companies include CRISPR Therapeutics, Vertex Pharmaceuticals, bluebird bio, Novartis Pharmaceuticals, Kamau Therapeutics, Fulcrum Therapeutics, Tessera Therapeutics, Cimeio Therapeutics and Agios Pharmaceuticals. For our AATD targeted therapies, these include Wave Life Sciences, Moderna, Korro Bio, Tessera Therapeutics and Arrowhead Pharmaceuticals.</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4" w:name="page15"/>
    <w:bookmarkEnd w:id="14"/>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conducting preclinical studies and clinical trials and seeking approval for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CMOs,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Our success depends in part on our ability to obtain and maintain proprietary protection for our platform technology, our programs, and know-how related to our business, defend and enforce our intellectual property rights, in particular, our patent rights, preserve the confidentiality of our trade secrets, and operate without infringing, misappropriating or otherwise violating any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Item 1A., </w:t>
      </w:r>
      <w:r>
        <w:rPr>
          <w:rFonts w:ascii="Times New Roman" w:cs="Times New Roman" w:eastAsia="Times New Roman" w:hAnsi="Times New Roman"/>
          <w:sz w:val="17"/>
          <w:szCs w:val="17"/>
          <w:i w:val="1"/>
          <w:iCs w:val="1"/>
          <w:color w:val="auto"/>
        </w:rPr>
        <w:t>Risk factors—Risks related to our intellectual property</w:t>
      </w:r>
      <w:r>
        <w:rPr>
          <w:rFonts w:ascii="Times New Roman" w:cs="Times New Roman" w:eastAsia="Times New Roman" w:hAnsi="Times New Roman"/>
          <w:sz w:val="17"/>
          <w:szCs w:val="17"/>
          <w:color w:val="auto"/>
        </w:rPr>
        <w:t>, in this Annual Report on 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wholly owned and our in-licensed patents and patent applications cover various aspects of our base editing platform and our programs,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C-to-T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A-to-G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A-to-I RNA base editors, or REPAIR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C-to-U RNA base editors, or RESCUE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 editing C-to-T and A-to-G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CRISPR/Cas12b systems for nuclease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guide RNA 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methods for increasing the specificity of base editing</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Multiplex base editing in immune cells </w:t>
      </w:r>
      <w:r>
        <w:rPr>
          <w:rFonts w:ascii="Times New Roman" w:cs="Times New Roman" w:eastAsia="Times New Roman" w:hAnsi="Times New Roman"/>
          <w:sz w:val="18"/>
          <w:szCs w:val="18"/>
          <w:i w:val="1"/>
          <w:iCs w:val="1"/>
          <w:color w:val="auto"/>
        </w:rPr>
        <w:t>ex vivo</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for evaluating base editing specificity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modality</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have an option to license patents and patent applications relating to CRISPR/Cas9 systems. We intend to continue to pursue, when possible, additional patent protection, including composition of matter, method of use, and process claims, directed to each component of our platform technology and the programs in our portfolio. As of December 31, 2024, our wholly-owned patent portfolio consisted of eight issued U.S. patents, and 21 issued patents in jurisdictions outside the United States. We also have approximately 539 pending patent applications, including PCT applications, provisional patent applications and counterparts to the foregoing U.S. and foreign patents. In addition, Beam co-owns one issued U.S. patent and one issued patent in a jurisdiction outside the United States. We also have approximately 26 pending patent applications between the Broad Institute, Inc., UCL Business, Ltd., and Apellis Pharmaceuticals, Inc. The patents and patent applications outside of the United States were filed in numerous jurisdictions, including Australia, Brazil, Canada, China, Europe, Hong Kong, India, Japan, Korea, Singapore and South Africa. Many of our owned patents and patent applications are related to our DNA base editing technology, including claims to base editor variants with enhanced activities or novel properties, methods of using such base editors, methods of using such base editors for therapeutic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 w:name="page16"/>
    <w:bookmarkEnd w:id="15"/>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indications, multiplex base editing in immune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guide RNAs that target base editors to therapeutically relevant DNA sequences, and methods for evaluating base editing specificity. Certain of our owned patents and patent applications are related to viral and non-viral delivery technologies. If issued as U.S. patents, and if the appropriate maintenance fees are paid, the U.S. patents would be expected to expire between 2039 and 2045, excluding any additional term for patent term adjustments or patent term extensions.</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2024, our in-licensed patent portfolio consisted of approximately 64 issued U.S. patents, and approximately 265 issued patents in jurisdictions outside the United States. We also have approximately 350 pending patent applications, including PCT applications, provisional patent applications and counterparts to the foregoing U.S. and foreign patents. The patents and patent applications outside of the United States were filed in numerous jurisdictions, including Australia, Canada, China, Europe, Hong Kong, India, Israel, Japan, Korea, New Zealand, Russia and Singapore. The patents and applications from our in-licensed portfolio for DNA base editing include claims to novel base editors, claims to engineered deaminase enzymes (e.g., evolved TadA) used in the base editors, compositions including the base editor or engineered deaminase as a component, methods of using such base editors, including methods of using such base editors for therapeutic indications, and guide RNAs that target base editors to therapeutically relevant DNA sequences. The in-licensed patents and applications also cover various aspects related to the platform technology, including base editing systems that employ </w:t>
      </w:r>
      <w:r>
        <w:rPr>
          <w:rFonts w:ascii="Times New Roman" w:cs="Times New Roman" w:eastAsia="Times New Roman" w:hAnsi="Times New Roman"/>
          <w:sz w:val="18"/>
          <w:szCs w:val="18"/>
          <w:i w:val="1"/>
          <w:iCs w:val="1"/>
          <w:color w:val="auto"/>
        </w:rPr>
        <w:t>S. pyogenes</w:t>
      </w:r>
      <w:r>
        <w:rPr>
          <w:rFonts w:ascii="Times New Roman" w:cs="Times New Roman" w:eastAsia="Times New Roman" w:hAnsi="Times New Roman"/>
          <w:sz w:val="18"/>
          <w:szCs w:val="18"/>
          <w:color w:val="auto"/>
        </w:rPr>
        <w:t xml:space="preserve"> Cas9,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Cas9, Cas9 PAM variants, inactive forms of Cas9, and/or Cas9 nickases, and systems for delivery of base editors. The patents and applications from our in-licensed portfolio for RNA base editing include claims to novel base editors, compositions including the base editor as a component, guide RNAs that target base editors to therapeutically relevant RNA sequences, and methods of using such base editors, including methods of using such base editors for therapeutic indications. The patents and applications from our in-licensed portfolio for Cas12b editing include claims to methods of using Cas12b to modify DNA (e.g., nuclease cleavage of DNA) and engineered and/or non-naturally occurring compositions including Cas12b as a component. The patents and applications from our in-licensed portfolio for delivery technologies include claims to novel lipid-based delivery systems and compositions, viral-based delivery systems and compositions, and methods of using such systems and compositions to deliver base editors. The patents and applications from our in-licensed portfolio for the balance of our platform include claims to compositions and methods for delivery of charged base editor proteins into cells, modification and improvements to the base editing systems including improvements to the nucleotide binding protein component, guide RNA component and base editing enzyme component of the base editing complex, methods for evaluating gene targeting and base editing efficiency and compositions and methods for prime editing. Our current in-licensed patents and patent applications, if the appropriate maintenance fees are paid, are expected to expire between 2034 and 2040, excluding any additional term for patent term adjustments or patent term extensions (or the corresponding foreign equivalent). For information related to our in-licensed intellectual property, see the subsection below titled “—Intellectual Property Licenses.”</w:t>
      </w:r>
    </w:p>
    <w:p>
      <w:pPr>
        <w:spacing w:after="0" w:line="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also have a nonexclusive license to conduct research activities and an option to exclusively license certain patents and patent applications directed to Cas9 and Cas12a from Editas, who in turn has licensed such patents from various academic institutions. In the case of Cas9, a number of the U.S. patents are subject to an interference declared by the Patent and Trademark office, and a number of the European patents are the subject of one or more oppositions. For more information regarding the risks related to our intellectual property, please see Item 1., </w:t>
      </w:r>
      <w:r>
        <w:rPr>
          <w:rFonts w:ascii="Times New Roman" w:cs="Times New Roman" w:eastAsia="Times New Roman" w:hAnsi="Times New Roman"/>
          <w:sz w:val="18"/>
          <w:szCs w:val="18"/>
          <w:i w:val="1"/>
          <w:iCs w:val="1"/>
          <w:color w:val="auto"/>
        </w:rPr>
        <w:t>Business—Intellectual property—Intellectual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licenses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factors—Risks related to our intellectual property</w:t>
      </w:r>
      <w:r>
        <w:rPr>
          <w:rFonts w:ascii="Times New Roman" w:cs="Times New Roman" w:eastAsia="Times New Roman" w:hAnsi="Times New Roman"/>
          <w:sz w:val="18"/>
          <w:szCs w:val="18"/>
          <w:color w:val="auto"/>
        </w:rPr>
        <w:t>, in this Annual Report on Form 10-K.</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In the United States, a patent’s term may, in certain cases, be lengthened by patent term adjustment, or PTA, which compensates a patentee for administrative delays by the USPTO in examining and granting a patent, or may be shortened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 patent is terminally disclaimed over a commonly owned patent having an earlier expiration date). In some instances, such a PTA may result in a U.S. patent term extending beyond 20 years from the earliest date of filing a non-provisional patent application related to the U.S. patent. Patent term extensions, or PTE, under the Drug Price Competition and Patent Term Restoration Act of 1984, commonly known as the Hatch-Waxman Act, are also possible for patents that cover an FDA-approved drug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and only one patent applicable to an approved drug, a method for using it, or a method of manufacturing it, may be extended. Similar provisions are available in Europe and certain other jurisdictions to extend the term of a patent that covers an approved drug. In the future, if our products receive regulatory approval, we may be eligible to apply for PTEs on patents covering such products, however there is no guarantee that the applicable authorities, including the FDA in the United States, will agree with our assessment of whether such PTE should be granted, and if granted, the length of such PTE. For more information regarding the risks related to our intellectual property, please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Intellectual property</w:t>
      </w:r>
      <w:r>
        <w:rPr>
          <w:rFonts w:ascii="Times New Roman" w:cs="Times New Roman" w:eastAsia="Times New Roman" w:hAnsi="Times New Roman"/>
          <w:sz w:val="18"/>
          <w:szCs w:val="18"/>
          <w:color w:val="auto"/>
        </w:rPr>
        <w:t>, in this Annual Report on Form 10-K.</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6" w:name="page17"/>
    <w:bookmarkEnd w:id="16"/>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implemented measures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Item 1A.,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intellectual property</w:t>
      </w:r>
      <w:r>
        <w:rPr>
          <w:rFonts w:ascii="Times New Roman" w:cs="Times New Roman" w:eastAsia="Times New Roman" w:hAnsi="Times New Roman"/>
          <w:sz w:val="18"/>
          <w:szCs w:val="18"/>
          <w:color w:val="auto"/>
        </w:rPr>
        <w:t>, in this Annual Report on Form 10-K.</w:t>
      </w:r>
    </w:p>
    <w:p>
      <w:pPr>
        <w:spacing w:after="0" w:line="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rely on trademark protection for our company name and related designs. As of December 31, 2024, our registered trademark portfolio contained approximately 33 registered/allowed trademarks and pending trademark applications in the United States and in certain overseas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base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President and Fellows of Harvard College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2017, we entered into a license agreement with Harvard, as amended, or the Harvard License Agreement, pursuant to which we received an exclusive, worldwide, royalty-bearing, sublicensable license under certain patent rights owned or controlled by Harvard to make, have made, offer for sale, sell, have sold and import licensed products in the field of the prevention or treatment of any and all human diseases and conditions, excluding human germline modification and products for non-human animal and plant applications. We also received a non-exclusive, worldwide, royalty-bearing, sublicensable license to research, have researched, develop and have developed “enabled” products related to the Harvard patent rights which are not licensed products.</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licensed patents are directed, among other things, to C-to-T, A-to-G, and C-to-G base editors, for the treatment of certain diseases and conditions and to base editing, more generally.</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Harvard License Agreement, we are required to use commercially reasonable efforts to develop products incorporating the base editing technology covered in the licensed patents, in accordance with a development plan that we prepared and submitted to Harvard. The development plan includes certain development milestones that we are required to meet, as well as the timelines for the completion thereof, and we may update the development plan from time to time as we believe necessary, in our good faith judgment, for us to meet such milestones.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 If we fail to meet any of the deadlines for the development milestones, then Harvard may, depending on the nature of the failure and the impacted milestones, either terminate the Harvard License Agreement or our licenses with respect to the applicable licensed product(s), subject to certain exceptions and opportunities for us to cure such failure. Additionally, we are required to meet development milestones for the development of a licensed product covered by certain sub-categories of licensed patents. Failure to achieve milestones with respect to such sub-categories gives Harvard the right to grant third parties non-exclusive licenses under such failed sub-categories.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licenses granted to us under the Harvard License Agreement are expressly subject to certain preexisting rights held by Harvard and certain third parties. For example, certain of the licensed patents were developed by employees of the Howard Hughes Medical Institute and were subsequently assigned to Harvard but remain subject to a non-exclusive license between Harvard and Howard Hughes, pursuant to which Howard Hughes received a license from Harvard under certain of the licensed patents for research purposes with the right to sublicense to non-profit and governmental entities. In addition, certain of the licensed patents claim or cover inventions resulting from research that was sponsored by the U.S. government, and the U.S. government retains certain rights with respect to such licensed patents under applicable U.S. law. Harvard additionally retains limited rights for itself and for other non-profit research organizations to practice the licensed patents for research, educational, and scholarly purposes. Furthermore, Harvard retains the right, beginning a certain period of time after regulatory approval of any licensed product in the U.S. or certain European countries, to grant third parties the non-exclusive right to develop, manufacture, have manufactured, import, have imported, offer for sale, sell, have sold or otherwise distribute or have distributed such licensed product or an equivalent thereof solely for sale on a locally-affordable basis in certain specified developing countries in which we do not have plans to seek regulatory approval.</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7" w:name="page18"/>
    <w:bookmarkEnd w:id="17"/>
    <w:p>
      <w:pPr>
        <w:ind w:right="20"/>
        <w:spacing w:after="0" w:line="252" w:lineRule="auto"/>
        <w:rPr>
          <w:sz w:val="20"/>
          <w:szCs w:val="20"/>
          <w:color w:val="auto"/>
        </w:rPr>
      </w:pPr>
      <w:r>
        <w:rPr>
          <w:rFonts w:ascii="Times New Roman" w:cs="Times New Roman" w:eastAsia="Times New Roman" w:hAnsi="Times New Roman"/>
          <w:sz w:val="18"/>
          <w:szCs w:val="18"/>
          <w:color w:val="auto"/>
        </w:rPr>
        <w:t>Although the licenses granted to us under the Harvard License Agreement are exclusive, Harvard may grant a license to a third party under the licensed patents to research, develop, and commercialize a product directed to one or more particular targets, or a proposed product, in the field under limited circumstances. If a third party that is not a specified competitor of ours inquires with Harvard for such a license, and then attempts to enter into a sublicense agreement with us after being referred to us by Harvard and fails to do so after a certain period of time and presents to Harvard a proposal including certain information describing the proposed development and commercialization of such product, then Harvard may notify us of such proposal. If we are not researching, developing or commercializing such a proposed product, then we can notify Harvard as to whether we are interested in developing such proposed product, entering into a sublicense agreement with such third party to develop such proposed product, or entering into a sublicense with another third party to develop the same proposed product. If we inform Harvard that we are interested in developing such proposed product, then we will prepare a development plan, similar in scope to the development plan under the Harvard License Agreement, to develop such proposed product. If we inform Harvard that we are interested in entering into a sublicense agreement pursuant to which a third party would receive a sublicense from us under the licensed patents to develop such proposed product, then we will have a specified period of time to enter into such a sublicense agreement and provide reasonable evidence thereof. If we are not researching, developing, or commercializing such a proposed product, fail to provide a development plan, or fail to enter into a sublicense agreement with respect to such proposed product, in each case, within specified time periods, then Harvard may grant a license to the applicable third party under the licensed patents to research, develop, and commercialize such proposed product.</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are permitted to further sublicense our rights under the Harvard License Agreement to third parties, provided that any such sublicense agreement with a third party must remain in compliance with and be consistent with the terms of the Harvard License Agreement, and certain rights granted to us under the Harvard License Agreement can only be sublicensed 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collaboration partners who are working with us to develop one or more licensed products. In addition, any such sublicense agreement must include certain provisions to ensure our ability to comply with the Harvard License Agreement. We are also responsible for any breaches of a sublicense agreement by the applicable sublicensee, if such breach results in a material breach of the Harvard License Agreement, provided that if we cure the breach or diligently enforce our rights to terminate the sublicense, we will not be subject to termination by Harvard for the sublicensee’s breach, even if it resulted in a material breach of the Harvard Agreement.</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exchange for the licenses granted to us under the Harvard License Agreement, we initially issued to Harvard 101,363 shares of our common stock and subsequently issued 765,549 shares of our common stock pursuant to anti-dilution rights in the Harvard License Agreement. We are also required to pay to Harvard an annual license maintenance fee ranging from low-to-mid five figures to low six figures, depending on the particular calendar year. Harvard is also entitled to receive potential clinical and regulatory milestones in the mid-to-high eight figure range, and to receive success payments based on increases in the fair market value of our common stock. If we undergo a change of control during the term of the Harvard License Agreement, then certain of the milestone payments would be increased. We paid Harvard a total of $9.0 million upon the completion of our Series A and Series B financings.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We elected to make the payment in shares of our common stock and issued 174,825 shares of our common stock to settle this liability on June 10, 2021. We may additionally owe Harvard success payments of up to an additional $90.0 million.</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With respect to the sale of licensed products by us, our affiliates or our sublicensees, Harvard is entitled to receive low single digit royalties on net sales of licensed products until, on a country-by-country basis, the latest of the expiration of (i) the last to expire valid claim of a licensed patent covering the applicable licensed product, (ii) the period of exclusivity associated with such licensed product in such country or (iii) a certain number of years after the first commercial sale of such licensed product in such country. We are entitled to certain reductions and offsets on these royalties with respect to a licensed product in a given country and certain increases in the event we, our affiliates or sublicensees bring patent challenges relating to any licensed patents (subject to an ability to delay and/or avoid such increases by diligently seeking to terminate and/or terminating the sublicense that has taken the applicable action). If we sublicense our rights to develop or commercialize a licensed product under the Harvard License Agreement to a third party and we receive non-royalty sublicense income, then Harvard is entitled to a percentage of such consideration, ranging from the high single digits to an amount in the first decile depending on the date in which such sublicense agreement is executed and the stage of development our licensed products at such time.</w:t>
      </w:r>
    </w:p>
    <w:p>
      <w:pPr>
        <w:spacing w:after="0" w:line="8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Harvard is responsible for the prosecution and maintenance of all licensed patents, provided that we have customary consultation, comment, and review rights with respect to such prosecution and maintenance activities. We are responsible for Harvard’s documented out-of-pocket expenses with respect to such prosecution and maintenance, but if Harvard enters into a license agreement with a third party pursuant to which it grants such third party a license under the licensed patents outside of our field, then Harvard must use reasonable efforts to include a provision in such agreement that provides for an apportionment of prosecution and maintenance costs between us and such third party with respect to such licensed patents. If we choose to no longer pay for the prosecution and maintenance costs of a given licensed patent, then we will be relieved of such payment obligation, but our license with respect to such licensed patent will also terminate.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80"/>
        <w:spacing w:after="0" w:line="256" w:lineRule="auto"/>
        <w:rPr>
          <w:sz w:val="20"/>
          <w:szCs w:val="20"/>
          <w:color w:val="auto"/>
        </w:rPr>
      </w:pPr>
      <w:r>
        <w:rPr>
          <w:rFonts w:ascii="Times New Roman" w:cs="Times New Roman" w:eastAsia="Times New Roman" w:hAnsi="Times New Roman"/>
          <w:sz w:val="18"/>
          <w:szCs w:val="18"/>
          <w:color w:val="auto"/>
        </w:rPr>
        <w:t>Unless earlier terminated, the Harvard License Agreement will remain in effect until the later of the last-to-expire valid claim of the licensed patents or the end of the last to expire royalty term. We may terminate the Harvard License Agreement at our convenience following written notice to Harvard. Either party may terminate the Harvard License Agreement for a material breach of the other party, subject to a notice and cure period. Harvard may also terminate the Harvard License Agreement in the event of our bankruptcy or insolvency or if we fail to procure and maintain insurance. Upon expiration or termination of the Harvard License Agreement, the licenses granted to us will terminate and all rights under the licensed patent rights will revert to Harvard.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Editas Medicine, Inc.</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2018, we entered into a license agreement, or the Editas License Agreement, with Editas pursuant to which we received an exclusive (even as to Editas), royalty-bearing, sublicensable, worldwide license under certain patent rights owned or controlled by Editas related to certain base editing technologies and CRISPR technology to develop, commercialize, make, have made, use, offer for sale, sell and import certain base editing products for the treatment of human diseases or conditions. The license we received is non-exclusive with respect to certain specified targets. Our licensed field excludes the use of certain gene editing technologies in certain fields of use that have already been licensed to other partners of Editas, provided that our licensed field may expand if the fields licensed to other Editas partners are reduced or are otherwise modified as a result of any termination, expiration, or amendment to Editas’ agreements with such partners. In addition, we received a royalty-free, non-sublicensable, non-exclusive license under a separate set of patent rights owned or controlled by Editas to conduct research activities in our licensed field and for which we have an option to obtain an exclusive license from Editas.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of the patents licensed to us under the Editas License Agreement were licensed to Editas from Broad Institute and Harvard and certain of the patents for which we have an option to obtain a license were licensed to Editas from the Massachusetts General Hospital, or MGH. Accordingly, the licenses granted to us under the Editas License Agreement are subject to the terms and conditions set forth in each of the license agreements concerning the licensed patents between Broad Institute, Harvard and Editas, or the Broad/Harvard Head Licenses, and each of the license agreements concerning the patents for which we have an option to obtain a license between MGH and Editas, or the MGH Head Licenses.</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described above, Editas granted us an exclusive option to obtain an exclusive license under certain patents on a patent family-by-patent family basis. If we so exercise the option with respect to a patent family of such optioned patents, then we would receive an exclusive license to such patent family of the same scope as the other patents exclusively licensed to us under the Editas License Agreement. In order to exercise an option with respect to a patent family of these optioned patents we would pay an eight-figure option exercise fee, depending on the date in which particular option is exercised.</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Editas License Agreement, we are required to use commercially reasonable efforts to develop a licensed product in our licensed field in each of the United States, Japan, the United Kingdom, or U.K., Germany, France, Italy and Spain. If we are successfully able to gain regulatory approval in any country for a licensed product, then we are also required to use commercially reasonable efforts to commercialize such licensed product in such country. We also have sole control and responsibility over all regulatory activities with respect to the development of licensed products.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permitted to further sublicense certain of our rights under the Editas License Agreement to third parties, provided that any such sublicense agreement with a third party must remain in compliance with and be consistent with the terms of the Editas License Agreement and the Broad/Harvard Head Licenses and MGH Head Licenses, as applicable. We are also responsible for any breaches of a sublicense agreement by the applicable sublicensee and are responsible for all payments due under the Editas License Agreement by operation of any such sublicense. Following the signing of the Editas License Agreement, we obtained the right to further sublicense our rights the licensed patents from Broad Institute and Harvard to third parties, provided that we comply with certain sublicensing requirements under each of the Broad/Harvard Head Licenses as if we were Editas, as well as certain other customary conditions. We have not obtained any such right from MGH allowing us to further sublicense our rights under the licensed patents from MGH to third parties and will require written consent in the event we wish to further sublicense such rights to a third party.</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Upon the execution of the Editas License Agreement, we paid Editas an upfront fee of $180,000. We also issued to Editas 1,833,333 shares of our Series A-1 Preferred Stock and 1,222,222 shares of our Series A-2 Preferred Stock. In addition, if any of our commercial, regulatory, development or sales activities with respect to the licensed products triggers a milestone payment or sublicense income that Editas owes under the Broad/Harvard Head Licenses or the MGH Head Licenses, then we are required to pay Editas the full amount of such milestone payment or sublicense income, as applicable; provided that we will not pay Editas for any sublicense income due as a result of our payment of any option exercise fee to Editas. Aggregate milestone amounts under the Editas License Agreement could equal up to $68.8 million for each product developed and commercialized using rights related to certain base editing technologies and CRISPR technology; in the event we develop and commercialize products covered by claims from the additional patent families licensed or optioned to us under the Editas License Agreement, aggregate milestone payments could equal up to $74.0 million per product. The percentage of sublicense income we would owe under the Editas License Agreement ranges from none to amounts between 10% and 20%. In addition, we agreed to pay for a portion of the annual license maintenance fees and prosecution and maintenance costs that Editas incurs itself or owes under the Broad /Harvard Head Licenses and the MGH Head Licenses with respect to the licensed patents. The upfront fee, equity issuance, and option exercise payments we make to Editas under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9" w:name="page20"/>
    <w:bookmarkEnd w:id="19"/>
    <w:p>
      <w:pPr>
        <w:ind w:right="480"/>
        <w:spacing w:after="0" w:line="282" w:lineRule="auto"/>
        <w:rPr>
          <w:sz w:val="20"/>
          <w:szCs w:val="20"/>
          <w:color w:val="auto"/>
        </w:rPr>
      </w:pPr>
      <w:r>
        <w:rPr>
          <w:rFonts w:ascii="Times New Roman" w:cs="Times New Roman" w:eastAsia="Times New Roman" w:hAnsi="Times New Roman"/>
          <w:sz w:val="18"/>
          <w:szCs w:val="18"/>
          <w:color w:val="auto"/>
        </w:rPr>
        <w:t>the Editas License Agreement constitute both consideration for the licenses granted to us under the Editas License Agreement and reimbursement for prosecution and maintenance costs for the licensed patents.</w:t>
      </w:r>
    </w:p>
    <w:p>
      <w:pPr>
        <w:spacing w:after="0" w:line="5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With respect to the sale of licensed products by us, our affiliates or our sublicensees, we are required to pay to Editas an amount equal to the royalty rates that it owes to Broad Institute, Harvard, or MGH under its applicable in-licenses, plus an additional low- to mid-single digit royalty on net sales of licensed products, depending on whether such licensed product is covered by an Editas-owned patent and based on the aggregate worldwide net sales of licensed products in a given calendar year. We are entitled to certain reductions and offsets on these royalties with respect to a licensed product in a given country and if Editas is entitled to receive any reductions or offsets in respect to its royalty payment obligations under the relevant Broad/Harvard Head Licenses or MGH Head Licenses, then Editas will use reasonable efforts to avail itself of such reductions, which in turn would reduce our royalty payment obligations under the Editas License Agreement. The royalty term expires on a licensed product-by-licensed product and country-by-country basis upon the later of (i) the last-to-expire royalty term in such country under any applicable Broad/Harvard Head License or MGH Head License, and, if such product is covered by a licensed Editas-owned patent, (ii) the date at which such product is no longer covered by a valid claim of a licensed Editas-owned patent in such country.</w:t>
      </w:r>
    </w:p>
    <w:p>
      <w:pPr>
        <w:spacing w:after="0" w:line="6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between the parties, Editas is responsible for the prosecution and maintenance of all licensed patents, provided that we have certain information, comment, and review rights for certain of the licensed patents.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Unless earlier terminated, the Editas License Agreement will expire on a licensed product-by-licensed product and country-by-country basis on the expiration of the applicable royalty term with respect to such licensed product in such country. We may terminate the Editas License Agreement on written notice to Editas subject to a specified notice period. Either party may terminate the Editas License Agreement for a material breach of the other party, subject to a notice and cure period. Editas may also terminate the Editas License Agreement if we challenge the validity of any of the licensed patents, subject to customary carveouts. Upon expiration or termination of the Editas License Agreement in its entirety or with respect to a family of patents, the licenses granted to us will immediately terminate in its entirety or solely with respect to the expired or terminated patent family, as the case may be; however, if we have the right to terminate the Editas License Agreement due to Editas’ material breach of the Editas License Agreement, then in lieu of so terminating the Editas License Agreement, we can elect to reduce our royalty payment obligations under the Editas License Agreement by certain specified percentages.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Broad Institute, Inc.</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May 2018, our affiliate, Blink Therapeutics Inc., or Blink, entered into a license agreement, as amended, or the Broad License Agreement, with Broad Institute. In September 2021, Blink merged with and into Beam, such that Blink’s separate corporate existence ceased and Beam continued as the surviving corporation and the successor by merger to the Broad License Agreement with respect to Blink. Under the Broad License Agreement, and as further detailed below, we received certain rights to RNA base editing technology, including the RNA editor platforms RESCUE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REPAIR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use Cas13 linked to a deaminase to deliver single base A-to-I or C-to-U editing of RNA transcripts, respectively, as well as the Cas12b nuclease family of gene editing enzymes.</w:t>
      </w:r>
    </w:p>
    <w:p>
      <w:pPr>
        <w:spacing w:after="0" w:line="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 specifically, under the Broad License Agreement, Broad Institute granted us an exclusive, worldwide, royalty-bearing and sublicensable license under certain patent rights to the extent owned or controlled by Broad Institute (including via an interinstitutional agreement with the Massachusetts Institute of Technology, or MIT, and Harvard) comprising (i) certain patent rights claiming or disclosing novel CRISPR enzymes and systems (including those related to DNA cleaving) or systems, methods and compositions for targeted nucleic acid editing, in each case to exploit products covered by such patents, (ii) certain product-specific patent rights claiming or disclosing novel CRISPR enzymes and systems, methods and compositions for targeted nucleic acid editing, in each case to exploit base editor products covered by such patents and (iii) certain patent rights generally related to gene targeting to exploit base editor products covered by such patents, in each case to make, have made, offer for sale, sell, have sold and import certain licensed products.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we have also been granted (i) a non-exclusive, royalty-bearing and sublicensable license under all patents exclusively licensed to us under the Broad License Agreement to make, have made, offer for sale, sell, have sold and import certain products in our field that were made, discovered, developed or determined to have utility through the use of such patents in a research or discovery program commencing before May 2021 or through the use of transferred materials from Broad Institute but that are not covered by the licensed patents and (ii) a non-exclusive, worldwide, royalty-bearing and sublicensable internal research license under all patents exclusively licensed to us. All licenses granted to us by Broad Institute exclude human germline modification, the stimulation of biased inheritance of particular genes or, with certain exceptions, traits within a plant or animal population and certain modifications of the tobacco plant and are subject to certain retained rights of Broad Institute, Harvard and MIT and the U.S. federal government. Broad Institute additionally retains limited rights for itself, Harvard and MIT and for other non-profit research organizations to practice the licensed patents for research, educational, and scholarly purposes.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we are required to use commercially reasonable efforts to develop licensed products in accordance with a development plan that Blink prepared and submitted to Broad Institute. The development plan includes certain development milestones that we are required to meet, as well as the timelines for the completion thereof, and we may update the development plan from time to time if we believe, in our good faith judgment, that such update is needed in order to improve our ability to meet such development milestones. We will not be able to delay such development milestone timelines without providing a reasonable explanation and plan to Broad Institute and provided further that Broad Institute’s approval of the explanation and plan in its reasonable discretion is required for any milestone timeline extension of more than a specified number of years.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we are required to use commercially reasonable efforts to pursue the viability of the technology covered, claimed or disclosed in certain sub-categories of licensed patents and must initiate a discovery program for the development of a licensed product covered by a valid claim, or otherwise generally enabled, by the use of such sub-category of the licensed patents during a certain period of time following the execution of the Broad License Agreement and submit an updated development plan and development milestones reasonably acceptable to Broad Institute for such sub-category of the licensed patents within such period of time. If we fail to use commercially reasonable efforts to pursue the viability of such technology or to initiate a discovery program or to submit an updated development plan in the specified time period then the license under such sub-category of the licensed patents will terminate and, if such sub-category of the licensed patents consists of base editor patent rights, our rights with respect to gene targeting licensed patents shall convert to non-exclusive so that such rights may be licensed for use to such terminated base editor licensed patents.</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Broad Institute, MIT, and Harvard also retain the right to grant further licenses under specified circumstances to third parties, other than specified entities, that wish to research, develop, and commercialize a product that would otherwise fall within the scope of our exclusive license grant from Broad Institute and Harvard pursuant to Broad Institute, Harvard and MIT’s inclusive innovation model. If, after a specified period of time, such a third party inquires with Broad Institute for such a license and presents to Broad Institute a proposal including information describing the proposed development and commercialization of such a proposed product, then Broad Institute may notify us of the request and the requester’s identity, and the nature of the specific proposed product, including the applicable gene to which the proposed product is directed. Broad Institute is not required to share any other information provided by the requester to us in connection with the inclusive innovation model. If we are not researching, developing or commercializing such a proposed product, then we can notify Broad Institute as to whether in good faith we are interested in developing such proposed product, entering into a sublicense agreement with such requesting third party to develop such proposed product, entering into a sublicense with another third party to develop such proposed product, or that we are not interested in any of the foregoing. If we inform Broad Institute that we are interested in developing such proposed product, then we will prepare a development plan, similar in scope to the development plan under the Broad License Agreement, to develop such proposed product and must commence the development program for such proposed product within a specified period. If we inform Broad Institute that we are interested in entering into a sublicense agreement pursuant to which the inquiring third party or another third party would receive a sublicense from us under the licensed patents to develop such proposed product, then we may enter into such a sublicense agreement and provide reasonable evidence thereof during the period. If we decline to conduct the foregoing activities or do not complete such activities within the specified period, which period is reduced by the period of time the requesting third party has previously negotiated with us, then Broad Institute may grant a license to the applicable third party under the licensed patents to research, develop, and commercialize such proposed product, and our license to such the applicable patent rights will, at Broad Institute’s election, terminate with respect to the gene that is the subject of the proposed third party product.</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permitted to sublicense the licensed patents to affiliates and third parties, provided that any such sublicense agreement must remain in compliance with and be consistent with the terms of the Broad License Agreement. In addition, any such sublicense agreement must include certain customary provisions to ensure our ability to comply with the Broad License Agreement. We are also responsible for any breaches of a sublicense agreement by the applicable sublicensee and are responsible for all payments due under the Broad License Agreement by operation of any such sublicense.</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partial consideration for the rights granted under the Broad License Agreement, Broad Institute received 1,940,000 shares of Blink’s common stock. The shares issued to Broad Institute were exchanged into 865,240 shares of our common stock in connection with our acquisition of Blink on September 25, 2018.</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Broad License Agreement, we are also required to pay Broad Institute an annual license maintenance fee ranging from the low- to mid-five figures to the low-six figures, depending on the particular calendar year. Broad Institute is also entitled to receive clinical and regulatory milestones totaling in the mid-to-high eight figure range, and to receive success payments based on increases in the fair market value of our common stock.</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We elected to make the payment in shares of our common stock and issued 174,825 shares of our common stock to settle this liability on June 10, 2021. We may additionally owe Broad Institute success payments of up to an additional $90.0 million.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right="80"/>
        <w:spacing w:after="0" w:line="254" w:lineRule="auto"/>
        <w:rPr>
          <w:sz w:val="20"/>
          <w:szCs w:val="20"/>
          <w:color w:val="auto"/>
        </w:rPr>
      </w:pPr>
      <w:r>
        <w:rPr>
          <w:rFonts w:ascii="Times New Roman" w:cs="Times New Roman" w:eastAsia="Times New Roman" w:hAnsi="Times New Roman"/>
          <w:sz w:val="18"/>
          <w:szCs w:val="18"/>
          <w:color w:val="auto"/>
        </w:rPr>
        <w:t>We are also required to pay royalties in the low single digits for products covered by the licensed patents with such royalty reduced by a certain percentage for products enabled by the licensed patents or transferred materials, but not covered by the licensed patents. The royalty rate payable by us is subject to customary reductions and offsets on these royalties with respect to a product in a given country. The royalty term for a product in a country will terminate on the later of the expiration of (i) the last to expire licensed patent covering the applicable product, (ii) the period of exclusivity associated with such product in such country or (iii) a certain period of time after the first commercial sale of such product in such country. If we sublicense our rights to develop or commercialize a licensed product under the Broad License Agreement to a third party and receive non-royalty sublicense income, then Broad Institute is entitled to a percentage of such consideration, ranging from the high single digits to an amount in the low first decile, dependent on the development stage of products under the Broad License Agreement at the time of sublicense execution.</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Broad Institute is responsible for the prosecution and maintenance of all licensed patents, provided that we have certain consultation, comment, and review rights with respect to such prosecution and maintenance activities of exclusively licensed patent rights.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earlier terminated, the Broad License Agreement will remain in effect until the later of the last-to-expire valid claim of a licensed patent covering our licensed products or the end of the last to expire royalty term. We may terminate the Broad License Agreement for its convenience following written notice to Broad Institute subject to a specified notice period. Either party may terminate the Broad License Agreement for a material breach of the other party, subject to a notice and cure period. Broad Institute may also terminate the Broad License Agreement in the event of our bankruptcy or insolvency, if we fail to procure and maintain insurance or if we, our affiliates or sublicensees bringing patent challenges relating to any licensed patents (subject to a cure period for us to terminate the sublicensee that has taken the applicable action).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 Palette Co., Ltd.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27, 2019, we entered into a license agreement, or the Bio Palette License Agreement, with Bio Palette Co., Ltd., or Bio Palette, pursuant to which we received an exclusive (even as to Bio Palette and its affiliates), sublicensable license under certain patent rights related to base editing owned or controlled by Bio Palette to research, make, have made, import, export, distribute, use, have used, sell, have sold or offer for sale, and otherwise exploit products for the treatment of human disease throughout the world, but excluding products in the microbiome field in Asia. In addition, we granted Bio Palette an exclusive (even as to us and our affiliates) license under certain patent rights related to base editing and gene editing owned or controlled by us to research, make, have made, import, export, distribute, use, have used, sell, have sold or offer for sale, and otherwise exploit products in the microbiome field in Asia, subject to our right, in its sole discretion, to expand Bio Palette’s license (and the applicable royalty obligations) to the entire territory. Each party to the Bio Palette Agreement retains non-exclusive rights to develop and manufacture products in the microbiome field worldwide for the sole purpose of exploiting those products in its own territory. Each party agrees to certain coordination obligations in the microbiome field in the event that either party determines not to exploit their rights in such field.</w:t>
      </w: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Bio Palette comes into the control of any other patent right that is useful for the treatment, diagnosis or prevention of any human diseases or conditions and intends to grant a license under that patent right in certain defined fields and in certain defined territories, we have the exclusive right of first negotiation for an exclusive license under that patent right in those fields and territories. If we come into the control of any other patent right that is useful in certain defined fields and intend to grant a license under that patent right in those fields in certain defined territories, Bio Palette has the exclusive right of first negotiation for an exclusive license under that patent right in those fields and territories.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part of the Bio Palette License Agreement, if we form a Scientific Advisory Board, then Bio Palette will have the right to appoint two representatives to such board until the conclusion of the period ending five years after the effective date of the Bio Palette License Agreement. Additionally, we and Bio Palette agree to communicate with each other regarding potential base editing collaborations in Japan.</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a licensed product in the United States, Japan, the U.K., France, Germany, Italy and Spain. For any licensed product in our licensed field and territory that receives regulatory approval, we are required to use commercially reasonable efforts to commercialize that licensed product in the relevant country. Bio Palette is required to use commercially reasonable efforts to develop a licensed product in Japan. For any licensed product that receives regulatory approval, Bio Palette is required to use commercially reasonable efforts to commercialize such licensed product in the relevant country.</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the patents licensed to us under the Bio Palette License Agreement were licensed to Bio Palette from Kobe University under a license agreement we refer to as the Kobe Head License. Accordingly, the licenses granted to us under the Bio Palette License Agreement are subject to the terms and conditions set forth in the Kobe Head License, which include provisions providing for certain rights to be retained by third parties including governmental authorities.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and Bio Palette are both permitted to sublicense the licensed patents to affiliates and third parties, provided that the applicable terms of the Bio Palette License Agreement and the Kobe Head License would apply to such affiliates and third parties. The sublicensing party is also responsible for any breaches of such terms by the applicable sublicensee and is responsible for all payments due under the Bio Palette License Agreement by operation of any such sublicense.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right="20"/>
        <w:spacing w:after="0" w:line="254" w:lineRule="auto"/>
        <w:rPr>
          <w:sz w:val="20"/>
          <w:szCs w:val="20"/>
          <w:color w:val="auto"/>
        </w:rPr>
      </w:pPr>
      <w:r>
        <w:rPr>
          <w:rFonts w:ascii="Times New Roman" w:cs="Times New Roman" w:eastAsia="Times New Roman" w:hAnsi="Times New Roman"/>
          <w:sz w:val="18"/>
          <w:szCs w:val="18"/>
          <w:color w:val="auto"/>
        </w:rPr>
        <w:t>Upon the execution of the Bio Palette License Agreement, we paid Bio Palette an upfront fee of $0.5 million. In connection with the execution of the Bio Palette License Agreement, we issued to Bio Palette 16,725 shares of our common stock, with an agreement to issue additional shares of our common stock in the low six figures in the event that the referenced Bio Palette patent issues in the United States. Upon the issuance of a certain Bio Palette patent in the United States in June 2020, we made a milestone payment to Bio Palette of $2.0 million and, in July 2020, issued to Bio Palette 175,000 shares of our common stock valued at $0.3 million. We also agreed to pay a royalty at a fraction of a percent on net sales of products that are covered by the patents licensed by Bio Palette to us, and Bio Palette agreed to pay a royalty at a fraction of a percent on net sales of products that are covered by the patents licensed by us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intellectual property arising out of activities under the Bio Palette License Agreement will be owned by the party inventing such intellectual property. Bio Palette is responsible for the prosecution and maintenance of all patents licensed by Bio Palette to us, provided that we have customary consultation, comment and review rights with respect to such prosecution and maintenance activities solely with respect to national entries of a certain specified PCT application. We have the sole right to prosecute and maintain patents licensed by us to Bio Palette.</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 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or EU, extensively regulate, among other things, the research, development, testing, manufacturing, packaging, labeling, storage, record keeping, reimbursement, advertising, promotion, distribution, post-approval monitoring and reporting and import and export, pricing and reimbursement of pharmaceutical products, including biological products. The failure to comply with the applicable regulatory requirements at any time during the product development process or post-approval may subject a sponsor for marketing approval to delays in development or approval, as well as administrative and judicial sanctions. The regulatory requirements applicable to product development, approval and marketing are subject to change, and regulations and administrative guidance often are revised or reinterpreted by government agencies in ways that may have a significant impact on our business.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processes for obtaining marketing approvals in the United States and in foreign countries and jurisdictions and compliance with applicable statutes and regulatory requirements, both pre- and post-approval, and obtaining reimbursement status will continue to require the expenditure of substantial time and financial resources. The regulatory requirements applicable to biological product development, approval, and marketing are subject to change, and regulations and administrative guidance often are revised or reinterpreted by the agencies in ways that may have a significant impact on our business. Ethical, social and legal concerns about gene therapy, genetic testing and genetic research could result in additional regulations restricting or prohibiting the processes we may use.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Licensure and regulation of biologics in the United States</w:t>
      </w:r>
    </w:p>
    <w:p>
      <w:pPr>
        <w:spacing w:after="0" w:line="119"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In the United States, our candidate products are regulated as biological products, or biologics, under the Public Health Service Act, or the PHSA, and the Federal Food, Drug and Cosmetic Act, or the FDCA, the implementing regulations of the FDA and other federal, state and local statutes and regulations.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FDA must approve a product candidate for a therapeutic indication before it may be marketed in the United States. A company, institution, or organization which takes responsibility for the initiation and management of a clinical development program for such products is referred to as a sponsor. A sponsor seeking approval to market and distribute a new biologic in the United States generally must satisfactorily complete each of the following steps:</w:t>
      </w:r>
    </w:p>
    <w:p>
      <w:pPr>
        <w:spacing w:after="0" w:line="68" w:lineRule="exact"/>
        <w:rPr>
          <w:sz w:val="20"/>
          <w:szCs w:val="20"/>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investigational new drug, or IND, application for human clinical testing, which must become effective before human clinical trials may begin;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requesting marketing of the biological product for one or more proposed indications, including submission of detailed information on the manufacture and composition of the product and proposed labelling;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BLA by an FDA advisory committee, where applicable;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to assure that the facilities, methods, and controls are adequate to preserve the product’s identity, strength, quality, and purity; and, if applicable, the FDA’s current Good Tissue Practice, or cGTP, requirements for the use of human cellular and tissue products;</w:t>
      </w:r>
    </w:p>
    <w:p>
      <w:pPr>
        <w:spacing w:after="0" w:line="71"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GLPs and GCPs and the integrity of clinical data in support of the BLA;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application fee under the Prescription Drug User Free Act, or PDUFA, unless exempted;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which may be subject to additional post-approval requirements, including the potential requirement to implement a Risk Evaluation and Mitigation Strategy, or REMS, and any post-approval studies required by the FDA.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testing any investigational biological product in humans, including a gene editing product candidate, the product candidate must undergo preclinical testing. Preclinical tests include laboratory evaluations of product chemistry, formulation and stability, as well as studies to evaluate the potential for efficacy and toxicity in animal studies.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With the passage of the FDA’s Modernization Act 2.0 in December 2022, Congress eliminated provisions in both the FDCA and the Public Health Service Act, or PHSA, that required animal testing in support of an NDA or BLA. While animal testing may still be conducted, the FDA was authorized to rely on alternative non-clinical tests, including cell-based assays, microphysiological systems, or bioprinted or computer models. The results of the preclinical tests, together with manufacturing information and analytical data, are submitted to the FDA as part of an IND application.</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or biological product to be shipped in interstate commerce for use in an investigational clinical trial. Such authorization must be secured prior to interstate shipment and administration of any product candidate that is not the subject of an approved new drug application, or NDA. In support of a request for an IND, applicants must submit a protocol for each clinical trial and any subsequent protocol amendments must be submitted to the FDA as part of the IND. An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or any issues surrounding chemistry, manufacturing and controls, or CMC, for the proposed product. In that case, the IND sponsor and the FDA must resolve any outstanding FDA concerns before the clinical trials can begin. Preclinical or nonclinical testing typically continues even after the IND is submitted.</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no requirement for a manufacturer to provide expanded access to an investigational product. However, if a manufacturer decides to make its investigational product available for expanded access,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FDCA, 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Clinical trials must also comply with extensive GCP rules and the requirements for obtaining subjects’ informed consent. The FDA, IRB, or the clinical trial sponsor may suspend or discontinue a clinical trial at any time for various reasons, including a finding that the clinical trial is not being conducted in accordance with FDA requirements, including GCP, or the subjects or patients are being exposed to an unacceptable health risk.</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monitoring committee, or DMC. This group may recommend continuation of the study as planned, changes in study conduct, or cessation of the study at designated checkpoints based on access to certain data from the study. Finally, research activities involving infectious agents, hazardous chemicals, recombinant DNA, and genetically altered organisms and agents may be subject to review and approval of an Institutional Biosafety Committee, or IBC, in accordance with NIH Guidelines for Research Involving Recombinant or Synthetic Nucleic Acid Molecules.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52" w:lineRule="exact"/>
        <w:rPr>
          <w:sz w:val="20"/>
          <w:szCs w:val="20"/>
          <w:color w:val="auto"/>
        </w:rPr>
      </w:pPr>
    </w:p>
    <w:p>
      <w:pPr>
        <w:ind w:left="1020" w:right="20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the case of some products for severe or life-threatening diseases, especially when the product may be too inherently toxic to ethically administer to healthy volunteers, in patients, such as cancer patients.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25" w:name="page26"/>
    <w:bookmarkEnd w:id="25"/>
    <w:p>
      <w:pPr>
        <w:jc w:val="both"/>
        <w:ind w:left="102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acceptable safety profile. Clinical trials are undertaken within an expanded patient population at multiple geographically dispersed clinical study sites to further evaluate dosage, provide substantial evidence of clinical efficacy, and further test for safety.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7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purity and potency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or effectiveness after approval. Such trials are typically referred to as post approval or post marketing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post approval or post marketing clinical trials could result in withdrawal of approval for products. The FDA generally recommends that sponsors observe subjects for potential gene-therapy related delayed adverse events in a long-term follow-up study of fifteen years for integrating vectors, up to fifteen years for herpes virus vectors capable of establishing latency, up to fifteen years for microbial vectors known to establish persistent infection, up to fifteen years for gene editing products, and up to five years for AAV vectors. The FDA recommends that these long-term follow-up studies include, at a minimum, five years of annual physical examinations followed by annual queries, either in-person or by phone or written questionnaire, for the remaining observation period.</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This action raises questions about the applicability of statutory obligations to submit DAPs and the FDA’s current thinking on best practices for clinical development.</w:t>
      </w:r>
    </w:p>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GCPs aimed at modernizing the design and conduct of clinical trials. The updates are intended to help pave the way for more efficient clinical trials to facilitate the development of medical products. The draft guidance is adopted from the International Council for Harmonisation’s, or ICH,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26" w:name="page27"/>
    <w:bookmarkEnd w:id="26"/>
    <w:p>
      <w:pPr>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Sponsors of clinical trials of certain FDA-regulated products, including prescription drugs, are required to register and disclose certain clinical trial information on a public registry maintained by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The NIH’s Final Rule on ClinicalTrials.gov registration and reporting requirements became effective in 2017. As of December 2024, the FDA has issued six notices of non-compliance, thereby signaling the government’s willingness to begin enforcing these requirements against non-compliant clinical trial sponsors. While these notices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Interactions with the FDA during the clinical development program</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end of Phase 2 meetings. A Type C meeting is any meeting other than a Type A or Type B meeting regarding the development and review of a product. A Type D meeting is focused on a narrow set of issues and should not require input from more than three disciplines or Divisions of FDA. Finally, INTERACT meetings are intended for novel products and development programs that present unique challenges in the early development of an investigational product.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studies outside the United States in support of FDA approval</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are planning to conduct trials at sites outside the United States. When a foreign clinical trial is conducted under an IND, all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trials must be conducted in accordance with GCP, including undergoing review and receiving approval by an independent ethics committee, or IEC, and seeking and receiving informed consent from subjects.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acceptance by the FDA of trial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submit a pediatric study plan, or PSP, within 60 days of an end-of-Phase 2 meeting or as may be agreed between the sponsor and the FDA. The PSP outlines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sponsor may request an amendment to the plan at any time. In May 2023, the FDA issued new draft guidance that further describes the pediatric study requirements under PREA.</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 The FDA may, on its own initiative or at the request of the sponsor,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law now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regulations and guidance governing gene therapy products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be transferred to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prior to administration to the recipient. The Center for Biologics Evaluation and Research, or CBER, at FDA regulates gene therapy products. Within CBER, the review of gene therapy and related products is consolidated in the Office of Therapeutic Products, or OTP, and the FDA has established the Cellular, Tissue and Gene Therapies Advisory Committee to advise CBER on its reviews.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has issued numerous guidance documents regarding gene therapies. Although the FDA’s guidance documents are not legally binding, compliance with certain aspects of them is likely necessary to gain approval for any product candidate we may develop. The guidance documents provide recommendations and additional clarity as to factors that the FDA will consider at each stage of gene therapy development and relate to, among other things, the proper preclinical assessment of gene therapies; the CMC information that should be included in an IND application; the proper design of tests to measure product potency in support of an IND or BLA application; measures to observe delayed adverse effects in subjects who have been exposed to investigational gene therapies; and gene therapy products for the treatment of rare diseases. In addition, in November 2024, the FDA issued draft guidance to address frequently asked questions surrounding the development of cellular and gene therapy products.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any NIH funding for research involving recombinant or synthetic nucleic acid molecules, the trial must be conducted in accordance with the NIH Guidelines for Research Involving Recombinant DNA Molecules. Research conducted at such institutions that involves the transfer of recombinant or synthetic nucleic acid molecules, or DNA or RNA derived from recombinant or synthetic nucleic acid molecules, into human subjects must undergo review and approval by an IBC before it commences. Many companies and other institutions not otherwise subject to the NIH Guidelines voluntarily follow them.</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Compliance with cGMP and cGTP requirements</w:t>
      </w:r>
    </w:p>
    <w:p>
      <w:pPr>
        <w:spacing w:after="0" w:line="11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FDA’s regulations require that pharmaceutical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are subject to periodic unannounced inspections by the FDA for compliance with cGMPs and other requirements. Inspections must follow a “risk-based schedule” that may result in certain establishments being inspected more frequently.</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product.</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a gene therapy product, the FDA also will not approve the product if the manufacturer is not in compliance with cGTP. These standards are found in FDA regulations and guidance documents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The manufacturing facilities may be subject to periodic unannounced inspections by government authorities to ensure compliance with cGMPs and other laws. If a manufacturing facility is not in substantial compliance with the applicable regulations and requirements imposed when the product was approved, regulatory enforcement action may be taken, which may include a warning letter or an injunction against shipment of products from the facility and/or recall of products previously shipped.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a BLA</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CMC and proposed labeling, are submitted to the FDA as part of an application requesting approval to market the product candidate for one or more indications. The fee required for the submission of a BLA under the Prescription Drug User Fee Act, or PDUFA, is substantial (for example, for federal fiscal year 2025, this application fee is approximately $4.3 million), and the sponsor of an approved BLA is also subject to an annual program fee, set at $403,889 per eligible prescription drug product for federal fiscal year 2024.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the BLA within 60 days of receipt and must inform the sponsor by that time whether the application is sufficiently complete to permit substantive review. In pertinent part, the FDA’s regulations for applications state that an application “shall not be considered as filed until all pertinent information and data have been received” by the FDA. In the event that the FDA determines that an application does not satisfy this standard, it will issue a Refuse to File, or RTF, determination to the sponsor. Typically, an RTF will be based on administrative incompleteness, such as clear omission of information or sections of required information; scientific incompleteness, such as omission of critical data, information or analyses needed to evaluate safety, purity and potency or provide adequate directions for use; or inadequate content, presentation, or organization of information such that substantive and meaningful review is precluded. The FDA may request additional information rather than accept a BLA for filing. In this event, the application must be resubmitted with the additional information. The resubmitted application is also subject to review before the FDA accepts it for filing.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9" w:name="page30"/>
    <w:bookmarkEnd w:id="29"/>
    <w:p>
      <w:pPr>
        <w:spacing w:after="0" w:line="246"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may inform the sponsor of certain requirements for information when it accepts the BLA or by the 74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receipt of the BLA. Thereafter, the FDA may submit “information requests” to the sponsor in the course of the agency’s review of the BLA. The FDA reviews the BLA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for an investigational product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 BLA to extend beyond the PDUFA goal date.</w:t>
      </w:r>
    </w:p>
    <w:p>
      <w:pPr>
        <w:spacing w:after="0" w:line="1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Before approving a BLA, the FDA may inspect the sponsor and one or more clinical trial sites to assure compliance with IND and GCP requirements and the integrity of the clinical data submitted to the FDA. With passage of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NDA. This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purity and potency of the investigational product.</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the FDA may refer the BLA,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sponsor during the review process.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FDA’s decision on a BLA</w:t>
      </w:r>
    </w:p>
    <w:p>
      <w:pPr>
        <w:spacing w:after="0" w:line="11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pure and potent. To reach this determination, the FDA must determine that the expected benefits of the proposed product outweigh its potential risks to patients. This “benefit-risk” assessment is informed by the extensive body of evidence about the product’s safety, purity and potency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FDA typically requires a robust safety database and substantial evidence of the efficacy of the product. The term “substantial evidence” has been interpreted by the FDA to require at least two adequate and well-controlled clinical investigations to establish effectiveness of a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[the FDA] determines, based on relevant science, that data from one adequate and well-controlled clinical investigation and confirmatory evidence (obtained prior to or after such investigation) are sufficient to establish effectiveness, the FDA may consider such data and evidence to constitute substantial evidence.” In December 2019, the FDA issued draft guidance further explaining the studies that are needed to establish substantial evidence of effectiveness. It has not yet finalized that guidance, but the FDA did issue draft guidance in September 2023 that outlines considerations for relying on confirmatory evidence in lieu of a second clinical trial to demonstrate efficacy.</w:t>
      </w:r>
    </w:p>
    <w:p>
      <w:pPr>
        <w:spacing w:after="0" w:line="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before approving an application, the FDA will determine whether the facility in which the product is manufactured, processed, packed or held meets standards designed to assure the product’s continued safety. The approval process is lengthy and often difficult, and the FDA may refuse to approve a BLA if the applicable regulatory criteria are not satisfied or may require additional clinical or other data and information. After evaluating the application and all related information, including the advisory committee recommendations, if any, and inspection reports of manufacturing facilities and clinical trial sites, the FDA may issue either an approval letter or a Complete Response Letter, or CRL.</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 For those seeking to challenge the FDA’s CRL decision, the FDA has indicated that sponsors may request a formal hearing on the CRL or they may file a request for reconsideration or a request for a formal dispute resolution. During the product approval process, the FDA also will determine whether a REMS is necessary to assure the safe use of the product. If the FDA concludes a REMS is needed, the sponsor of the BLA must submit a proposed REMS; the FDA will not approve the BLA without a REMS, if required.</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That is, the approval will be limited to the conditions of use (e.g., patient population or indication) described in the FDA-approved labeling. Further, depending on the specific risk(s) to be addressed, the FDA may require that contraindications, warnings or precautions be included in the product labeling, require that post-approval trials, including post-marketing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has several programs designed to expedite the development and approval of drugs and biological products intended to treat serious or life-threatening diseases or conditions. These programs include fast track designation, breakthrough therapy designation, priority review designation, and regenerative medicine advanced therapy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grant a product fast track designation if it is intended for the treatment of a serious or life-threatening disease or condition, and nonclinical or clinical data demonstrate the potential to address an unmet medical need for such disease or condition. For fast track products, sponsors may have greater interactions with the FDA, and the FDA may initiate review of sections of a fast track product’s marketing application before the application is complete in some circumstances. Fast track designation may be rescinded if FDA believes that the product no longer meets the qualifying criteria.</w:t>
      </w:r>
    </w:p>
    <w:p>
      <w:pPr>
        <w:spacing w:after="0" w:line="7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aid sponsors in designing the clinical trials in an efficient manner. Breakthrough designation may be rescinded if a product no longer meets the qualifying criteria.</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passage of the 21st Century Cures Act in December 2016, Congress authorized an additional expedited program for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 RMAT designation may be rescinded if a product no longer meets the qualifying criteria.</w:t>
      </w:r>
    </w:p>
    <w:p>
      <w:pPr>
        <w:spacing w:after="0" w:line="7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FDA may designate a product for priority review if it is a product that treats a serious condition and, if approved, would provide a significant improvement in safety or effectiveness of the treatment, prevention, or diagnosis of such condition. A priority designation is intended to direct overall attention and resources to the evaluation of such applications, and it shortens the FDA’s goal for taking action on a marketing application from ten months to six months.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w:t>
      </w:r>
    </w:p>
    <w:p>
      <w:pPr>
        <w:spacing w:after="0" w:line="7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drugs 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sponsor otherwise.</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With passage of the FDORA in December 2022, Congress modified certain provisions governing accelerated approval of drug and biologic products. Specifically, the new legislation authorized the FDA to require (i) a sponsor to have its confirmatory clinical trial underway before accelerated approval is awarded; (ii) a sponsor of a product granted accelerated approval to submit progress reports on its post-approval studies to FDA every six months (until the study is completed); and (iii) use expedited procedures to withdraw accelerated approval of an NDA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latest thinking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purity and potency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2" w:name="page33"/>
    <w:bookmarkEnd w:id="32"/>
    <w:p>
      <w:pPr>
        <w:ind w:right="2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a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FDA strictly regulates the advertising and labeling of prescription drug products, including biological products.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In addition, the sponsor of an approved drug in the United States may not promote that drug for unapproved, or off-label, uses, although a physician may prescribe a drug for an off-label use in accordance with the practice of medicine. It may be permissible, under very specific, narrow conditions, for a manufacturer to engage in nonpromotional, non-misleading communication regarding off-label information, such as distributing scientific or medical journal information.</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January 2025, the FDA published final guidance outlining its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DOJ,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or dosing regimens, manufacturing changes, or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7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FDA may withdraw product approval if compliance with regulatory requirements and standards is not maintained or if problems occur after the product reaches the market. Later discovery of previously unknown problems with a product, including adverse events of unanticipated severity or frequency or issues with manufacturing processes, may result in revisions to the approved labeling to add new safety information; imposition of post-market studies or clinical trials to assess new safety signals;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3" w:name="page34"/>
    <w:bookmarkEnd w:id="33"/>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Finally, if there are any modifications to the product, including changes in indications, labeling or manufacturing processes or facilities, the sponsor may be required to submit and obtain FDA approval of a new BLA or a BLA supplement, which may require the sponsor to develop additional data or conduct additional preclinical studies and clinical trials. Securing FDA approval for new indications is similar to the process for approval of the original indication and requires, among other things, submitting data from adequate and well-controlled clinical trials to demonstrate the product’s safety, purity and potency in the new indication. Even if such trials are conducted, the FDA may not approve any expansion of the labeled indications for use in a timely fashion, or at all. There also are continuing, annual user fee requirements that are now assessed as program fees for certain approved drugs.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Orphan drug designation qualifies a company for certain tax credits. In addition, if a drug candidate that has orphan drug designation subsequently receives the first FDA approval for that drug for the disease for which it 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FDA cannot approve the same product made by another manufacturer for the same indication during the market exclusivity period unless it has the consent of the sponsor or the sponsor is unable to provide sufficient quantities.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To qualify for orphan exclusivity, however, the drug must be clinically superior to the previously approved product that is the same drug for the same condition.</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Gene therapy products present novel issues for assessing when two products are the “same” for orphan exclusivity purposes. In September 2021, the FDA issued a final guidance document describing its current thinking on when a gene therapy product is the “same” as another product for the purpose of orphan exclusivity. Under the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While the guidance provides some additional clarity on FDA’s approach to assessing “sameness,” significant ambiguity and uncertainty remain as to how FDA will assess viral vectors in the same class, what differences in vector or transgene are considered minor, and what additional features may be considered.</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Orphan drug exclusivity will not bar approval of another product under certain circumstances, including if the company with orphan drug exclusivity is not able to meet market demand or the subsequent product with the same drug for the same condition is shown to be clinically superior to the approved product on the basis of greater efficacy or safety, or provide a major contribution to patient care. This is the case despite an earlier court opinion holding that the Orphan Drug Act unambiguously required the FDA to recognize orphan drug exclusivity regardless of a showing of clinical superiority. Under Omnibus legislation signed in December 2020, the requirement for a product to show clinical superiority applies to drugs and biologics that received orphan drug designation before enactment of the FDA Reauthorization Act of 2017, or FDARA, in 2017, but have not yet been approved or licensed by the FDA.</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exclusivity, the term “same disease or condition” in the statute means the designated “rare disease or condition” and could not be interpreted by the agency to mean the “indication or use.” Thus, the court concluded, orphan drug exclusivity applies to the entire designated disease or condition rather than the “indication or use.” It is unclear how this court decision will be implemented by the FDA. Although there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4" w:name="page35"/>
    <w:bookmarkEnd w:id="34"/>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non-patent regulatory exclusivity in the United States. Specifically, the Best Pharmaceuticals for Children Act provides for the attachment of an additional six months of exclusivity, which is added on to the term of any remaining regulatory exclusivity at the time the pediatric exclusivity is granted. This six-month exclusivity may be granted if a BLA sponsor submits pediatric data that fairly respond to a written request from the FDA for such data, even if the data do not show the product to be effective in the pediatric population studied.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2010 Patient Protection and Affordable Care Act, or PPACA, which was signed into law in March 2010, included a subtitle called the Biologics Price Competition and Innovation Act of 2009, or BPCIA. The BPCIA established a regulatory scheme authorizing the FDA to approve biosimilars and interchangeable biosimilars.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In December 2022, Congress clarified through FDORA that the FDA may approve multiple first interchangeable biosimilar biological products so long as the products are all approved on the first day on which such a product is approved as interchangeable with the reference product. The law also includes an extensive process for the innovator biologic and biosimilar manufacturer to litigate patent infringement, validity, and enforceability prior to the approval of the biosimilar.</w:t>
      </w:r>
    </w:p>
    <w:p>
      <w:pPr>
        <w:spacing w:after="0" w:line="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Since the passage of the BPCIA, many states have passed laws or amendments to laws, including laws governing pharmacy practices, which are state-regulated, to regulate the use of biosimilars.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 patent claiming a new biological product may be eligible for a limited patent term extension under the Hatch-Waxman Act, which permits a patent restoration of up to five years for a single patent for an approved product as compensation for patent term lost during product development and FDA regulatory review. The restoration period granted on a patent covering a product is typically one-half the time between the effective date a clinical investigation involving human beings is begun and the submission date of a marketing application less any dime during which the sponsor failed to exercise due diligence, plus the time between the submission date of an application and the ultimate approval date less any dime during which the sponsor failed to exercise due diligence. Patent term restoration cannot be used to extend the remaining term of a patent past a total of 14 years from the product’s approval date. Only one patent applicable to an approved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approval of companion diagnostics</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on issues related to co-development of the products.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right="20"/>
        <w:spacing w:after="0" w:line="254" w:lineRule="auto"/>
        <w:rPr>
          <w:sz w:val="20"/>
          <w:szCs w:val="20"/>
          <w:color w:val="auto"/>
        </w:rPr>
      </w:pPr>
      <w:r>
        <w:rPr>
          <w:rFonts w:ascii="Times New Roman" w:cs="Times New Roman" w:eastAsia="Times New Roman" w:hAnsi="Times New Roman"/>
          <w:sz w:val="18"/>
          <w:szCs w:val="18"/>
          <w:color w:val="auto"/>
        </w:rPr>
        <w:t>Further, in April 2020, the FDA issued additional guidance which describes considerations for the development and labeling of companion diagnostic devices to support the indicated uses of multiple drug or biological oncology products, when appropriate. This guidance builds upon existing policy regarding the labeling of companion diagnostics. In its 2014 guidance, the FDA stated that if evidence is sufficient to conclude that the companion diagnostic is appropriate for use with a specific group of therapeutic products, the companion diagnostic’s intended use/indications for use should name the specific group of therapeutic products, rather than specific products.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7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The FDA previously has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sponsor must prepare and provide the FDA with reasonable assurance of the device’s safety and effectiveness and information about the device and its components regarding, among other things, device design, manufacturing and labeling. PMA applications are subject to an application fee, which for federal fiscal year 2025 is $540,783 and the small business fee is $139,196.</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data privacy and security laws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or HIPAA, HHS has issued regulations to protect the privacy and security of protected health information, or PHI, used or disclosed by covered entities including certain healthcare providers, health plans and healthcare clearinghouses.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Any clinical trials we conduct will be regulated by Subpart A of 45 CFR 46,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potential enforcement by the HHS, we could also be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FTC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California has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Additionally, effective starting on January 1, 2023, the California Privacy Rights Act, or CPRA, significantly modified the CCPA, including by expanding consumers’ rights with respect to certain sensitive personal information. The CPRA also creates a new state agency that will be vested with authority to implement and enforce the CCPA and the CPRA. The CCPA and CPRA could impact our business activities depending on how it is interpreted and exemplifies the vulnerability of our business to not only cyber threats but also the evolving regulatory environment related to personal data and individually identifiable health information. These provisions may apply to some of our business activities.</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86" w:lineRule="exact"/>
        <w:rPr>
          <w:sz w:val="20"/>
          <w:szCs w:val="20"/>
          <w:color w:val="auto"/>
        </w:rPr>
      </w:pPr>
    </w:p>
    <w:p>
      <w:pPr>
        <w:ind w:right="120" w:firstLine="45"/>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the EU and the U.K.</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purity and potency, and governing, among other things, clinical trials, marketing authorization, commercial sales and distribution of products. Whether or not it obtains FDA approval for a product, a sponsor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purity and potency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 e.g., radio-pharmaceutical precursors for radio-labeling purposes). In particular, non-clinical studies,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European Union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Beyond streamlining the process, the CTR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or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CTR.</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clinical site after the applicable ethics committee has issued a favorable opinion.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w:t>
      </w:r>
    </w:p>
    <w:p>
      <w:pPr>
        <w:spacing w:after="0" w:line="7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Parties conducting certain clinical trials must, as in the United States, post clinical trial information in the EU at the EU Clinical Trials Register (https://eudract.ema.europa.eu).</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obtain a marketing authorization, or MA, for a gene therapy product under the EU regulatory system, a sponsor must submit an application via the centralized procedure administered by the European Medicines Agency, or EMA. Specifically, the grant of an MA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EMA’s Committee for Advance Therapies which provides a draft opinion regarding the application for marketing authorization and which is subject to final approval by the EMA’s Committee for Medicinal Products for Human Use. The European Commission grants or refuses marketing authorization in light of that final approval.</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application for an MA is 210 days, excluding clock stops when additional information or written or oral explanation is to be provided by the sponsor in response to questions of the Committee for Medicinal Products for Human Use, or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Conditional marketing authorization</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specific circumstances, E.U. legislation (Article 14–a Regulation (EC) No 726/2004 (as amended by Regulation (EU) 2019/5 and Regulation (EC) No 507/2006 on Conditional MA for Medicinal Products for Human Use) enables sponsors to obtain a conditional MA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Exceptional circumstances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and will not in the future, have to provide the missing data. Although the MA “under exceptional circumstances” is granted definitively, the risk-benefit balance of the medicinal product is reviewed annually and the MA is withdrawn in case the risk-benefit ratio is no longer favorable. Under these procedures, before granting the MA, the EMA or the competent authorities of the member states make an assessment of the risk-benefit balance of the product on the basis of scientific criteria concerning its quality, safety, and efficacy. Except conditional MAs, MAs have an initial duration of five years. After these five years, the authorization may be renewed on the basis of a reevaluation of the risk-benefit balance.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exclusivity</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This also applies to biosimilars.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In addition, if a pediatric investigation plan is accepted, then a further year of market exclusivity might be obtained (or in the alternative a patent extension (SPC) of a further 6 months). For orphan medicinal products, the periods are separate and different in that there is a total of 10-year data exclusivity and if they have a PIP, there is a further two-year extension to that 10-year period. Even if a compound is considered to be a new chemical or biological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context, it should be noted that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and includes, among other things, provisions that would potentially reduce the duration of regulatory data protection. The European Parliament requested several amendments in April 2024. At this time,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in the long term, if and when adopted.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purity and potency,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EU has a Priority Medicines, or PRIME, scheme that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provided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sponsor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Patent term extensions in the EU and other jurisdictions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EU also provides for patent term extension through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EU Member States to restrict the range of products for which their national health insurance systems provide reimbursement and to control the prices of medicinal products for human use.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subject to the EU’s General Data Protection Regulation, or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ongoing concerns about the ability of companies to transfer personal data from the EU to other countries. In July 2020, the Court of Justice of the European Union, or the CJEU, invalidated the EU-U.S. Privacy Shield framework, or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has lead to increased scrutiny on data transfers from the EU to the U.S. generally and increase our costs of compliance with data privacy legislation as well as our costs of negotiating appropriate privacy and security agreements with our vendors and business partners.</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Following the CJEU decision, in October 2022, President Biden signed an executive order to implement the EU-U.S. Data Privacy Framework, which would serve as a replacement to the EU-U.S. Privacy Shield. The European Commission initiated the process to adopt an adequacy decision for the EU-U.S. Data Privacy Framework, or DPF, in December 2022, and has now adopted an adequacy decision to permit data transfers from the EU to the United States going forward. This development permits data transfers at this point under this framework and more broadly has made international data transfers more straightforward, but these provisions are being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1" w:name="page42"/>
    <w:bookmarkEnd w:id="41"/>
    <w:p>
      <w:pPr>
        <w:ind w:right="580"/>
        <w:spacing w:after="0" w:line="282" w:lineRule="auto"/>
        <w:rPr>
          <w:sz w:val="20"/>
          <w:szCs w:val="20"/>
          <w:color w:val="auto"/>
        </w:rPr>
      </w:pPr>
      <w:r>
        <w:rPr>
          <w:rFonts w:ascii="Times New Roman" w:cs="Times New Roman" w:eastAsia="Times New Roman" w:hAnsi="Times New Roman"/>
          <w:sz w:val="18"/>
          <w:szCs w:val="18"/>
          <w:color w:val="auto"/>
        </w:rPr>
        <w:t>challenged in court. The recent election in the United States and the new administration may also impact whether the DPF remains an adequate data transfer framework. The continuing uncertainty around this issue may further impact our business operations in the EU.</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June 23, 2016, the electorate in the U.K. voted in favor of leaving the EU, commonly referred to as Brexit. As with other issues related to Brexit, there are open questions about how personal data will be protected in the U.K. and whether personal information can transfer from the EU to the U.K. Following the withdrawal of the U.K. from the EU, the U.K. Data Protection Act of 2018 applies to the processing of personal data that takes place in the U.K. and includes parallel obligations to those set forth by GDPR. While the Data Protection Act of 2018 in the U.K. that “implements” and complements the GDPR has achieved Royal Assent on May 23, 2018 and is now effective in the U.K., it is unclear whether transfer of data from the EEA to the U.K. will remain lawful under the GDPR. The U.K. government has already determined that it considers all European Union 27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 to the U.K., although this decision may be re-evaluated in the future. The U.K. and the United States also have agreed on a framework for personal data to be transferred between the U.K. and the United States, called the U.K.-U.S. Data Bridge. The U.K.-U.S. Data Bridge may be challenged in the future. Continuing uncertainty about these data transfers, including the possibility of future changes, may impact our business operations.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Beyond the GDPR, there are privacy and data security laws in a growing number of countries around the world. While many loosely follow the GDPR as a model, other laws contain different or conflicting provisions. These laws will impact our ability to conduct our business activities, including both our clinical trials and any eventual sale and distribution of commercial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U.K.</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UK’s withdrawal from the EU, commonly referred to as Brexit, took place on January 31, 2020. The EU and the U.K. reached an agreement on their new partnership in the Trade and Cooperation Agreement, which entered into force on May 1, 2021. As of January 1, 2021, the Medicines and Healthcare Products Regulatory Agency, or MHRA, became responsible for supervising medicines and medical devices in Great Britain, comprising England, Scotland and Wales under domestic law, whereas Northern Ireland continues to be subject to EU rules under the Northern Ireland Protocol, as amended by the so-called Windsor Framework agreed in February 2023. As of January 1, 2025, the changes introduced by the Windsor Framework resulted in the MHRA being responsible for approving all medicinal products destined for the U.K. market (Great Britain and Northern Ireland), and the EMA will no longer have any role in approving medicinal products destined for Northern Ireland. The MHRA relies on the Human Medicines Regulations 2012 (SI 2012/1916) (as amended), or HMR, as the basis for regulating medicines. The HMR has incorporated into the domestic law the body of EU law instruments governing medicinal products that pre-existed prior to the U.K.’s withdrawal from the EU.</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January 1, 2024,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the EMA and regulators in the EEA member states for approvals in the EU centralized procedure and mutual recognition procedure, as well as the FDA for product approvals granted in the U.S. The RR assessment must have undergone a full and standalone review.</w:t>
      </w:r>
    </w:p>
    <w:p>
      <w:pPr>
        <w:spacing w:after="0" w:line="3" w:lineRule="exact"/>
        <w:rPr>
          <w:sz w:val="20"/>
          <w:szCs w:val="20"/>
          <w:color w:val="auto"/>
        </w:rPr>
      </w:pPr>
    </w:p>
    <w:p>
      <w:pPr>
        <w:ind w:right="380" w:firstLine="8"/>
        <w:spacing w:after="0" w:line="260" w:lineRule="auto"/>
        <w:tabs>
          <w:tab w:leader="none" w:pos="2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based on reliance or recognition cannot be used to support an IRP application. A CHMP positive opinion or an MRDC positive end of procedure outcome is an RR authorization for the purposes of IRP.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Sales of our products will depend, in significant part, on the availability of coverage and the adequacy of reimbursement from third-party payors.</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Within the United States, third-party payors include government authorities or government healthcare programs, such as Medicare and Medicaid,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drug product. Third-party payors may limit coverage to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Moreover,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right="6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cost-effectiveness of new products and services in addition to their safety, purity and potency.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 candidates for which we receive regulatory approval for commercial sale may suffer if the government and other third-party payors fail to provide coverage and adequate reimbursement. There is an emphasis on cost containment measures in the United States and we expect the pressure on pharmaceutical pricing will increase.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we obtain appropriate approval in the future to market any of our current product candidates in the United States,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because this is not yet the subject of harmonized EU law. Many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and others with “peg” their pricing to a basket of other countries. EU member states may approve a specific price for a product, or it may instead adopt a system of direct or indirect controls on the profitability of the company placing the product on the market. Some member states, in addition to controlling pricing will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healthcare providers and patient privacy 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1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which requires pharmaceutical and medical device companies to monitor and report certain financial interactions with certain healthcare providers and teaching hospitals to the Center for Medicare &amp; Medicaid Services within HHS for re-disclosure to the public, as well as ownership and investment interests held by physicians and their immediate family members;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6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and other reform</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2010, the United States Congress enacted the Patient Protection and Affordable Care Act, as amended by the Health Care and Education Reconciliation Act of 2010, or collectively the PPACA, which, among other things, includes changes to the coverage and payment for drug products under government healthcare programs.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current legislation the actual reduction in Medicare payments will vary from 1% in 2022 to up to 3% in the final fiscal year of this sequester. The Consolidated Appropriations Act, which was signed into law by President Biden in December 2022, made several changes to sequestration of the Medicare program. Section 1001 of the Consolidated Appropriations Act delays the 4% Statutory Pay-As-You-Go Act of 2010, or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2032 and lowers the payment reduction percentages in fiscal 2030 and 2031.</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44" w:name="page45"/>
    <w:bookmarkEnd w:id="44"/>
    <w:p>
      <w:pPr>
        <w:jc w:val="both"/>
        <w:ind w:right="120" w:firstLine="45"/>
        <w:spacing w:after="0" w:line="261"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On June 17, 2021, the U.S. Supreme Court dismissed the most recent judicial challenge to the PPACA brought by several states without specifically ruling on the constitutionality of the PPACA. Litigation and legislation over the PPACA are likely to continue, with unpredictable and uncertain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the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products from Canada. North Dakota and Virginia have passed legislation establishing workgroups to examine the impact of a state importation program. As of May 2024, five states (Colorado, Florida, Maine, New Hampshire and New Mexico) had submitted Section 804 Importation Program proposals to the FDA.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IRA, further delayed implementation of this rule to January 1, 2032.</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5" w:name="page46"/>
    <w:bookmarkEnd w:id="45"/>
    <w:p>
      <w:pPr>
        <w:spacing w:after="0" w:line="266" w:lineRule="auto"/>
        <w:rPr>
          <w:sz w:val="20"/>
          <w:szCs w:val="20"/>
          <w:color w:val="auto"/>
        </w:rPr>
      </w:pPr>
      <w:r>
        <w:rPr>
          <w:rFonts w:ascii="Times New Roman" w:cs="Times New Roman" w:eastAsia="Times New Roman" w:hAnsi="Times New Roman"/>
          <w:sz w:val="18"/>
          <w:szCs w:val="18"/>
          <w:color w:val="auto"/>
        </w:rPr>
        <w:t>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CMS announced its selection of 15 additional drugs covered by Part D for the second cycle of negotiations by February 1, 2025. While there had been some questions about the Trump Administration’s position on this program,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Novo Nordisk, Inc., Janssen Pharmaceuticals, Inc., Novartis AG, AstraZeneca plc and Boehringer Ingelheim International GMBH, also filed lawsuits in various courts with similar constitutional claims against HHS and CMS.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We expect that litigation involving these and other provisions of the IRA will continue, with unpredictable and uncertain results.</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drugs,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2024, we had 483 team members employed with us full-time, of which 115 had a M.D. or Ph.D. degree. Of these team members, 202 were engaged in research and development activities, 51 were engaged in clinical and regulatory activities, 68 were in technical operations, 60 were in quality roles and 102 were in general and administrative roles. None of our team members are represented by a labor union or covered by a collective bargaining agreement. The human capital measures and objectives we focus on in managing our business are our employee retention rate and our internal engagement survey participation rate. We seek to maintain an annual retention rate of greater than 85% and a survey participation rate of greater than 90%.</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website address is www.beamtx.com, and our investor relations website is located at investors.beamtx.com.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and our corporate website, including without limitation the “Investors &amp; Media” section of our website. We use these channels, as well as social media channels such as X and LinkedIn, in order to achieve broad, non-exclusionary distribution of information to the public and for complying with our disclosure obligations under Regulation FD. It is possible that the information we post on our corporate website or other social media could be deemed to be material information. Therefore, we encourage investors, the media, and others interested in our company to review the information we post on the “Investor Center” section of our corporate website and on our social media channels. The contents of our corporate website and social media channels are not, however, a part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$376.7 million, $132.5 million and $289.1 million for the years ended December 31, 2024, 2023 and 2022, respectively. As of December 31, 2024, we had an accumulated deficit of $1.6 billion. We have financed our operations primarily through private placements of our preferred stock, proceeds from sales of our common stock and collaboration revenue. We have devoted substantially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7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other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any other product candidates we identify and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47" w:name="page48"/>
    <w:bookmarkEnd w:id="47"/>
    <w:p>
      <w:pPr>
        <w:spacing w:after="0" w:line="253" w:lineRule="auto"/>
        <w:rPr>
          <w:sz w:val="20"/>
          <w:szCs w:val="20"/>
          <w:color w:val="auto"/>
        </w:rPr>
      </w:pPr>
      <w:r>
        <w:rPr>
          <w:rFonts w:ascii="Times New Roman" w:cs="Times New Roman" w:eastAsia="Times New Roman" w:hAnsi="Times New Roman"/>
          <w:sz w:val="18"/>
          <w:szCs w:val="18"/>
          <w:color w:val="auto"/>
        </w:rPr>
        <w:t>We have not completed any clinical trials of any product candidates and expect that it will be years, if ever, before we have a product candidate approved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studies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Because of the numerous risks and uncertainties 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8" w:name="page49"/>
    <w:bookmarkEnd w:id="48"/>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our operating expenses to increase as we continue research and development activities, expand clinical trials,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Accordingly, we will need to obtain substantial additional funding in connection with our continuing operations. We have in the past delayed, reduced and eliminated certain research and product development programs to decrease operating expenses. If in the future we are unable to raise capital when needed or on attractive terms, we may again be forced to delay, reduce, or eliminate programs or curtail commercialization efforts.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December 31, 2024, our cash, cash equivalents, and marketable securities were $850.7 million.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may develop;</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for and undertaking future activities, including product sales, medical affairs, marketing, manufacturing, distribution, coverage and reimbursement for any product candidates for which we receive regulatory approval to commercialize;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license agreements and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license agreements or collaboration agreements we obtain;</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pursuant to the respective terms of the Harvard License Agreement and the Broad Institute License Agreement, should we choose to pay in cash;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contingent liabilities require cash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expanding our manufacturing capacity;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 sales, marketing, and distribution infrastructure to commercialize any product candidates for which we may obtain marketing approval.</w:t>
      </w:r>
    </w:p>
    <w:p>
      <w:pPr>
        <w:spacing w:after="0" w:line="5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product candidates are approved, we may not achieve commercial success. Our commercial revenues, if any, will be derived from sales of medicines that we do not expect to be commercially available for years, if ever. Accordingly, we will need to continue to rely on additional financing to achieve our business objectives. Adequate additional financing may not be available to us on acceptable terms, or at all.</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additional fundraising efforts may divert the attention of our management from their day-to-day activities, which may adversely affect our ability to develop and, if approved, commercialize our product candidates. We cannot be certain that additional funding will be available to us on acceptable terms, or at all. We have no committed source of additional capital and, if we are unable to raise additional capital in sufficient amounts or on terms acceptable to us on a timely basis, we may have to significantly delay, scale back or discontinue the development or, if approved, commercialization of our product candidates or other research and development initiatives. For example, in October 2023, we announced a portfolio reprioritization and strategic restructuring, including cost-reduction initiatives which resulted in the pausing or elimination of certain pipeline programs.</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6" w:right="399" w:bottom="1440" w:gutter="0" w:footer="0" w:header="0"/>
        </w:sectPr>
      </w:pPr>
    </w:p>
    <w:bookmarkStart w:id="49" w:name="page50"/>
    <w:bookmarkEnd w:id="49"/>
    <w:p>
      <w:pPr>
        <w:ind w:right="100"/>
        <w:spacing w:after="0" w:line="261" w:lineRule="auto"/>
        <w:rPr>
          <w:sz w:val="20"/>
          <w:szCs w:val="20"/>
          <w:color w:val="auto"/>
        </w:rPr>
      </w:pPr>
      <w:r>
        <w:rPr>
          <w:rFonts w:ascii="Times New Roman" w:cs="Times New Roman" w:eastAsia="Times New Roman" w:hAnsi="Times New Roman"/>
          <w:sz w:val="18"/>
          <w:szCs w:val="18"/>
          <w:color w:val="auto"/>
        </w:rPr>
        <w:t>Our current and any future license agreements and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also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To the extent that we raise additional capital through the sale of equity or convertible debt securities, your ownership interest will be diluted.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7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In addition, we have and may in the future enter collaboration and acquisition agreements, pursuant to which we are required to issue additional shares of our common stock in connection with future milestone payment obligations. These and other future issuances to our partners and collaborators may cause substantial dilution to our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you to evaluate the success of our business to date and to assess our future viability.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an early-stage company. We were founded in January 2017 and began operations in July 2017. Our operations to date have been limited to organizing and staffing our company, business planning, raising capital, acquiring and developing our platform and technology, identifying potential product candidates, undertaking preclinical studies and operating clinical trials. Many of our product development programs are still in the early clinical, preclinical or research stage of development, and their risk of failure is high. We have not yet demonstrated an ability to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8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early-stage companies in rapidly evolving fields. If we do not address these risks successfully, our business will suffer.</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other unforeseen expenses, difficulties, complications, delays, and other known and unknown factors. We will eventually need to transition from a company with a research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0" w:name="page51"/>
    <w:bookmarkEnd w:id="50"/>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and complete research and preclinical and clinical development of the product candidates we or our collaborators may identify;</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of our product candidates for which we or our collaborators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our product candidates for which we or our collaborators obtain regulatory and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or our collaborators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our product candidates for which we or our collaborators obtain regulatory and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 acceptance of any product candidates we or our collaborators may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performing our obligations in such collaborations, licensing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and defend against third-party interference, infringement, and other intellectual property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Even if one or more of the product candidates we or our collaborators may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ability to utilize our net operating loss carryforwards and certain other tax attributes may be limited.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we may never achieve profitability. To the extent that we continue to generate taxable losses, any unused U.S. federal losses generated after 2017 will carry forward indefinitely to offset future taxable income; any U.S. federal taxable losses generated prior to 2018 will carry forward for 20 tax years from the year of generation. Additionally, we continue to generate business tax credits, including U.S. federal research and development tax credits, which generally may be carried forward 20 tax years from the year of generation to offset a portion of our future tax liability, if any. Additionally, Sections 382 and 383 of the Internal Revenue Code of 1986, as amended, limit a corporation’s ability to utilize tax attributes to the extent the corporation experiences an “ownership change,” generally defined as a greater than 50 percentage point change in ownership, measured by value, among 5% or greater shareholders over a rolling three-year testing period. To the extent a corporation experiences an ownership change, utilization of pre-ownership change tax attributes (e.g., net operating losses and general business tax credits) to offset post-ownership change taxable income or taxes, is subject to an annual limitation, generally calculated as the pre-ownership change equity value of the corporation, subject to certain prescribed adjustments, multiplied by the long-term tax exempt rate published monthly by the Internal Revenue Service. We completed a Section 382 study as of December 31, 2024, and determined that no historical ownership changes occurred since December 2021. In addition, we may have experienced additional ownership changes since December 31, 2024 and may experience ownership changes in the future as a result of shifts in our stock ownership, some of which are outside of our control. As a result, if we earn net taxable income, our ability to use our pre-ownership change net operating losses or other tax attributes to offset U.S. federal taxable income or taxes may be subject to limitations, which could potentially result in increased future tax liability to us. There may also be limitations on our ability to use net operating losses and business tax credits at the state level. Additional limitations on our ability to utilize our net operating losses and other tax attributes to offset future taxable income or taxes may arise as a result of our corporate structure, whereby net operating losses or other tax attributes generated by certain of our subsidiaries or controlled entities may not be available to offset taxable income or taxes of other subsidiaries or controlled entities.</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also a risk that due to regulatory changes or other unforeseen reasons, our existing net operating losses or business tax credits could expire or otherwise become unavailable to offset future income tax liabilities. As described below in “Comprehensive tax reform legislation could adversely affect our business and financial condition,” the Tax Cuts and Jobs Act of 2017, or the Tax Act, as amended by the Coronavirus Aid, Relief, and Economic Security Act, or the CARES Act, includes changes to U.S. federal tax rates and the rules governing net operating losses that may significantly impact our ability to utilize our net operating losses to offset taxable income in the future. At the state level, there may also be periods during which the use of net operating losses or business tax credits is suspended or otherwise limited, which could accelerate or permanently increase state taxes owed. In addition, state net operating losses generated in one state cannot be used to offset income generated in another state. For these reasons, we may not be able to realize a tax benefit from the use of our net operating losses or tax credits, even if we attain profitability.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Base editing is a novel technology that has only recently been clinically validated for human therapeutic use. The approaches we are taking to discover and develop novel therapeutics are early in their development and may never lead to marketable products.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including the approval of an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nuclease editing product for treatment of sickle cell disease, base editing technologies are new and early in their development. The technologies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have licensed and are developing have not yet completed any clinical trials.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setting, optimizing the efficiency and specificity of such product candidates, and ensuring the therapeutic selectivity of such product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biological steps are required for delivery of base editing medicines to translate into therapeutically active medicines. These processing steps may differ between individuals and differ based on the targeted tissue. These differences could lead to variable levels of therapeutic protein, variable activity, immunogenicity, or variable distribution to tissues further increasing the risk inherent in the development of base editing medicines. There can be no assurance we will be successful in solving any or all of these issues, or that we will be able to progress our preclinical studies or clinical trials in accordance with anticipated timelines.</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only recently brought therapeutics to the clinic, and our future success is highly dependent on the successful development of base editing technologies, cellular delivery methods and therapeutic applications of that technology. While other gene editing technologies have progressed through clinical trials, they continue to suffer from various limitations, and such limitations may affect our future success. We may decide to alter or abandon our initial programs as new data become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2" w:name="page53"/>
    <w:bookmarkEnd w:id="52"/>
    <w:p>
      <w:pPr>
        <w:ind w:right="20"/>
        <w:spacing w:after="0" w:line="266" w:lineRule="auto"/>
        <w:rPr>
          <w:sz w:val="20"/>
          <w:szCs w:val="20"/>
          <w:color w:val="auto"/>
        </w:rPr>
      </w:pPr>
      <w:r>
        <w:rPr>
          <w:rFonts w:ascii="Times New Roman" w:cs="Times New Roman" w:eastAsia="Times New Roman" w:hAnsi="Times New Roman"/>
          <w:sz w:val="18"/>
          <w:szCs w:val="18"/>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w:t>
      </w:r>
    </w:p>
    <w:p>
      <w:pPr>
        <w:spacing w:after="0" w:line="6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product candidates are still in preclinical or clinical development and it will be years before we or our collaborators commercialize a product candidate, if ever.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7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are early in our development efforts and our future success depends heavily on the successful development of our base editing product candidates and the results of our clinical trials, none of which have yet been completed. Our ability to generate product revenue, which we do not expect will occur for many years, if ever, will depend heavily on the successful development and, if approved, eventual commercialization of our product candidates, which may never occur. We currently generate no revenue from sales of any product, and we may never be able to develop or commercialize a marketable product.</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our investigational new drug applications, or INDs, and finalizing the trial design based on discussions with the FDA and other regulatory authorities. Similarly, in the European Union, or EU, a CTA must be obtained from each member state’s national competent authority where the study is conducted, and a positive opinion of an independent ethics committee.</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Even after we receive and incorporate guidance from these regulatory authorities, the FDA, European national competent authority, or other regulatory authorities could disagree that we have satisfied their requirements to commence our clinical trial or change their position on the acceptability of our data, trial design or the clinical endpoints selected, which may require us to complete additional preclinical studies or clinical trials or impose stricter requirements for approval than we currently expect.</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FDORA, Congress required sponsors to develop and submit a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The implications of this action are not yet known.</w:t>
      </w:r>
    </w:p>
    <w:p>
      <w:pPr>
        <w:spacing w:after="0" w:line="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Further, in January 2022, the new Clinical Trials Regulation (EU) No 536/2014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clinical trials portal overseen by the European Medicines Agency, or EMA, and available to clinical trial sponsors, competent authorities of the EU Member States and the public.</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Commercialization of our product candidates we may develop will require additional preclinical and clinical development; regulatory and marketing approval in any jurisdictions where our product candidates would be marketed, including by the FDA for the U.S. market and the European Commission upon a positive benefit/risk assessment provided by the EMA in the EEA; obtaining or creating manufacturing supply, capacity and expertise; building of a commercial organization; and significant marketing efforts. The success of product candidates we identify and develop will depend on many factors, including the following:</w:t>
      </w:r>
    </w:p>
    <w:p>
      <w:pPr>
        <w:spacing w:after="0" w:line="7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IND/CTA-enabling studies, and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of IND applications, CTAs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 in accordance with all applicable current Good Clinical Practice guidelines, or GCPs, current Good Laboratory Practice guidelines adopted by the International Conference on Harmonization of Technical Requirements for Pharmaceuticals for Human Use, or ICH, and other regulatory requirements from foreign regulatory authorities;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and, where required, pricing and reimbursement decisions from applicable regulatory authorities;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3" w:name="page54"/>
    <w:bookmarkEnd w:id="53"/>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for clinical supply and commercial manufacturing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internal manufacturing processes and transfer to larger-scale facilities operated by either a contract manufacturing organization, or CMO, or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non-patent exclusivity for our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medicines,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the medicines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supplying the product at a price that is acceptable to the pricing or reimbursement authorities in different countries.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0" w:right="459" w:bottom="1440" w:gutter="0" w:footer="0" w:header="0"/>
        </w:sectPr>
      </w:pPr>
    </w:p>
    <w:bookmarkStart w:id="54" w:name="page55"/>
    <w:bookmarkEnd w:id="54"/>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product candidates we may develop, or the delivery modalities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completed human clinical trials of any of our product candidates. Moreover, there have been only a limited number of clinical trials involving the use of base editing technology similar to our technology. It is impossible to predict when or if any product candidates we develop will prove safe in humans. In the genetic medicine field, there have been several significant adverse events from gene therapy treatments in the past, including reported cases of leukemia, serious blood disorders and death. There can be no assurance that base editing technologies, or components of our product candidates or methods of delivery, will not cause undesirable side effects, as improper editing of a patient’s DNA and other effects could lead to lymphoma, leukemia, or other cancers, other serious conditions or syndromes or other aberrantly functioning cells.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We have developed assays that can detect off-target edits, even when such edits occur at very low frequencies. Using these assays, we have observed off-target edits in our base editing product candidates. As the sensitivity of these assays increases, it is possible that we will continue to detect more such off-target edits. While we do not believe that the off-target edits we have observed to date have had a material adverse impact on the safety or benefit of our product candidates, if, in the future, we detect off-target edits for a product candidate that negatively impact safety or efficacy, our ability to develop the product candidate as a therapeutic could be adversely affected.</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certain of our programs, we plan to use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opsonization reactions; antibody reactions including IgA, IgM, IgE or IgG or some combination thereof; or reactions to the polyethylene glycol from some lipids or polyethylene glycol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current or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In addition to side effects and adverse events caused by our product candidates, the conditioning administration process or related procedures used in BEAM-101 and potentially other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product candidates also can cause adverse side effects and adverse events. For example, a patient in our BEACON trial for the treatment of sickle cell disease died due to respiratory failure four months after busulfan conditioning and infusion with BEAM-101. While the investigator determined that the patient’s death was likely related to busulfan conditioning and deemed the event unrelated to BEAM-101, we cannot be certain of these conclusions, nor that other patients will not experience adverse events from the trial’s conditioning regimen or otherwise. Additionally, we are developing alternative conditioning regimens and we cannot predict if such regimens will be compatible with our product candidates. If in the future we are unable to demonstrate that such adverse events were not caused by the conditioning regimens used, or administration process or related procedure, the FDA, the European Commission, EMA or other regulatory authorities could order us to cease further development of, or deny or limit approval of, our product candidates using such regimens, processes or procedures for any or all target indications. Even if we are able to demonstrate that adverse events are not related to the product candidate or the administration of such product candidate, such occurrences could affect patient recruitment, the ability of enrolled patients to complete the clinical trial, or the commercial viability of any product candidates that obtain regulatory approval.</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5" w:name="page56"/>
    <w:bookmarkEnd w:id="55"/>
    <w:p>
      <w:pPr>
        <w:ind w:right="100"/>
        <w:spacing w:after="0" w:line="258"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8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If we successfully develop a product candidate and it receives marketing approval, we are required to present a comprehensive, concise, and critical analysis of new or emerging information on the risks of the approved product and on its benefit in approved indications, to enable an appraisal of benefit-risk profile in a Periodic Benefit Risk Evaluation Report, or PBRER, according to an internationally harmonized standard. Additionally, the FDA or a comparable regulatory authority such as the EMA could require us to adopt a Risk Evaluation and Mitigation Strategy, or REMS, or similar requirement such as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FDA, EMA, or other comparable regulatory authorities may require specific post-approval trials to be carried out to further characterize the clinical efficacy and/or safety of the product candidate. Furthermore, if we or others later identify undesirable side effects caused by any product candidate that we develop, several potentially significant negative consequences could result, including:</w:t>
      </w:r>
    </w:p>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the approved use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recently begun testing our proposed delivery modalities and product candidates in clinical trials and any favorable preclinical results, or initial clinical results, are not necessarily predictive of results that may be observed in later clinical trials.</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Even if initial clinical trials in any of our product candidates are successful, these product candidates may fail to show the desired safety, purity and potency in later stages of clinical development despite having successfully advanced through preclinical studies and initial clinical trials. Data obtained from preclinical and clinical activities are also subject to varying interpretations, and the FDA, EMA, or other regulatory authorities may disagree with our interpretations, which may delay, limit, or prevent regulatory approval. In addition, regulatory delays or rejections may be encountered as a result of many factors, including changes in regulatory policy during the period of product development.</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such adverse events may cause us to delay, limit, or terminate ongoing or planned clinical trials, any of which would have a material adverse effect on our business, financial condition, results of operations, and prospects.</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or treatment of patients in clinical trials, our receipt of necessary regulatory approvals could be delayed or prevented.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product candidates we identify or develop if we are unable to locate, enroll, and treat a sufficient number of eligible patients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as well as for some of our product candidates for pediatric populations, due to a number of factors, including small patient populations as well as screening and testing requirements that limit patient eligibility. In addition, if patients are unwilling to participate in our base editing trials because of negative publicity from adverse events related to the biotechnology, gene therapy, 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right="40"/>
        <w:spacing w:after="0" w:line="256" w:lineRule="auto"/>
        <w:rPr>
          <w:sz w:val="20"/>
          <w:szCs w:val="20"/>
          <w:color w:val="auto"/>
        </w:rPr>
      </w:pPr>
      <w:r>
        <w:rPr>
          <w:rFonts w:ascii="Times New Roman" w:cs="Times New Roman" w:eastAsia="Times New Roman" w:hAnsi="Times New Roman"/>
          <w:sz w:val="18"/>
          <w:szCs w:val="18"/>
          <w:color w:val="auto"/>
        </w:rPr>
        <w:t>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currently and may in the future have ongoing clinical trials for product candidates that treat the same indications as product candidates we are developing and may develop in the future, and patients who would otherwise be eligible for our clinical trials may instead enroll in clinical trials of our competitors’ product candidates. Treatment of enrolled patients may also be delayed or prevented due to a number of factors, including the complexity of our trials.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patient enrollment is also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informed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23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base editing as a therapeutic approach;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especially for those conditions which have small patient pools.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is subject to numerous risks unique to conducting business in foreign countries, including: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contract research organizations, or CROs, and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standard-of-care for patients with a particular disease;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locating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Enrollment or treatment delays in our clinical trials may result in increased development costs for any product candidates we may develop, which would cause the value of our company to decline and limit our ability to obtain additional financing. If we or our collaborators have difficulty enrolling or treating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6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any product candidates we identify and develop fail to demonstrate safety, purity and potency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identify and develop, we must complete preclinical development and then conduct extensive clinical trials to demonstrate their safety, purity and potency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and our collaborators may experience numerous unforeseen events during, or as a result of, clinical trials that could delay or prevent our ability to receive marketing approval or commercialize any product candidates we identify and develop,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 and endpoints;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product candidates we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product candidates we may develop may be greater than we anticipate;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may develop or other materials necessary to conduct clinical trials of any product candidates we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cancellations of clinical trials as a result of efforts by the Trump Administration to reduce research funding by the NIH of medical research;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may develop that are viewed to outweigh their potential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operations of the FDA, EMA or other relevant regulatory authority;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otherwise complying with additional requirements.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develop beyond those that we currently contemplate, if we or our collaborators are unable to successfully complete clinical trials or other testing of any product candidates we develop, or if the results of these trials or tests are not positive or are only modestly positive or if there are safety concerns, we or our collaborators may: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product candidates we may develop or 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REMS or through modification to an existing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Because we have limited financial, scientific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in October 2023, we implemented a strategic restructuring to prioritize development of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sickle cell disease programs, including BEAM-101, our ESCAPE conditioning strategy,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to hematopoietic stem cells program, as well as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editor BEAM-302 in development for the treatment of alpha-1 antitrypsin deficiency. We also announced plans to explore partnership opportunities for continued development of select programs, including BEAM-201 and other potential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CAR-T therapies. While we may identify new collaboration partners who can progress some of these programs, we may not be successful in doing so in a timely manner, on acceptable terms or at all. We may otherwise fail to raise sufficient additional capital in order to progress these programs ourselves or we may determine, for internal resource allocation purposes or for other reasons, to abandon development of these programs. As a result, we could miss valuable opportunities to capitalize on the potential of the programs. We may also allocate internal resources to a product candidate in a therapeutic area in which it would have been more advantageous to enter into a collaboration or that does not prove to have viable commercial opportunities. Any failure to use our financial and human resources efficiently could harm our business and operations.</w:t>
      </w:r>
    </w:p>
    <w:p>
      <w:pPr>
        <w:spacing w:after="0" w:line="8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at sites outside the United States. The FDA may not accept data from trials conducted in such locations, and the conduct of trials outside the United States could subject us to additional delays and expense.</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conducting clinical trials with one or more trial sites that are located outside the United States. The acceptance by the FDA or other regulatory authorities of trial data from clinical trials conducted outside their jurisdiction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9" w:name="page60"/>
    <w:bookmarkEnd w:id="59"/>
    <w:p>
      <w:pPr>
        <w:ind w:right="140"/>
        <w:spacing w:after="0" w:line="258" w:lineRule="auto"/>
        <w:rPr>
          <w:sz w:val="20"/>
          <w:szCs w:val="20"/>
          <w:color w:val="auto"/>
        </w:rPr>
      </w:pPr>
      <w:r>
        <w:rPr>
          <w:rFonts w:ascii="Times New Roman" w:cs="Times New Roman" w:eastAsia="Times New Roman" w:hAnsi="Times New Roman"/>
          <w:sz w:val="18"/>
          <w:szCs w:val="18"/>
          <w:color w:val="auto"/>
        </w:rPr>
        <w:t>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clinical trials outside the U.S.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11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we develop in the United States or any other jurisdiction, and any such approval may be for a narrower indication than we seek.</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any product candidates we may develop meet their safety, purity and potency endpoints in clinical trials, the regulatory authorities may not complete their review processes in a timely manner, or we may not be able to obtain regulatory approval. Additional delays may result if an FDA Advisory Committee, EMA’s Committee for Medicinal Products for Human Use, or CHMP,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a REMS or an RMP.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Marketing approval by the FDA in the United States, or by the EMA in the EEA,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8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ind w:right="360"/>
        <w:spacing w:after="0" w:line="282" w:lineRule="auto"/>
        <w:rPr>
          <w:sz w:val="20"/>
          <w:szCs w:val="20"/>
          <w:color w:val="auto"/>
        </w:rPr>
      </w:pPr>
      <w:r>
        <w:rPr>
          <w:rFonts w:ascii="Times New Roman" w:cs="Times New Roman" w:eastAsia="Times New Roman" w:hAnsi="Times New Roman"/>
          <w:sz w:val="18"/>
          <w:szCs w:val="18"/>
          <w:color w:val="auto"/>
        </w:rPr>
        <w:t>community. The degree of market acceptance of any product candidates we may develop, if approved for commercial sale, will depend on a number of factors, including:</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to our targeted patient population and limitations or warnings contained in approved labeling by the FDA, EMA, or other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medicines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the EMA, or other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regarding genetic medicine generally and gene editing and base editing technologies specifically;</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European Commission,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early in our commercial readiness activities, do not yet have a sales or marketing infrastructure and do not have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develop if and when they are approved.</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we may develop on our own include:</w:t>
      </w:r>
    </w:p>
    <w:p>
      <w:pPr>
        <w:spacing w:after="0" w:line="117" w:lineRule="exact"/>
        <w:rPr>
          <w:sz w:val="20"/>
          <w:szCs w:val="20"/>
          <w:color w:val="auto"/>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 candidates we may develop to segments of the patient population;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7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base editing and delivery technology fields are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are several other companies utilizing base editing technology, including PerkinElmer, Life Edit (an ElevateBio company), Metagenomi, Revvity and Intellia Therapeutics. In addition, we face competition from companies utilizing other gene editing modalities and various other genetic medicines. Within the disease areas that we focus on, we are also aware of competing companies that have approved therapies, those with therapies in development, and others that may emerge in the future. For sickle cell disease, these companies include CRISPR Therapeutics, Vertex Pharmaceuticals, bluebird bio, Novartis Pharmaceuticals, Kamau Therapeutics, Fulcrum Therapeutics, Tessera Therapeutics, Cimeio Therapeutics and Agios Pharmaceuticals. For our AATD targeted therapies, these include Wave Life Sciences, Moderna, Korro Bio, Tessera Therapeutics and Arrowhead Pharmaceuticals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EMA,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gene editing technology is subject to public debate and heightened regulatory scrutiny due to ethical concerns relating to the application of gene editing technology to human embryos or the human germline.</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such public debate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the Inflation Reduction Act of 2022, or IRA, includes several provisions that may impact our business, including provisions that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We cannot yet predict the effect the IRA will have on our business and the healthcare industry in general.</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also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3" w:name="page64"/>
    <w:bookmarkEnd w:id="63"/>
    <w:p>
      <w:pPr>
        <w:ind w:right="100"/>
        <w:spacing w:after="0" w:line="255" w:lineRule="auto"/>
        <w:rPr>
          <w:sz w:val="20"/>
          <w:szCs w:val="20"/>
          <w:color w:val="auto"/>
        </w:rPr>
      </w:pPr>
      <w:r>
        <w:rPr>
          <w:rFonts w:ascii="Times New Roman" w:cs="Times New Roman" w:eastAsia="Times New Roman" w:hAnsi="Times New Roman"/>
          <w:sz w:val="18"/>
          <w:szCs w:val="18"/>
          <w:color w:val="auto"/>
        </w:rPr>
        <w:t>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77"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expect the cost of a single administration of the genetic medicines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6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focus a substantial portion of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6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68" w:lineRule="exact"/>
        <w:rPr>
          <w:sz w:val="20"/>
          <w:szCs w:val="20"/>
          <w:color w:val="auto"/>
        </w:rPr>
      </w:pPr>
    </w:p>
    <w:p>
      <w:pPr>
        <w:ind w:left="1020" w:right="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product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medicines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as we continue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regulatory and operational risks associated with our internal manufacturing facility.</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an approximately 100,000 square foot manufacturing facility in Research Triangle Park, North Carolina intended to support clinical and commercial production of certain of our product candidates and components thereof. We aim to follow cGMP processes necessary to release product for our clinical trials and to meet all requirements from regulatory agencies, including the FDA, to allow us to support research, clinical and, if approved, commercial production of certain of our product candidates and components thereof. However, we can provide no assurances that our facility will be able to support our intended internal manufacturing capabilities and/or needs or comply with regulatory agency requirements. Furthermore, while the design of our facility is based on current standards for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ind w:right="20"/>
        <w:spacing w:after="0" w:line="254" w:lineRule="auto"/>
        <w:rPr>
          <w:sz w:val="20"/>
          <w:szCs w:val="20"/>
          <w:color w:val="auto"/>
        </w:rPr>
      </w:pPr>
      <w:r>
        <w:rPr>
          <w:rFonts w:ascii="Times New Roman" w:cs="Times New Roman" w:eastAsia="Times New Roman" w:hAnsi="Times New Roman"/>
          <w:sz w:val="18"/>
          <w:szCs w:val="18"/>
          <w:color w:val="auto"/>
        </w:rPr>
        <w:t>biotechnology facilities, it was not pre-approved by any regulatory agency, nor has the facility been inspected by any regulatory agency such as the FDA. If we are unable to operate our facility at the intended capacity, or if our facility is determined not to comply with applicable regulatory requirements, we may be unable to manufacture our products or product candidates in a timely manner, which could significantly impair our ability to develop, obtain approval for, or commercialize our product candidates. Additionally, we have incurred substantial expenditures in constructing our facility, and expect to incur significant additional expenditures operating our facility in the future. To the extent our facility does not operate at capacity or comply with regulatory requirements, we may incur expenditures beyond those we currently contemplate, including costs associated with engaging third parties to meet our manufacturing needs or undertaking remediation efforts to bring our facility into compliance with regulatory standards. Any such delays, interruptions or increased costs arising from the operation of our manufacturing facility could materially harm our business, operating results, financial condition and prospects.</w:t>
      </w:r>
    </w:p>
    <w:p>
      <w:pPr>
        <w:spacing w:after="0" w:line="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Further, while we carry biological or hazardous waste insurance coverage, such insurance coverage may not be adequate to cover losses,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regulatory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In addition, our product candidates we may develop will require complicated delivery modalities, such as electroporation and LNPs, each of which will introduce additional complexities in the manufacturing process.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we intend to use novel technologies to deliver the base editor and guide RNA constructs of product candidates, however scientific evidence to support the feasibility of developing product candidates based on these technologies is both preliminary and limited.</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and expect to continue to rely on third parties, such as CMOs, CROs, clinical data management organizations, medical institutions, and clinical investigators, to conduct some aspects of our research and preclinical testing, to manufacture components of our product candidates and to conduct our clinical trials. Any of these third parties may terminate their engagements with us at any time under certain criteria. If we need to enter into alternative arrangements, it may delay our product development activities.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design the clinical trials for our product candidates, we rely on and expect to continue to rely on CROs to conduct some or all of the clinical trials. As a result, many important aspects of our development programs, including their conduct and timing, will be outside of our direct control. Our reliance on third parties to conduct preclinical studies and clinical trials also results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7" w:name="page68"/>
    <w:bookmarkEnd w:id="67"/>
    <w:p>
      <w:pPr>
        <w:ind w:right="20"/>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supply of materials for our research programs, preclinical studies and clinical trials and expect to continue to do so for at least a portion of our future research programs, preclinical studies and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rely on third-parties for the manufacture and supply of materials for a portion of our preclinical studies and clinical trials, and may continue to do so for future research programs, preclinical studies, clinical testing and for commercial supply of any product candidates that we may develop and for which we or our collaborators obtain marketing approval.</w:t>
      </w:r>
    </w:p>
    <w:p>
      <w:pPr>
        <w:spacing w:after="0" w:line="6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While we have built a manufacturing facility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diseases in Research Triangle Park, North Carolina, we cannot be certain that we will be able to maintain cGMP compliance, expand our internal manufacturing capacity, or meet the planned manufacturing needs of our programs.</w:t>
      </w:r>
    </w:p>
    <w:p>
      <w:pPr>
        <w:spacing w:after="0" w:line="6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may be unable to establish long-term supply agreements with third-party suppliers or to do so on acceptable terms. Even if we are able to establish long-term supply agreements with third-parties, reliance on third-parties entails additional risks, including:</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or supply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of third-party suppliers to supply and/or transport materials, components and products to us in a timely manner as a result of disruptions to the global supply chain or other factors.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suppliers may not be able to comply with cGMP regulations or other regulatory requirements outside the United States. Our failure, or the failure of third-party suppliers,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we rely on various CROs to obtain non-human primates, or NHPs, for use in preclinical development work. While we believe we currently have access to a supply of NHPs adequate to meet our near-term needs, such supply may nevertheless be adversely affected by supply chain limitations. If we are unable to secure adequate supply of NHPs certain of our preclinical development efforts will be delayed, and the cost of conducting discovery projects and preclinical development activities may substantially increase. Such delays or cost increases could materially adversely affect our discovery and preclinical development activities and our business.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medicines that we develop may compete with other product candidates and products for access to manufacturing facilities or supplies. There are a limited number of manufacturers that operate under cGMP regulations and that might be capable of manufacturing drug components and drug product necessary for gene editing. Any performance failure on the part of our existing or future suppliers could delay preclinical or clinical development or marketing approval. We do not currently have arrangements in place for redundant supply of all drug components and drug products necessary for our gene editing product candidates. If any one of our current contract manufacturers or suppliers cannot perform as agreed, we may be required to replace that manufacturer or supplier. Although we believe that there are several potential alternative suppliers to support any product candidates we may develop, we may incur added costs and delays in identifying and qualifying any such replacement.</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8" w:name="page69"/>
    <w:bookmarkEnd w:id="68"/>
    <w:p>
      <w:pPr>
        <w:jc w:val="both"/>
        <w:ind w:right="2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 our drug development pipeline increases and matures, the increased demand for clinical supplies from our facilities and third parties may impact our ability to operate. We will require increased capacity across our entire supply chain. Furthermore, we rely on many service providers, including those that provide manufacturing or testing services, all of whom have inherent risks in their operations that may adversely impact our operations.</w:t>
      </w:r>
    </w:p>
    <w:p>
      <w:pPr>
        <w:spacing w:after="0" w:line="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if approved, at commercial-scale. We have limited experience manufacturing any of our product candidates in the volumes that are necessary to support clinical trials and no experience manufacturing at volumes that are necessary to support commercial sales. Efforts to establish these capabilities may not meet initial expectations as to scheduling, scale-up, reproducibility, yield, purity, cost, potency or quality. In addition, other companies, many with substantial resources, compete with us for access to the materials needed to manufacture our product candidates.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utilize, and expect to continue to utilize, third parties to, among other things, manufacture raw materials, components, parts, and consumables, and to perform quality testing. If the field of base editing and other genetic medicines continues to expand, we may encounter increasing competition for these materials and services. Demand for third-party manufacturing or testing facilities may grow at a faster rate than their existing capacity, which could disrupt our ability to find and retain third-party manufacturers capable of producing sufficient quantities of such raw materials, components, parts, and consumables required to manufacture our product candidates. The use of service providers and suppliers could expose us to risks, including, but not limited to:</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supply and service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these suppliers and service providers caused by conditions unrelated to our business or operations, including the bankruptcy of the supplier or service provider;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third-party facilities by regulatory authorities that could have a negative outcome and result in delays to or termination of their ability to supply our requirements.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 candidates on a clinical and, if approved, a commercial scale, replacement of a manufacturer may be expensive and time-consuming and may cause interruptions in the production of our product candidates. A third-party manufacturer may also encounter difficulties in production. These problems may include:</w:t>
      </w:r>
    </w:p>
    <w:p>
      <w:pPr>
        <w:spacing w:after="0" w:line="75"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 up and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products might be sold;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any delay or interruption could have a material adverse effect on our business, financial condition, or results of operations.</w:t>
      </w:r>
    </w:p>
    <w:p>
      <w:pPr>
        <w:spacing w:after="0" w:line="11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enter into collaborations with third parties for the research, development, and commercialization of certain of the product candidates we develop. If any such collaborations are not successful, we may not be able to capitalize on the market potential of those product candidates.</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and may in the future seek third-party collaborators for the research, development, and commercialization of certain of the product candidates we develop. Under the agreements we have entered into and any agreements we may enter into in the future with any third parties, we have and will likely have limited control over the amount and timing of resources that our collaborators dedicate to the development or commercialization of any product candidates we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research programs or any product candidates we may develop pose numerous risks to us, including the following:</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33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9" w:name="page70"/>
    <w:bookmarkEnd w:id="69"/>
    <w:p>
      <w:pPr>
        <w:ind w:left="1020" w:right="26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medicines or product candidates we develop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medicines may not commit sufficient resources to the marketing and distribution of such medicine or medicines.</w:t>
      </w:r>
    </w:p>
    <w:p>
      <w:pPr>
        <w:spacing w:after="0" w:line="175"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ind w:right="140"/>
        <w:spacing w:after="0" w:line="282" w:lineRule="auto"/>
        <w:rPr>
          <w:sz w:val="20"/>
          <w:szCs w:val="20"/>
          <w:color w:val="auto"/>
        </w:rPr>
      </w:pPr>
      <w:r>
        <w:rPr>
          <w:rFonts w:ascii="Times New Roman" w:cs="Times New Roman" w:eastAsia="Times New Roman" w:hAnsi="Times New Roman"/>
          <w:sz w:val="18"/>
          <w:szCs w:val="18"/>
          <w:color w:val="auto"/>
        </w:rPr>
        <w:t>strategic partners or to which the collaborators or strategic partners have rights, may result in the withdrawal of partner support for our product candidates we may develop.</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6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8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if approved, delay its potential commercialization or reduce the scope of any sales or marketing activities, or increase our expenditures and undertake development or, if approved, commercialization activities at our own expense. If we elect to increase our expenditures to fund development or, if approved,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our minority interest in Orbital Therapeutics, Inc.</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2022, we helped launch Orbital Therapeutics Inc., or Orbital, in collaboration with ARCH Venture Partners, with a goal of advancing ribonucleic acid, or RNA, medicines. In connection with the Orbital launch, we entered into a license and collaboration agreement, or the Orbital Agreement, with Orbital pursuant to which we and Orbital each granted the other licenses to certain technology controlled by it necessary or reasonably useful for the non-viral delivery or the design or manufacture of RNA for the prevention, treatment or diagnosis of human disease. In addition, concurrently with our entry into the Orbital Agreement, Orbital issued us 75 million shares of its common stock. ARCH Venture Partners is also a stockholder of Orbital, one of our directors affiliated with ARCH Venture Partners, John Maraganore, as well as John Evans, our Chief Executive Officer, are members of the board of directors of Orbital.</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 lesser degree of control over its business operations, thereby potentially subjecting us to additional financial, legal, operational and compliance risks. In addition, the controlling shareholders or management of Orbital may have business interests, strategies or goals that are inconsistent with ours. These risks include the possibility that Orbital or such other stockholders have economic or business interests or goals that are or become inconsistent with our economic or business interests or goals; are in a position to take action contrary to our instructions, requests, policies or objectives; subject us to unexpected liabilities or risks; take actions that reduce our return on investment; act in a manner that compromises our key licensed rights, or important intellectual or other rights that we own or license; or take actions that harm our reputation or restrict our ability to run our business. Furthermore, as a result of our ownership in Orbital, we may in the future be required to include Orbital’s financial information in our consolidated financial results. We have not previously included a minority-owned subsidiary in our financial statements and we would therefore be subject to increased risk in accurately representing and incorporating Orbital financial statements into our own, which could result in delayed filings with the SEC and the finding of a material or significant weakness, among others. This could result in harmful consequences to our business, including an adverse reaction in the financial markets due to a loss of confidence in the reliability of our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any product candidates we develop and for our platform technologies,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platform technologies may be adversely affected.</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trademark, trade secret and other intellectual property protection of our base editing platform technology, product candidates and other technology, including delivery platform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seek to protect our proprietary position by in-licensing intellectual property relating to our platform technology and filing patent applications in the United States and abroad related to our base editing platform technology, delivery platform technology and product candidates that are important to our business. If we or our licensors are unable to obtain or maintain patent protection with respect to our base editing platform technology, delivery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The field of gene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delivery platform technology and product candidates we may develop, or which effectively prevent others from commercializing competitive technologies and product candidates.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consistent policy regarding the scope of claims allowable in the field of gene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72" w:name="page73"/>
    <w:bookmarkEnd w:id="72"/>
    <w:p>
      <w:pPr>
        <w:spacing w:after="0" w:line="253"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Broad Institute, Editas, Harvard, and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meet certain development milestones for the development of a licensed product covered by certain sub-categories of licensed patents. If we fail to meet such milestones, our rights with respect to the sub-category of licensed patents will terminate.</w:t>
      </w:r>
    </w:p>
    <w:p>
      <w:pPr>
        <w:spacing w:after="0" w:line="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use of certain gene editing technologies for the diagnosis, treatment, and prevention of human cancers through certain engineered T-cells, which are licensed to Juno Therapeutics, Inc. (a subsidiary of Bristol-Myers Squibb Company). If we determine that rights to such excluded field are necessary to commercialize any of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Skoltech. If we are unable to obtain an exclusive license to Skoltech’s, interest in such patent applications, Skoltech may be able to license its rights to other third parties, including our competitors, and such third parties could market competing products and technology. In addition, we may need the cooperation of Skoltech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right="40"/>
        <w:spacing w:after="0" w:line="253" w:lineRule="auto"/>
        <w:rPr>
          <w:sz w:val="20"/>
          <w:szCs w:val="20"/>
          <w:color w:val="auto"/>
        </w:rPr>
      </w:pPr>
      <w:r>
        <w:rPr>
          <w:rFonts w:ascii="Times New Roman" w:cs="Times New Roman" w:eastAsia="Times New Roman" w:hAnsi="Times New Roman"/>
          <w:sz w:val="18"/>
          <w:szCs w:val="18"/>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4" w:name="page75"/>
    <w:bookmarkEnd w:id="7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platform technologies, our product candidates and our future product candidates or result in any competitive advantage.</w:t>
      </w:r>
    </w:p>
    <w:p>
      <w:pPr>
        <w:spacing w:after="0" w:line="5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We have in-licensed a number of issued U.S. patents and patent applications that cover base editing and gene targeting technologies, as well as our delivery platform technology. We have applied for provisional patent applications or Patent Cooperation Treaty, or PCT, applications intended to specifically cover our base editing platform technology and uses with respect to treatment of particular diseases and conditions, and currently own three issued U.S. patents.</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have applied for provisional patent applications or PCT applications intended to specifically cover our delivery platform technology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technology, delivery platform technology or our product candidates, or that such patents will not be challenged, narrowed, circumvented, invalidated or held unenforceable. Any failure to obtain or maintain patent protection with respect to our base editing platform technology, delivery platform technology and product candidates could have a material adverse effect on our business, financial condition, results of operations and growth prospects.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owned patents and patent applications and our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patents and patent applications we own or the patents and patent applications we in-license with respect to our base editing platform technology, delivery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delivery platform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5" w:name="page76"/>
    <w:bookmarkEnd w:id="75"/>
    <w:p>
      <w:pPr>
        <w:ind w:right="6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Likewise, our currently owned patents and patent applications, if issued as patents, and in-licensed patents and patent applications, if issued as patents, directed to our proprietary base editing technologies and our product candidates are expected to expire from 2034 through 2045,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On February 28, 2022, the PTAB issued a decision that the Boston Licensing Parties have priority of invention over University of California with respect to a single RNA CRISPR-Cas9 system that functions in eukaryotic cells. This decision is being appealed. There can be no assurance that the U.S. interference will be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6" w:name="page77"/>
    <w:bookmarkEnd w:id="76"/>
    <w:p>
      <w:pPr>
        <w:spacing w:after="0" w:line="254" w:lineRule="auto"/>
        <w:rPr>
          <w:sz w:val="20"/>
          <w:szCs w:val="20"/>
          <w:color w:val="auto"/>
        </w:rPr>
      </w:pPr>
      <w:r>
        <w:rPr>
          <w:rFonts w:ascii="Times New Roman" w:cs="Times New Roman" w:eastAsia="Times New Roman" w:hAnsi="Times New Roman"/>
          <w:sz w:val="18"/>
          <w:szCs w:val="18"/>
          <w:color w:val="auto"/>
        </w:rPr>
        <w:t>resolved in favor of the Boston Licensing Parties on appeal.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 been designated as the junior party and Toolgen has been designated as the senior party. On September 28, 2022, the PTAB issued an order suspending proceedings in the priority phase of the interference. We cannot predict with any certainty when a decision will be made.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w:t>
      </w:r>
    </w:p>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On December 14, 2022, the PTAB issued an order suspending proceedings in the priority phase of the interference. We cannot predict with any certainty when a decision will be made.</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ind w:right="800" w:firstLine="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delivery platform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delivery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8" w:name="page79"/>
    <w:bookmarkEnd w:id="78"/>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to third parties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delivery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or in-licensing necessary rights to key technologies or any product candidates we may develop.</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licensors, including Harvard, Broad Institute, Editas, and Bio Palette in the past, we cannot assure you that we will be able to in-license or acquire the rights to any product candidates or technologies from third parties on acceptable terms or at all.</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example, our agreements with certain of our third-party licensors provide that our field of use excludes particular fields, for example, the use of certain gene editing technologies for the diagnosis, treatment, and prevention of human cancers through certain engineered T-cells, which are licensed exclusively or non-exclusively to a third-party licensee.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there has been extensive patenting activity in the fields of gene editing and delivery technologies, and pharmaceutical companies, biotechnology companies, and academic institutions are competing with us or are expected to compete with us in the fields of gene editing and delivery technologies and filing patent applications potentially relevant to our business and we are aware of certain third-party patents, as well as patent applications that, if issued, may allow the third party to circumvent our patent rights. For example, we are aware of several third-party patents, and patent applications that, if issued, may be construed to cover our base editing technology, delivery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and delivery technologies. We may also require licenses from third parties for additional non-base editing technologies, including additional delivery methods that we are evaluating for use with product candidates we are developing and may develop in the future. In addition, some of our owned patents and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9" w:name="page80"/>
    <w:bookmarkEnd w:id="79"/>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field of gene editing, especially in the area of base editing technology, is still in its infancy, and no base editing product candidates have reached the market. Due to the intense research and development that is taking place by several companies, including us and our competitors, in this field and in the field of delivery technology,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delivery platform technology and any product candidates we may develop, including interference proceedings, post-grant review, inter partes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the risk increases that our base editing platform technology, delivery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patents and patent applications that, if issued, may be construed to cover our base editing technology, delivery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10,428,352; 10,443,076; 10,487,341; 10,513,712; 10,519,467; 10,526,619; 10,533,190; 10,550,407; 10,563,227; 10,570,419; 10,577,631; 10,597,680; 10,612,045; 10,626,419; 10,640,791; 10,669,560; 10,676,759; 10,752,920; 10,774,344; 10,793,878;</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0" w:name="page81"/>
    <w:bookmarkEnd w:id="80"/>
    <w:p>
      <w:pPr>
        <w:spacing w:after="0" w:line="251" w:lineRule="auto"/>
        <w:rPr>
          <w:sz w:val="20"/>
          <w:szCs w:val="20"/>
          <w:color w:val="auto"/>
        </w:rPr>
      </w:pPr>
      <w:r>
        <w:rPr>
          <w:rFonts w:ascii="Times New Roman" w:cs="Times New Roman" w:eastAsia="Times New Roman" w:hAnsi="Times New Roman"/>
          <w:sz w:val="18"/>
          <w:szCs w:val="18"/>
          <w:color w:val="auto"/>
        </w:rPr>
        <w:t>10,900,054; 10,982,230; 10,982,231; 10,988,780; 10,988,782; 11,001,863; 11,008,589; 11,008,590; 11,028,412; 11,186,849; 11,242,543; 11,274,318; 11,293,034; 11,332,761; 11,401,532; 11,473,108; 11,479,794; 11,549,127; 11,634,730; 11,674,159; 11,814,645; 11,970,711; 12,123,015; 12,180,503; 12,180,504; 12,215,343,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have been or are being opposed in Europe by multiple parties. For example, European Patent Nos. EP2,800,811 B1, and EP3,241,902 B1, and EP3,401,400 B1 have been opposed, and notices of opposition have been filed by several third parties against European Patent No. EP3,597,749 B1, which patents are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In April 2021, the claims of European patent EP3,241,902 B1 were revoked in their entirety by the Opposition Division, and that decision was not appealed. In November 2024, European patents EP2,800,811 B1 and EP3,401,400 B1 were revoked by the Boards of Appeal of the European Patent Office. It is uncertain how oppositions filed against EP3,597,749 B1 will be resolved. If this patent is maintained by the Opposition Division with claims similar to those that were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9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ability to commercialize our product candidates in the United States and abroad may be adversely affected if we cannot obtain a license on commercially reasonable terms to relevant third-party patents that cover our product candidates, delivery platform technology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ind w:right="60"/>
        <w:spacing w:after="0" w:line="254" w:lineRule="auto"/>
        <w:rPr>
          <w:sz w:val="20"/>
          <w:szCs w:val="20"/>
          <w:color w:val="auto"/>
        </w:rPr>
      </w:pPr>
      <w:r>
        <w:rPr>
          <w:rFonts w:ascii="Times New Roman" w:cs="Times New Roman" w:eastAsia="Times New Roman" w:hAnsi="Times New Roman"/>
          <w:sz w:val="18"/>
          <w:szCs w:val="18"/>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future patents or the patents of our licensors, which could be expensive, time consuming, and unsuccessful and could result in a finding that such patents are unenforceable or invalid.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future patents or the patents of our licensing partners, or we may be required to defend against claims of infringement. In addition, our patents,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 proceedings).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Conversely, we may choose to challenge the patentability of claims in a third party’s U.S. patent by requesting that the USPTO review the patent claims in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delivery platform technology or other or proprietary technologies.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ind w:right="2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platform technologies and product candidates.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 a new post-grant review system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Because of a lower evidentiary standard in USPTO proceedings compared to the evidentiary standard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some of these changes are currently unclear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Genetics, Inc., </w:t>
      </w:r>
      <w:r>
        <w:rPr>
          <w:rFonts w:ascii="Times New Roman" w:cs="Times New Roman" w:eastAsia="Times New Roman" w:hAnsi="Times New Roman"/>
          <w:sz w:val="18"/>
          <w:szCs w:val="18"/>
          <w:color w:val="auto"/>
        </w:rPr>
        <w:t>the U.S. Supreme Court held that certain claims to DNA molecules are not patentable. We cannot predict how this and future decisions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PTE and data exclusivity for any product candidates we may develop, our business may be materially harmed.</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 parties, to protect our confidential and proprietary information, especially where we do not believe patent protection is appropriate or obtainable.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asserted and may in the future assert that we, our employees, consultants, or advisors have wrongfully used or disclosed confidential information or misappropriated trade secrets.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In addition, we regularly enter into non-disclosure and confidentiality agreements to protect the proprietary positions of third parties, such as research institutions, outside scientific collaborators, CROs, third-party manufacturers, consultants, advisors, potential partners and other third parties in order to evaluate technology for potential development. Although we try to ensure that we and our employees, consultants, and advisors do not use the proprietary information or know-how of others, we have received and may in the future be subject to claims that we or these individuals have inadvertently or otherwise wrongfully used or disclosed intellectual property, including trade secrets or other proprietary information, of third parties, including any such individual’s current or former employer. Also, we have in the past and may in the future be subject to claims that these individuals are violating non-compete agreements with their former employers. We may then have to pursue litigation to defend against any of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or parts of our owned or in-licensed patents;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8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unenforceable, or narrowed in scope,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312"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31" w:lineRule="exact"/>
        <w:rPr>
          <w:rFonts w:ascii="Times New Roman" w:cs="Times New Roman" w:eastAsia="Times New Roman" w:hAnsi="Times New Roman"/>
          <w:sz w:val="17"/>
          <w:szCs w:val="17"/>
          <w:color w:val="auto"/>
        </w:rPr>
      </w:pPr>
    </w:p>
    <w:p>
      <w:pPr>
        <w:ind w:left="1020" w:right="7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3"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licensed and regulated as biologics may face competition from biosimilars approved through an abbreviated regulatory pathway.</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Patient Protection and Affordable Care Act, as amended by the Health Care and Education Affordability Reconciliation Act, or collectively,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2022, Congress clarified through FDORA that the FDA may approve multiple first interchangeable biosimilar biological products so long as the products are all approved on the first day on which such a product is approved as interchangeable with the reference product and the exclusivity period may be shared amongst multiple first interchangeable products.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may have a material adverse impact on our business due to increased competition and pricing pressure.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other legal compliance matters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genetic medicines, and in particular any novel genetic medicines we may develop, have changed frequently and may continue to change in the future.</w:t>
      </w:r>
    </w:p>
    <w:p>
      <w:pPr>
        <w:spacing w:after="0" w:line="5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Regulatory requirements governing genetic and cellular medicines, and in particular any novel genetic medicine products we may develop, have changed frequently and may continue to change in the future. We are aware of a limited number of genetic medicines that have received marketing authorization from the FDA and EMA. Even with respect to more established products in the genetic medicine field, the regulatory landscape is still developing. For example, the FDA has established the Office of Tissues and Advanced Therapies (formerly the Office of Cellular, Tissue and Gene Therapies) within CBER to consolidate the review of genetic medicines and related products, and the Cellular, Tissue and Gene Therapies Advisory Committee to advise CBER on its review. Genetic medicine clinical trials conducted at institutions that receive funding for recombinant DNA research from the NIH also are potentially subject to review by the Office of Biotechnology Activities’ Recombinant DNA Advisory Committee, or the RAC; however, the NIH announced that the RAC will only publicly review clinical trials if the trials cannot be evaluated by standard oversight bodies and pose unusual risks.</w:t>
      </w:r>
    </w:p>
    <w:p>
      <w:pPr>
        <w:spacing w:after="0" w:line="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same applies in the European Union, or EU. The EMA’s Committee for Advanced Therapies, or CAT, is responsible for assessing the quality, safety, purity and potency of advanced-therapy medicinal products. The role of the CAT is to prepare a draft opinion on an application for marketing authorization for a genetic medicinal candidate that is submitted to the CHMP before CHMP adopts its final opinion. In the EU, the development and evaluation of a genetic medicinal product must be considered in the context of the relevant EU guidelines. The EMA may issue new guidelines concerning the development and marketing authorization for genetic medicinal products and require that we comply with these new guidelines. As a result, the procedures and standards applied to genetic medicines and cell therapy products may be applied to any product candidates we may develop, but that remains uncertain at this point.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7" w:name="page88"/>
    <w:bookmarkEnd w:id="87"/>
    <w:p>
      <w:pPr>
        <w:spacing w:after="0" w:line="255"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As we advance any product candidates we may develop, we will be required to consult with these regulatory and advisory groups and comply with applicable guidelines. If we fail to do so, we may be required to delay or discontinue development of these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the FDA decides whether individual genetic medicine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IBC as well as its IRB would need to review the proposed clinical trial to assess the safety of the trial. In addition, adverse developments in clinical trials of genetic medicine products conducted by others may cause the FDA or other oversight bodies to change the requirements for approval of any product candidates we may develop. Similarly, the EMA may issue new guidelines concerning the development and marketing authorization for genetic medicine products and require that we comply with these new guidelines.</w:t>
      </w:r>
    </w:p>
    <w:p>
      <w:pPr>
        <w:spacing w:after="0" w:line="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we are initially seeking to identify and develop product candidates to treat diseases using novel technologies, there is heightened risk that the FDA, the EMA or other regulatory authority may not consider the clinical trial endpoints that we propose to provide clinically meaningful results. Even if the endpoints are deemed clinically meaningful, we may not achieve these endpoints to a degree of statistical significance, particularly because many of the diseases we are targeting with our platform, including T-cell acute lymphoblastic leukemia, glycogen storage disorder and Stargardt disease, have small patient populations, making development of large and rigorous clinical trials more difficult.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 and only a limited number of gene therapy products have received marketing authorization or marketing approval from the European Commission or the FDA. Some of these products have taken years to register and have had to address significant issues in their post-marketing experience.</w:t>
      </w:r>
    </w:p>
    <w:p>
      <w:pPr>
        <w:spacing w:after="0" w:line="8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Adverse developments in post-marketing experience or in clinical trials conducted by others of genetic medicines or cell therapy products may cause the FDA, the EMA, and other regulatory bodies to revise the requirements for development or approval of any product candidates we may develop or limit the use of products utilizing non-viral genetic medicinal technologies, either of which could materially harm our business. In addition, the clinical trial requirements of the FDA, the EMA, and other regulatory authorities and the criteria these regulators use to determine the safety, purity and potency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non-viral genetic medicine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ethical, social and legal concerns about genetic medicine,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any product candidates we may develop are unsafe or pose a hazard could prevent us from commercializing any products. New government requirements may be established that could delay or prevent regulatory approval of any product candidates we may develop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we advance any product candidates we develop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8" w:name="page89"/>
    <w:bookmarkEnd w:id="88"/>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under the Pediatric Research Equity Act, or PREA,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addition, we could be adversely affected by several significant administrative law cases decided by the U.S. Supreme Court in 2024.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v. Raimondo</w:t>
      </w:r>
      <w:r>
        <w:rPr>
          <w:rFonts w:ascii="Times New Roman" w:cs="Times New Roman" w:eastAsia="Times New Roman" w:hAnsi="Times New Roman"/>
          <w:sz w:val="18"/>
          <w:szCs w:val="18"/>
          <w:color w:val="auto"/>
        </w:rPr>
        <w:t>, for example, the court overruled</w:t>
      </w:r>
      <w:r>
        <w:rPr>
          <w:rFonts w:ascii="Times New Roman" w:cs="Times New Roman" w:eastAsia="Times New Roman" w:hAnsi="Times New Roman"/>
          <w:sz w:val="18"/>
          <w:szCs w:val="18"/>
          <w:i w:val="1"/>
          <w:iCs w:val="1"/>
          <w:color w:val="auto"/>
        </w:rPr>
        <w:t xml:space="preserve"> Chevron U.S.A., Inc. v. Natural Resources Defense Council, Inc</w:t>
      </w:r>
      <w:r>
        <w:rPr>
          <w:rFonts w:ascii="Times New Roman" w:cs="Times New Roman" w:eastAsia="Times New Roman" w:hAnsi="Times New Roman"/>
          <w:sz w:val="18"/>
          <w:szCs w:val="18"/>
          <w:color w:val="auto"/>
        </w:rPr>
        <w:t>., which for 40 years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the APA. Additionally, in </w:t>
      </w:r>
      <w:r>
        <w:rPr>
          <w:rFonts w:ascii="Times New Roman" w:cs="Times New Roman" w:eastAsia="Times New Roman" w:hAnsi="Times New Roman"/>
          <w:sz w:val="18"/>
          <w:szCs w:val="18"/>
          <w:i w:val="1"/>
          <w:iCs w:val="1"/>
          <w:color w:val="auto"/>
        </w:rPr>
        <w:t>Corner Post, Inc. v. Board of Governors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Federal Reserve System</w:t>
      </w:r>
      <w:r>
        <w:rPr>
          <w:rFonts w:ascii="Times New Roman" w:cs="Times New Roman" w:eastAsia="Times New Roman" w:hAnsi="Times New Roman"/>
          <w:sz w:val="18"/>
          <w:szCs w:val="18"/>
          <w:color w:val="auto"/>
        </w:rPr>
        <w:t>, the court held that actions to challenge a federal regulation under the APA can be initiated within six years of the date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18"/>
          <w:szCs w:val="18"/>
          <w:i w:val="1"/>
          <w:iCs w:val="1"/>
          <w:color w:val="auto"/>
        </w:rPr>
        <w:t>Securities and Exchange Commission v. Jarkesy</w:t>
      </w:r>
      <w:r>
        <w:rPr>
          <w:rFonts w:ascii="Times New Roman" w:cs="Times New Roman" w:eastAsia="Times New Roman" w:hAnsi="Times New Roman"/>
          <w:sz w:val="18"/>
          <w:szCs w:val="18"/>
          <w:color w:val="auto"/>
        </w:rPr>
        <w:t>, overturned regulatory agencies’ ability to impose civil penalties in administrative proceedings. These decisions could introduce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9" w:name="page90"/>
    <w:bookmarkEnd w:id="89"/>
    <w:p>
      <w:pPr>
        <w:spacing w:after="0" w:line="266" w:lineRule="auto"/>
        <w:rPr>
          <w:sz w:val="20"/>
          <w:szCs w:val="20"/>
          <w:color w:val="auto"/>
        </w:rPr>
      </w:pPr>
      <w:r>
        <w:rPr>
          <w:rFonts w:ascii="Times New Roman" w:cs="Times New Roman" w:eastAsia="Times New Roman" w:hAnsi="Times New Roman"/>
          <w:sz w:val="18"/>
          <w:szCs w:val="18"/>
          <w:color w:val="auto"/>
        </w:rPr>
        <w:t>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the FDA’s actions. On January 16, 2025, the district court agreed to allow these states 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spacing w:after="0" w:line="8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Finally,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U.K. as a result of the withdrawal of the U.K. from the EU, commonly referred to as Brexit. The U.K. is no longer part of the European Single Market and EU Customs Union. As of January 1, 2025, the Medicines and Healthcare Products Regulatory Agency, or MHRA, is responsible for approving all medicinal products destined for the U.K. market (i.e., Great Britain, or GB, and Northern Ireland). At the same time,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or RRs. The RRs notably include the EMA and regulators in the EU/European Economic Area, or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to restrict or delay efforts to seek regulatory approval in the U.K. for our product candidates, which could significantly and materially harm our business.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0" w:name="page91"/>
    <w:bookmarkEnd w:id="90"/>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any of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 The FDA may also impose requirements for costly post-marketing studies or clinical trials and surveillance to monitor the safety or efficacy of a product.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91" w:name="page92"/>
    <w:bookmarkEnd w:id="91"/>
    <w:p>
      <w:pPr>
        <w:ind w:right="60"/>
        <w:spacing w:after="0" w:line="253" w:lineRule="auto"/>
        <w:rPr>
          <w:sz w:val="20"/>
          <w:szCs w:val="20"/>
          <w:color w:val="auto"/>
        </w:rPr>
      </w:pPr>
      <w:r>
        <w:rPr>
          <w:rFonts w:ascii="Times New Roman" w:cs="Times New Roman" w:eastAsia="Times New Roman" w:hAnsi="Times New Roman"/>
          <w:sz w:val="18"/>
          <w:szCs w:val="18"/>
          <w:color w:val="auto"/>
        </w:rPr>
        <w:t>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73"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2" w:name="page93"/>
    <w:bookmarkEnd w:id="9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8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our product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where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platform technology as a designated platform technology, but we might not receive such designation, and even if we do, such designation may not lead to a faster regulatory review or approval process.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seek designation for our platform technology as a designated platform technology. Under FDORA, a platform technology incorporated within or utilized by a drug or biological product is eligible to be a designated platform technology if (1) the platform technology is incorporated in, or utilized by, a drug approved under a BLA;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drug will be developed more quickly or receive FDA approval. Moreover, the FDA may revoke a designation if the FDA determines that a designated platform technology no longer meets the criteria for such designation.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3" w:name="page94"/>
    <w:bookmarkEnd w:id="93"/>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In addition, disruptions may also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8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Further, with the change in the presidential administration in 2025, there is substantial uncertainty as to how, if at all, the new administration will seek to modify or revise the requirements and policies of the FDA and other regulatory agencies with jurisdiction over our product candidates. There is also uncertainty as to how other measures being implemented by the Trump Administration across the government will impact our activities and those of the FDA and its operations. For example, the potential loss of FDA personnel could lead to further disruptions and delays in FDA review of our product candidates. Similarly, efforts by the new administration to substantially reduce research funding by the NIH of medical research could have substantial direct or indirect impacts on our research activities and clinical trials.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emergency related disruption occurs, it could significantly impact the ability of the FDA to timely review and process our regulatory submissions, which could have a material adverse effect on our business. Future emergency-related disruptions could also affect other government agencies such as the SEC, which may also impact our business by delaying review of our public filings, to the extent such review is necessary, and our ability to access the public markets.</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FDA’s standards for granting orphan drug exclusivity in the gene therapy context are unclear and evolving. For example,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sameness. In addition,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Orphan drug exclusivity may also be lost if the FDA or EMA determines that the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4" w:name="page95"/>
    <w:bookmarkEnd w:id="94"/>
    <w:p>
      <w:pPr>
        <w:spacing w:after="0" w:line="261" w:lineRule="auto"/>
        <w:rPr>
          <w:sz w:val="20"/>
          <w:szCs w:val="20"/>
          <w:color w:val="auto"/>
        </w:rPr>
      </w:pPr>
      <w:r>
        <w:rPr>
          <w:rFonts w:ascii="Times New Roman" w:cs="Times New Roman" w:eastAsia="Times New Roman" w:hAnsi="Times New Roman"/>
          <w:sz w:val="18"/>
          <w:szCs w:val="18"/>
          <w:color w:val="auto"/>
        </w:rPr>
        <w:t>request for designation was materially defective or if the manufacturer is unable to assure sufficient quantity of the product to meet the needs of the patients with the rare disease or condition. In addition, even after an orphan drug is approved, the FDA can subsequently approve the same drug for the same condition if the FDA concludes that the later product candidate is clinically superior in that it is shown to be safer, more effective or makes a major contribution to patient care compared with the product that has orphan exclusivity.</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Further, under Omnibus legislation signed in December 2020, the requirement for a product to show clinical superiority applies to drugs and biologics that received orphan drug designation before enactment of FDARA in 2017, but have not yet been approved or licensed by the FDA.</w:t>
      </w:r>
    </w:p>
    <w:p>
      <w:pPr>
        <w:spacing w:after="0" w:line="7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This may be particularly true in light of a decision from the Court of Appeals for the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Circuit in September 2021 finding that, for the purpose of determining the scope of exclusivity, the term “same disease or condition” means the designated “rare disease or condition” and could not be interpreted by the agency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81"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20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also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5" w:name="page96"/>
    <w:bookmarkEnd w:id="95"/>
    <w:p>
      <w:pPr>
        <w:ind w:left="1020" w:right="6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2010, the United States Congress enacted the 2010 Patient Protection and Affordable Care Act, or the PPACA.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Other legislative changes have been adopted since the PPACA was enacted, including aggregate reductions to Medicare payments to providers of up to 2% per fiscal year, which went into effect in April 2013 and will remain in effect through 2031. Under current legislation, the actual reductions in Medicare payments may vary up to 4%. The Consolidated Appropriations Act, or CAA, which was signed into law by President Biden in December 2022, made several changes to sequestration of the Medicare program. Section 1001 of the CAA delays the 4% Statutory Pay-As-You-Go Act of 2010, or PAYGO, sequester for two years, through the end of calendar year 2024. Triggered by the enactment of the American Rescue Plan Act of 2021, the 4% cut to the Medicare program would have taken effect in January 2023. The CAA’s health care offset title includes Section 4163, which extends the 2% Budget Control Act of 2011 Medicare sequester for six months into fiscal year 2032 and lowers the payment reduction percentages in fiscal years 2030 and 2031.</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96" w:name="page97"/>
    <w:bookmarkEnd w:id="96"/>
    <w:p>
      <w:pPr>
        <w:spacing w:after="0" w:line="258"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Act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spacing w:after="0" w:line="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the EU,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51"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been the subject of considerable discussion in the United States. There have been several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October 2024, five states (Colorado, Florida, Maine, New Hampshire and New Mexico) had submitted Section 804 Importation Program proposals to the FDA. Vermont has submitted a concept letter to the HHS.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IRA further delayed implementation of this rule to January 1, 2032.</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7" w:name="page98"/>
    <w:bookmarkEnd w:id="97"/>
    <w:p>
      <w:pPr>
        <w:ind w:right="100"/>
        <w:spacing w:after="0" w:line="255"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CMS announced its selection of 15 additional drugs covered by Part D for the second cycle of negotiations by February 1, 2025. While there had been some questions about the Trump Administration’s position on this program,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Novo Nordisk, Inc., Janssen Pharmaceuticals, Inc., Novartis AG, AstraZeneca plc and Boehringer Ingelheim International GMBH, also filed lawsuits in various courts with similar constitutional claims against HHS and CMS. There have been various decisions by the courts considering these cases since they were filed. The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We expect that litigation involving these and other provisions of the IRA will continue, with unpredictable and uncertain results.</w:t>
      </w:r>
    </w:p>
    <w:p>
      <w:pPr>
        <w:spacing w:after="0" w:line="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8" w:name="page99"/>
    <w:bookmarkEnd w:id="98"/>
    <w:p>
      <w:pPr>
        <w:ind w:right="20"/>
        <w:spacing w:after="0" w:line="253" w:lineRule="auto"/>
        <w:rPr>
          <w:sz w:val="20"/>
          <w:szCs w:val="20"/>
          <w:color w:val="auto"/>
        </w:rPr>
      </w:pPr>
      <w:r>
        <w:rPr>
          <w:rFonts w:ascii="Times New Roman" w:cs="Times New Roman" w:eastAsia="Times New Roman" w:hAnsi="Times New Roman"/>
          <w:sz w:val="18"/>
          <w:szCs w:val="18"/>
          <w:color w:val="auto"/>
        </w:rPr>
        <w:t>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United States and the EU, reimbursement and healthcare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principal investigators and any commercial partners we may have. Misconduct by these parties could include intentional failures to comply with 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 candidates outside of the United States and require us to develop and implement costly compliance programs.</w:t>
      </w:r>
    </w:p>
    <w:p>
      <w:pPr>
        <w:spacing w:after="0" w:line="5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9" w:name="page100"/>
    <w:bookmarkEnd w:id="99"/>
    <w:p>
      <w:pPr>
        <w:spacing w:after="0" w:line="253"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and failure to comply with such requirements could subject us to significant fines and penalties and other consequences, which may have a material adverse effect on our business, financial condition or results of operations.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U.K. and other countries in which we may conduct business.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w:t>
      </w:r>
    </w:p>
    <w:p>
      <w:pPr>
        <w:spacing w:after="0" w:line="7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recent months, the Officer of Civil Rights, or OCR, has been especially active in enforcing the HIPAA rules.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Additionally, OCR is looking to amend the HIPAA Security Rule, which, if and when finalized, could create additional compliance obligations and risk for our business.</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potential enforcement by the HHS, we could also be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FTC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also increased restrictions at the federal level relating to transferring sensitive data outside of the U.S.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0" w:name="page101"/>
    <w:bookmarkEnd w:id="100"/>
    <w:p>
      <w:pPr>
        <w:ind w:right="160"/>
        <w:spacing w:after="0" w:line="255" w:lineRule="auto"/>
        <w:rPr>
          <w:sz w:val="20"/>
          <w:szCs w:val="20"/>
          <w:color w:val="auto"/>
        </w:rPr>
      </w:pPr>
      <w:r>
        <w:rPr>
          <w:rFonts w:ascii="Times New Roman" w:cs="Times New Roman" w:eastAsia="Times New Roman" w:hAnsi="Times New Roman"/>
          <w:sz w:val="18"/>
          <w:szCs w:val="18"/>
          <w:color w:val="auto"/>
        </w:rPr>
        <w:t>States are also active in creating specific rules relating to the processing of personal information. 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European General Data Protection Regulation, or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w:t>
      </w:r>
    </w:p>
    <w:p>
      <w:pPr>
        <w:spacing w:after="0" w:line="8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the sole responsibility of which is to enforce the CPRA and other California privacy laws, which will further increase compliance risk. The provisions in the CPRA may apply to some of our business activities.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eighteen other states have passed comprehensive privacy laws similar to the CCPA and CPRA. These laws are either in effect or will go into effect over the next few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regulates the collection and sharing of health information,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Similar to the laws in the U.S.,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group of companies of the preceding financial year, whichever is higher, as well as compensation claims by affected individuals, negative publicity, reputational harm and a potential loss of business and goodwill.</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EC to offer adequate data protection legislation. There are ongoing concerns about the ability of companies to transfer personal data from the EU to other countries. In July 2020, the Court of Justice of the EU, or CJEU, invalidated the EU-U.S. Privacy Shield, one of the mechanisms used to legitimize the transfer of personal data from the EEA to the U.S. The CJEU decision also drew into question the long-term viability of an alternative means of data transfer, the standard contractual clauses, for international transfers of personal data from the EEA. This CJEU decision resulted in increased scrutiny on data transfers and increased our costs of compliance with data privacy legislation, as well as our costs of negotiating appropriate privacy and security agreements with our vendors and business partners.</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serves as a replacement to the EU-U.S. Privacy Shield. The EC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1" w:name="page102"/>
    <w:bookmarkEnd w:id="101"/>
    <w:p>
      <w:pPr>
        <w:ind w:right="40"/>
        <w:spacing w:after="0" w:line="258" w:lineRule="auto"/>
        <w:rPr>
          <w:sz w:val="20"/>
          <w:szCs w:val="20"/>
          <w:color w:val="auto"/>
        </w:rPr>
      </w:pPr>
      <w:r>
        <w:rPr>
          <w:rFonts w:ascii="Times New Roman" w:cs="Times New Roman" w:eastAsia="Times New Roman" w:hAnsi="Times New Roman"/>
          <w:sz w:val="18"/>
          <w:szCs w:val="18"/>
          <w:color w:val="auto"/>
        </w:rPr>
        <w:t>issue has the potential to impact our business. Following the withdrawal of the U.K. from the EU, the U.K. Data Protection Act of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of 2018 and the GDPR, respectively. The U.K. and the U.S. have also agreed to a U.S.-U.K. “Data Bridge,” which functions similarly to the EU-U.S. Data Privacy Framework and provides an additional legal mechanism for companies to transfer data from the U.K. to the U.S.</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Switzerland has also approved an adequacy decision in relation to the Swiss-U.S. Data Privacy Framework (which functions similarly to the EU-U.S. Data Privacy Framework and the U.S.-U.K. Data Bridge in relation to data transfers from Switzerland to the U.S.). Any changes or updates to these developments have the potential to impact our business.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present new risks and challenges to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information technology</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acquire businesses or technologies, and if we do not successfully do so, or otherwise fail to integrate any new businesses or technologies into our operations, we may have limited growth opportunities and it could result in significant impairment charges or other adverse financial consequences.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continuing to seek to acquire businesses or technologies that we believe are a strategic fit with our business strategy. Future acquisitions, however, may entail numerous operational and financial risks, including:</w:t>
      </w:r>
    </w:p>
    <w:p>
      <w:pPr>
        <w:spacing w:after="0" w:line="5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our current financial resources;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 and in connection with future milestone payment obligations under such acquisition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development activities for those acquired or in-licensed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customer base and diversion of our management’s time and attention to develop acquired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2" w:name="page103"/>
    <w:bookmarkEnd w:id="102"/>
    <w:p>
      <w:pPr>
        <w:ind w:right="80"/>
        <w:spacing w:after="0" w:line="254" w:lineRule="auto"/>
        <w:rPr>
          <w:sz w:val="20"/>
          <w:szCs w:val="20"/>
          <w:color w:val="auto"/>
        </w:rPr>
      </w:pPr>
      <w:r>
        <w:rPr>
          <w:rFonts w:ascii="Times New Roman" w:cs="Times New Roman" w:eastAsia="Times New Roman" w:hAnsi="Times New Roman"/>
          <w:sz w:val="18"/>
          <w:szCs w:val="18"/>
          <w:color w:val="auto"/>
        </w:rPr>
        <w:t>We may not have sufficient resources to acquire businesses and technologies and integrate them into our current infrastructure. In particular, we may compete with larger biotechnology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 candidates and the companies which we acquire that may create conflicts in relationships or other commitments detrimental to the integrated businesses. Additionally, the time between our expenditures to acquire or in-license new technologies or businesses and the subsequent generation of revenues from those acquired technologies or businesses (or the timing of revenue recognition related to licensing agreements and/or strategic collaborations) could cause fluctuations in our financial performance from period to period. Finally, if we devote resources to potential acquisition opportunities that are never completed, or if we fail to realize the anticipated benefits of those efforts, we could incur significant impairment charges or other adverse financial consequences.</w:t>
      </w:r>
    </w:p>
    <w:p>
      <w:pPr>
        <w:spacing w:after="0" w:line="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Chief Executive Officer, President and other key executives and to attract, retain, and motivate qualified personnel.</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highly dependent on John Evans, our Chief Executive Officer, and Dr. Giuseppe Ciaramella, our President, as well as the other principal members of our management and scientific teams. Mr. Evans, Dr. Ciaramella and such other principal members are employed “at will,” meaning we or they may terminate their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Our competitors may seek to use these transitions and the related potential disruptions to gain a competitive advantage over us. There is currently a shortage of highly qualified personnel in our industry, which is likely to continue. Additionally, this shortage of highly qualified personnel is particularly acute in the area where we are located.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growth and advancement of our pipeline, we expect to increase the number of our employees and the scope of our operations in the areas of drug development, regulatory affairs, and sales and marketing. To manage our anticipated future growth in these areas,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an early-stage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any future growth,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 and subject us to securities class action litigation.</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your initial purchase price. The market price for our common stock may be influenced by many factors, including:</w:t>
      </w:r>
    </w:p>
    <w:p>
      <w:pPr>
        <w:spacing w:after="0" w:line="72"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for any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genetic medicines, including those that involve gene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any future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pandemics and public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Maintaining adequate internal financial and accounting controls and procedures to ensure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requires annual management assessment of the effectiveness of our internal control over financial reporting and an annual report on and attestation to such</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4" w:name="page105"/>
    <w:bookmarkEnd w:id="104"/>
    <w:p>
      <w:pPr>
        <w:ind w:right="20"/>
        <w:spacing w:after="0" w:line="258" w:lineRule="auto"/>
        <w:rPr>
          <w:sz w:val="20"/>
          <w:szCs w:val="20"/>
          <w:color w:val="auto"/>
        </w:rPr>
      </w:pPr>
      <w:r>
        <w:rPr>
          <w:rFonts w:ascii="Times New Roman" w:cs="Times New Roman" w:eastAsia="Times New Roman" w:hAnsi="Times New Roman"/>
          <w:sz w:val="18"/>
          <w:szCs w:val="18"/>
          <w:color w:val="auto"/>
        </w:rPr>
        <w:t>assessment by our registered public accounting firm. Notwithstanding such actions, we may not be effective in maintaining the adequacy of our internal controls, and any failure to maintain that adequacy, or consequent inability to produce accurate financial statements on a timely basis, or any disagreement with our auditors on whether we have maintained such adequacy, could increase our operating costs and harm our business. In addition, investors’ perceptions that our internal controls are inadequate or that we are unable to produce accurate financial statements on a timely basis may harm our common stock price and make it more difficult for us to effectively market and sell our service to new and existing customers.</w:t>
      </w:r>
    </w:p>
    <w:p>
      <w:pPr>
        <w:spacing w:after="0" w:line="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These requirements have increased our legal and financial compliance costs and make some activities more time-consuming and costly. For example, as a public company it is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fourth amended certificate of incorporation, our second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fourth amended certificate of incorporation, or our certificate of incorporate, and our second amended and restated by-laws, or our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certificate of incorporation and by-laws include provisions that:</w:t>
      </w:r>
    </w:p>
    <w:p>
      <w:pPr>
        <w:spacing w:after="0" w:line="72" w:lineRule="exact"/>
        <w:rPr>
          <w:sz w:val="20"/>
          <w:szCs w:val="20"/>
          <w:color w:val="auto"/>
        </w:rPr>
      </w:pPr>
    </w:p>
    <w:p>
      <w:pPr>
        <w:ind w:left="1020" w:right="44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authorized our board of directors to make, alter, amend or repeal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certificate of incorporation and by-laws.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5" w:name="page106"/>
    <w:bookmarkEnd w:id="105"/>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certificate of incorporation or our by-laws, (4) any action to interpret, apply, enforce or determine the validity of our certificate of incorporation or our by-laws or (5) any other action asserting a claim against us that is governed by the internal affairs doctrine. Furthermore, our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and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or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emergencies or epidemics could adversely impact our business.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Public health emergencies or epidemics could materially and adversely affect our business and our financial results and could cause a disruption to the development of our product candidates. The extent to any such public health emergency may impact our business, results of operations and future growth prospects will depend on a variety of factors, including the duration, scope and severity of the emergency, the existence and extent of travel restrictions and social distancing in the U.S. and other countries, business closures or business disruptions, the effectiveness of actions taken in the U.S. and other countries, and the availability of therapeutic interventions.</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Some factors from public health emergencies that could delay or otherwise adversely affect the completion of our preclinical and clinical activities and, depending on the duration of the outbreak, the initiation of any future clinical trials, as well as our business generally, include:</w:t>
      </w:r>
    </w:p>
    <w:p>
      <w:pPr>
        <w:spacing w:after="0" w:line="54" w:lineRule="exact"/>
        <w:rPr>
          <w:sz w:val="20"/>
          <w:szCs w:val="20"/>
          <w:color w:val="auto"/>
        </w:rPr>
      </w:pPr>
    </w:p>
    <w:p>
      <w:pPr>
        <w:ind w:left="1020" w:right="300" w:hanging="503"/>
        <w:spacing w:after="0" w:line="258"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availability of preclinical and clinical trial sites, researchers and investigators, regulatory agency personnel, and materials;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operations by local, state, or the federal government that could impact our ability to conduct our preclinical and clinical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hinder our timelines;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affecting the transport of key materials;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6" w:name="page107"/>
    <w:bookmarkEnd w:id="106"/>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key materials from our CMOs due to staffing shortages, production slowdowns or stoppages, increased demand from third parties for key materials and disruptions in delivery systems;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third-party suppliers, including through the effects of facility closures, reductions in operating hours, staggered shifts and other social distancing efforts, labor shortages, decreased productivity and unavailability of materials or components.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Public health emergencies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Recent changes or future changes in tax law may adversely affect our business or financial condition. On December 22, 2017, the Tax Act was signed into law. The Tax Act, as amended by the CARES Act, among other things, contains significant changes to corporate taxation, including the reduction of the corporate tax rate from a top marginal rate of 35% to a flat rate of 21% and, for taxable years beginning after December 31, 2020, the limitation of the deduction for net operating losses to 80% of current year taxable income in respect of net operating losses generated during or after 2018. Any federal net operating loss incurred in 2018 and in future years may now be carried forward indefinitely pursuant to the Tax Act, but can no longer be carried back. Similar rules and limitations may apply for state income tax proposes. In addition, beginning in 2022, the Tax Act eliminates the option to deduct research and development expenditures currently and generally requires corporations to capitalize and amortize them over five years (or 15 years for expenditures attributable to foreign research).</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Tax Act, as part of Congress’ response to the COVID-19 pandemic, economic relief legislation was enacted in 2020 and 2021 containing tax provisions, including the CARES Act and the Inflation Reduction Act, or the IRA, which was signed into law in August 2022, introduced a number of new tax provisions. The IRA in particular includes a one percent excise tax imposed on certain stock repurchases by publicly traded companies, which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Regulatory guidance under the Tax Act and such additional legislation is and continues to be forthcoming, and such guidance could ultimately increase or lessen the impact of these laws on our business and financial condition. Additional tax legislation may also be enacted in the future, which could have an impact on us. In addition, it is uncertain if and to what extent various states will conform to the Tax Act and additional tax legislation.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disruptions impacting global supply, the conflict between Russia and Ukraine and related sanctions against Russia, increasing inflation rates and interest rate changes.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7" w:name="page108"/>
    <w:bookmarkEnd w:id="107"/>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through our information security program and relevant contractual agreements with our business partners, if such an event were to occur and cause interruptions in our operations, it could result in a disruption of our development programs and our business operations, whether due to a loss of our trade secrets or other proprietary information or other disruptions, including the possible loss of personal data. For example, the loss of clinical trial data from future clinical trials could result in delays in our regulatory approval efforts and significantly increase our costs to recover or reproduce the data, as well as subject us to obligations and risks related to the potential loss of personal data. If we were to experience a significant cybersecurity breach of our information systems or data, the costs associated with the investigation, remediation and potential notification of the breach to counterparties and data subjects could be material, in addition to potential costs related to regulatory investigations in the United States or other countries.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Additionally, there are increased rules and regulations governing the use and development of artificial intelligence at the state, federal, and international levels, which creates potential compliance and enforcement risk. These developments could damage our reputation, result in the loss of valuable property and information, and adversely impact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overall risk management program/information technology function and are designed to help protect our information assets and operations from internal and external cyber threats, protect employee and clinical trial information from unauthorized access or attack, as well as secure our networks and systems. Such processes include physical, procedural and technical safeguards, response plans, regular tests on our systems, incident simulations and routine review of our policies and procedures to identify risks and enhance our practices. We engage certain external parties, including consultants, independent privacy assessors, computer security firms and risk management, peer companies, industry groups and governance experts, to enhance our cybersecurity oversight. We consider the internal risk oversight programs of third-party service providers before engaging them in order to help protect our company from any related vulnerabilities.</w:t>
      </w:r>
    </w:p>
    <w:p>
      <w:pPr>
        <w:spacing w:after="0" w:line="8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Based on an assessment using these processes, we do not believe that there are currently any risks from known cybersecurity threats that are reasonably likely to materially affect our company or our business strategy, results of operations or financial condition. For additional information, please see the risk factor titled “</w:t>
      </w:r>
      <w:r>
        <w:rPr>
          <w:rFonts w:ascii="Times New Roman" w:cs="Times New Roman" w:eastAsia="Times New Roman" w:hAnsi="Times New Roman"/>
          <w:sz w:val="18"/>
          <w:szCs w:val="18"/>
          <w:i w:val="1"/>
          <w:iCs w:val="1"/>
          <w:color w:val="auto"/>
        </w:rPr>
        <w:t>Our internal computer systems, or those of our third-party vendors, collaborators or other contractors or consultants, may fail or suffer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 </w:t>
      </w:r>
      <w:r>
        <w:rPr>
          <w:rFonts w:ascii="Times New Roman" w:cs="Times New Roman" w:eastAsia="Times New Roman" w:hAnsi="Times New Roman"/>
          <w:sz w:val="18"/>
          <w:szCs w:val="18"/>
          <w:color w:val="auto"/>
        </w:rPr>
        <w:t>under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1A., </w:t>
      </w:r>
      <w:r>
        <w:rPr>
          <w:rFonts w:ascii="Times New Roman" w:cs="Times New Roman" w:eastAsia="Times New Roman" w:hAnsi="Times New Roman"/>
          <w:sz w:val="18"/>
          <w:szCs w:val="18"/>
          <w:i w:val="1"/>
          <w:iCs w:val="1"/>
          <w:color w:val="auto"/>
        </w:rPr>
        <w:t>Risk factors—General risk factors,</w:t>
      </w:r>
      <w:r>
        <w:rPr>
          <w:rFonts w:ascii="Times New Roman" w:cs="Times New Roman" w:eastAsia="Times New Roman" w:hAnsi="Times New Roman"/>
          <w:sz w:val="18"/>
          <w:szCs w:val="18"/>
          <w:color w:val="auto"/>
        </w:rPr>
        <w:t xml:space="preserve"> in this Annual Report on Form 10-K.</w:t>
      </w:r>
    </w:p>
    <w:p>
      <w:pPr>
        <w:spacing w:after="0" w:line="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direct oversight over cybersecurity risk, and provides updates to the board of directors regarding such oversight. The Audit Committee receives updates quarterly from management regarding cybersecurity matters, and is notified between such updates regarding significant new cybersecurity threats or incidents.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Vice President of Information Security, or the VP, IS, leads the operational oversight of company-wide cybersecurity strategy, policy, standards and processes and works across relevant departments to assess and help prepare us and our employees and third-party service providers to address cybersecurity risks. The VP, IS’s cybersecurity training includes 25 years of experience building and maintaining cybersecurity programs, and he obtained his certified information systems security professional, or CISSP, certification from the International Information System Security Certification Consortium, or ISC2, and his Cybersecurity and Infrastructure Security Agency, or CISA, certification from ISACA.</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including part-time and temporary employees, with a data protection, cybersecurity and incident response and prevention training and compliance program, which covers timely and relevant topics. Past topics have included social engineering, phishing, password protection, confidential data protection, asset use and mobile security, and educate employees on the importance of reporting all incidents immediately. We also use technology-based tools to mitigate cybersecurity risks and to bolster our employee-based cybersecurity programs.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leased approximately 130,258 square feet of office and laboratory space in Cambridge, Massachusetts under a lease that expires in 2034. Additionally, we entered into a lease agreement with Alexandria Real Estate Equities, Inc. pursuant to which we built a 100,000 square foot manufacturing facility in Research Triangle Park, North Carolina intended to support a broad range of clinical programs, which lease expires in 2037. We believe that our facilities are sufficient to meet our current needs and that suitable additional space will be available as and when needed.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subject to various legal proceedings and claims that arise in the ordinary course of our business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9" w:name="page110"/>
    <w:bookmarkEnd w:id="109"/>
    <w:p>
      <w:pPr>
        <w:ind w:left="52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“BEAM” since February 6, 2020. Prior to that time,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February 18, 2025, there were approximately 27 holders of record of our common stock. This number does not include beneficial owners whose shares are held by nominees in street 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08" w:right="6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shares of common stock between February 6, 2020 (the date of our initial public offering) and December 31, 2024, with the cumulative total return of (a) the Nasdaq Biotechnology Index and (b) the Nasdaq Composite Index, over the same period. This graph assumes the investment of $100 on February 6, 2020 in our common stock, the Nasdaq Biotechnology Index and the Nasdaq Composite Index and assumes the reinvestment of dividends, if any. The graph uses the closing sales price of our common stock of $18.75 per share on February 6, 2020 as the initial value of our common stock and not the initial offering price to the public of $17.00 per share. The comparisons shown in the graph below are based upon historical data.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6172200" cy="511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2200"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or anyone acting on our behalf or on behalf of an affiliated purchaser made any purchases of shares of our common stock during the fourth quarter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6" w:right="3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7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Information pertaining to fiscal year 2022 was included in our Annual Report on Form 10-K for the year ended December 31, 2023 on pages 115 through 126 under Part II, Item 7, “Management’s Discussion and Analysis of Financial Position and Results of Operations,” which was filed with the Securities and Exchange Commission (the “SEC”) on February 27,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6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40" w:firstLine="8"/>
        <w:spacing w:after="0" w:line="252"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both delivery modalities, including both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approaches, depending on tissue type. The elegance of the base editing approach, combined with a tissue specific delivery modality,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the basis for a targeted, efficient, precise, and highly versatile gene editing system that is designed to be capable of gene correction, gene silencing or gene activation, gene modification, and/or multiplex editing of several genes simultaneously.</w:t>
      </w:r>
    </w:p>
    <w:p>
      <w:pPr>
        <w:spacing w:after="0" w:line="8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are advancing hematology base editing programs in which hematopoietic stem cells, or HSCs, are collected from a patient, edited using electroporation, and then infused back into the patient following a conditioning regimen, such as treatment with busulfan, the standard of care in HSC transplantation, or HSCT, today. Once reinfused, the HSCs begin repopulating a portion of the bone marrow in a process known as engraftment. The engrafted, edited HSCs give rise to progenitor cell types with the corrected gene sequences. We are deploying this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in our BEAM-101 and ESCAPE base editing programs.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pursuing a long-term, staged development strategy for our base editing approach to treat hematological diseases that consists of advancing our lead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program, BEAM-101, in Wave 1, improving patient conditioning regimens in Wave 2, and enabling</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base editing with delivery directly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HSCs of patients via lipid nanoparticles, or LNPs, in Wave 3. We believe this suite of technologies – base editing, improved conditioning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editing HSCs – can maximize the potential applicability of our sickle cell disease programs to patients as well as create a platform for the treatment of many other severe genetic blood disorders.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1: Ex Vivo Base Editing via Autologous Transplant with BEAM-101</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using base editing to pursue the development of BEAM-101 for the treatment of sickle cell disease. BEAM-101 is a patient-specific, autologous HSC investigational therapy designed to offer a potentially best-in-class profile, incorporating base edits that are intended to mimic single nucleotide polymorphisms seen in individuals with hereditary persistence of fetal hemoglobin, or HbF. BEAM-101 aims to alleviate the effects of sickle cell disease by increasing HbF, which is expected to increase functional hemoglobin production and, in the case of sickle cell disease, inhibit hemoglobin S, or HbS, polymerization.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3" w:name="page114"/>
    <w:bookmarkEnd w:id="113"/>
    <w:p>
      <w:pPr>
        <w:ind w:right="40"/>
        <w:spacing w:after="0" w:line="254" w:lineRule="auto"/>
        <w:rPr>
          <w:sz w:val="20"/>
          <w:szCs w:val="20"/>
          <w:color w:val="auto"/>
        </w:rPr>
      </w:pPr>
      <w:r>
        <w:rPr>
          <w:rFonts w:ascii="Times New Roman" w:cs="Times New Roman" w:eastAsia="Times New Roman" w:hAnsi="Times New Roman"/>
          <w:sz w:val="18"/>
          <w:szCs w:val="18"/>
          <w:color w:val="auto"/>
        </w:rPr>
        <w:t>We are conducting a Phase 1/2 clinical trial designed to assess the safety and efficacy of BEAM-101 for the treatment of sickle cell disease, which we refer to as our BEACON trial. The BEACON trial initially includes up to 45 patients ages 18 to 35 with severe sickle cell disease who have received prior treatment with at least one disease-modifying agent with inadequate response or intolerance. Following mobilization, conditioning and treatment with BEAM-101, patients are assessed for safety and tolerability, with safety endpoints including neutrophil and platelet engraftment. Patients are also assessed for efficacy, with efficacy endpoints including the change from baseline in severe vaso-occlusive events, transfusion requirements, HbF levels, and quality of life assessments. In December 2024, we announced preliminary positive data from our Phase 1/2 clinical trial of BEAM-101, which we refer to as the BEACON trial. The adult enrollment target for BEACON has been achieved, and the first adolescent patients have cleared screening and enrolled in the trial. We expect to dose 30 patients in the BEACON trial by mid-2025. We also plan to present updated data from the trial in mid-2025.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2: Non-genotoxic Conditioning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parallel with Wave 1 development, we also aim to improve the transplant conditioning regimen for patients undergoing HSCT, thereby reducing toxicity challenges associated with HSCT. Conditioning is a critical component necessary to prepare a patient’s body to receive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edited cells that must engraft in the patient’s bone marrow in order to be effective. However, current conditioning regimens rely on nonspecific chemotherapy or radiation, which are associated with significant toxicities. As a potential alternative to genotoxic conditioning regimens in HSCT, we are advancing our ESCAPE program. ESCAPE aims to avoid toxicity challenges associated with currently available conditioning regimens for patients with sickle cell disease and beta-thalassemia ahead of autologous HSCT, by combining antibody-based conditioning with multiplex gene edited HSCs. ESCAPE may also have applications in other diseases of the blood and immune system where HSCT could deliver potential benefits but has been limited by toxicities associated with current standard of care conditioning regimens.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nominated a development candidate for our ESCAPE technology comprised of two investigational drug products: BEAM-103, an anti-CD117 monoclonal antibody, and BEAM-104, a cell therapy that includes the same therapeutic edit as BEAM-101 (editing the HBG1/2 genes to elevate fetal hemoglobin), plus an additional edit to CD117 designed to block binding of BEAM-103, allowing the edited cells to evade suppression by the antibody. We intend to advance BEAM-103 and BEAM-104 for development in sickle cell disease and beta-thalassemia, potentially building on the same regulatory, manufacturing, clinical and commercial foundations being established with BEAM-101. We expect to initiate a Phase 1 healthy volunteer clinical trial of BEAM-103 by the end of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3: In Vivo Base Editing via HSC-targeted LNPs</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We are also exploring the potential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sickle cell disease, in which base editors would be delivered to the patient through an infusion of LNPs targeted to HSCs, eliminating the need for transplantation altogether. This approach could provide a more accessible option for patients, particularly in regions where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treatment is challenging.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Genetic Diseases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BEAM-302: In Vivo LNP liver-targeting for AATD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correct the E342K point mutation (PiZZ genotype) predominantly responsible for the severe form of alpha-1 antitrypsin deficiency, or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In addition to resulting in lower levels, the PiZ AAT protein variant is also less enzymatically effective compared to wildtype AAT protein.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100,000 individuals in the United States have two copies of the Z allele. There are currently no curative treatments for patients with AATD.</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conducting a Phase 1/2 open label, dose escalation clinical trial of BEAM-302 at sites located in the United Kingdom for the treatment of AATD. The trial will evaluate the safety, pharmacodynamics, pharmacokinetics and efficacy of BEAM-302 initially in patients with AATD-associated lung disease. The study design includes a dose exploration portion followed by a dose expansion portion to identify the optimal dose to take forward in a pivotal study. We continue to progress enrollment and global site activation and expect to report initial clinical data from multiple cohorts in the trial in the first half of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BEAM-301: In Vivo LNP liver-targeting for GSD1a</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glycogen storage disease 1a, or GSD1a. GSD1a is an autosomal recessive disorder caused by mutations in the G6PC gene that disrupts a key enzyme, G6Pase, critical for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4" w:name="page115"/>
    <w:bookmarkEnd w:id="114"/>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conducting a Phase 1/2 clinical trial of BEAM-301 at a select number of sites in the United States. The trial is an open-label, multi-cohort, single-ascending dose evaluation of BEAM-301 for the treatment of GSD1a in patients with the R83C mutation. Key endpoints of the trial include safety and tolerability, time to hypoglycemia during fasting, and changes from baseline in corn starch supplementation. We are continuing site activation activities and expect dosing to commence in early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Due to the critical importance of high-quality manufacturing and control of production timing and know-how, we have established a 100,000 square foot manufacturing facility in Research Triangle Park, North Carolina intended to support a broad range of clinical programs. The cGMP facility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and liver-mediated diseases, with the capability to scale-up to support potential commercial supply. For our initial clinical trials, we expect to rely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conducting clinical trials, maintaining and expanding internal manufacturing capabilities, business planning, raising capital and providing general and administrative support for these operations. To date, we have financed our operations primarily through the sales of our redeemable convertible preferred stock, proceeds from offerings of our common stock and payments received under collaboration and license agreements.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an early-stage company, and the majority of our programs are at a preclinical or clinical stage of development. To date, we have not generated any revenue from product sales and do not expect to generate revenue from the sale of products for the foreseeable future. Our revenue to date has been primarily derived from license and collaboration agreements with partners. Since inception we have incurred significant operating losses. Our net losses for the years ended December 31, 2024, 2023 and 2022 were $376.7 million, $132.5 million and $289.1 million, respectively. As of December 31, 2024, we had an accumulated deficit of $1.6 billion.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operate our cGMP facility in North Carolina; further develop our base editing platform; continue to make investments in delivery technology for our base editors;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April 2019, we entered into a collaboration and license agreement, or the Verve Agreement, with Verve Therapeutics, Inc., or Verve, a company focused on gene editing for cardiovascular disease treatments. In June 2021, we entered into a research collaboration agreement, or the Apellis Agreement, with Apellis Pharmaceuticals, Inc., or Apellis, focused on the use of our base editing technology to discover new treatments for complement system-driven diseases. 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engineered cell therapy programs. In December 2021, we entered into a four-year research collaboration agreement, or the Pfizer Agreement, with Pfizer Inc., or Pfizer,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three targets for rare genetic diseases of the liver, muscle and central nervous system. In September 2022, we entered into a License and Research Collaboration Agreement, or the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spacing w:after="0" w:line="261" w:lineRule="auto"/>
        <w:rPr>
          <w:sz w:val="20"/>
          <w:szCs w:val="20"/>
          <w:color w:val="auto"/>
        </w:rPr>
      </w:pPr>
      <w:r>
        <w:rPr>
          <w:rFonts w:ascii="Times New Roman" w:cs="Times New Roman" w:eastAsia="Times New Roman" w:hAnsi="Times New Roman"/>
          <w:sz w:val="18"/>
          <w:szCs w:val="18"/>
          <w:color w:val="auto"/>
        </w:rPr>
        <w:t>Orbital Agreement, with Orbital Therapeutics, Inc., or Orbital, a newly formed entity focused on advancing non-viral delivery and RNA technologies. In October 2023, we entered into a Transfer and Delegation Agreement, or the Lilly Agreement, with Eli Lilly and Company, or Lilly, pursuant to which Lilly acquired certain assets and other rights under the Verve Agreement, including our opt-in rights to co-develop and co-commercialize Verve’s base editing programs for cardiovascular disease.</w:t>
      </w:r>
    </w:p>
    <w:p>
      <w:pPr>
        <w:spacing w:after="0" w:line="99"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do not expect to do so in the near future. During the years ended December 31, 2024, 2023, and 2022, we recognized $63.5 million, $377.7 million and $60.9 million respectively, of revenue from our license and collaboration agreements.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and Note 10 of the notes to our audited consolidated financial statements included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which include:</w:t>
      </w:r>
    </w:p>
    <w:p>
      <w:pPr>
        <w:spacing w:after="0" w:line="117"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clinical trials, including contract research organization costs and costs related to study preparation;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materials for use in our preclinical studies, IND-enabling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investments in delivery technology for our base editors;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building of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regulatory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external research and development expenses support our various preclinical and clinical programs. Our internal research and development expenses consist of employee-related expenses, facility-related expenses, and other indirect research and development expenses incurred in support of overall research and development. 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early phases of development, our research and development costs are often devoted to product platform and proof-of-concept preclinical studies that are not necessarily allocable to a specific target.</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through their planned preclinical and clinical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intellectual property, business development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our increased research and development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expenses consist of the following items:</w:t>
      </w:r>
    </w:p>
    <w:p>
      <w:pPr>
        <w:spacing w:after="0" w:line="115" w:lineRule="exact"/>
        <w:rPr>
          <w:sz w:val="20"/>
          <w:szCs w:val="20"/>
          <w:color w:val="auto"/>
        </w:rPr>
      </w:pPr>
    </w:p>
    <w:p>
      <w:pPr>
        <w:ind w:left="1020" w:right="20" w:hanging="503"/>
        <w:spacing w:after="0" w:line="26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derivative liabilities </w:t>
      </w:r>
      <w:r>
        <w:rPr>
          <w:rFonts w:ascii="Times New Roman" w:cs="Times New Roman" w:eastAsia="Times New Roman" w:hAnsi="Times New Roman"/>
          <w:sz w:val="18"/>
          <w:szCs w:val="18"/>
          <w:color w:val="auto"/>
        </w:rPr>
        <w:t>consists primarily of remeasurement gains or losses associated with changes in success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associated with our license agreement with Harvard, dated as of June 27, 2017, as amended, or the Harvard License Agreement, the license agreement with The Broad Institute, as amended, dated as of May 9, 2018, or the Broad License Agreement, and settlement payment derivative liabilities associated with a settlement agreement with a research institution.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non-controlling equity investments </w:t>
      </w:r>
      <w:r>
        <w:rPr>
          <w:rFonts w:ascii="Times New Roman" w:cs="Times New Roman" w:eastAsia="Times New Roman" w:hAnsi="Times New Roman"/>
          <w:sz w:val="18"/>
          <w:szCs w:val="18"/>
          <w:color w:val="auto"/>
        </w:rPr>
        <w:t>consists of changes in the fair value of our investments in equity securities.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contingent consideration liabilities </w:t>
      </w:r>
      <w:r>
        <w:rPr>
          <w:rFonts w:ascii="Times New Roman" w:cs="Times New Roman" w:eastAsia="Times New Roman" w:hAnsi="Times New Roman"/>
          <w:sz w:val="18"/>
          <w:szCs w:val="18"/>
          <w:color w:val="auto"/>
        </w:rPr>
        <w:t>consists of remeasurement of the fair market value of the technology and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liabilities related to the acquisition of Guide.</w:t>
      </w:r>
    </w:p>
    <w:p>
      <w:pPr>
        <w:spacing w:after="0" w:line="50" w:lineRule="exact"/>
        <w:rPr>
          <w:rFonts w:ascii="Times New Roman" w:cs="Times New Roman" w:eastAsia="Times New Roman" w:hAnsi="Times New Roman"/>
          <w:sz w:val="18"/>
          <w:szCs w:val="18"/>
          <w:color w:val="auto"/>
        </w:rPr>
      </w:pPr>
    </w:p>
    <w:p>
      <w:pPr>
        <w:ind w:left="1020" w:right="420" w:hanging="503"/>
        <w:spacing w:after="0" w:line="284"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other income (expense), net </w:t>
      </w:r>
      <w:r>
        <w:rPr>
          <w:rFonts w:ascii="Times New Roman" w:cs="Times New Roman" w:eastAsia="Times New Roman" w:hAnsi="Times New Roman"/>
          <w:sz w:val="18"/>
          <w:szCs w:val="18"/>
          <w:color w:val="auto"/>
        </w:rPr>
        <w:t>consists primarily of interest income from our investments in fixed income securities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related to our equipment financings.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discussion of 2023 results and comparison with 2022 results, refer to Part II, Item 7, “Management’s Discussion and Analysis of Financial Condition and Results of Operations” in our Annual Report on Form 10-K for the fiscal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63,518</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377,709</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(314,191 )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367,561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437,381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(69,820 )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111,525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116,813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(5,288 )</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479,086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554,194</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(75,108 )</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(415,568 )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(176,485 )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(239,083 )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(8,148 )</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49,094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46,676</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38,865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45,324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(6,459 )</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(376,703 )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(131,161 )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(245,542 )</w:t>
            </w: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(1,366 )</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(376,742 )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(132,527 )</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-1439545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-1439545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-607695</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-607695</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-316230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-316230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License and collaboration revenue was approximately $63.5 million for the year ended December 31, 2024, compared to approximately $377.7 million for the year ended December 31, 2023, a decrease of $314.2 million. License and collaboration revenue recorded in 2024 represents revenue recorded under the Pfizer, Apellis and Orbital Agreements, as well as $27.0 million of revenue recognized from development and regulatory milestones achieved under our agreements with Lilly and Sana. In 2023, we recorded $377.7 million of total revenue, inclusive of license revenue related to the Lilly, Pfizer, Apellis, Orbital and Verve Agreements and $1.8 million of revenue recognized from development and regulatory milestones achieved under our agreements with Sana. The decrease in revenue is driven primarily by $216.4 million of up-front revenue recognized in the year ended December 31, 2023, from the transaction with Lilly (see Note 10) and the net change in activity amongst our collaboration agreements. Revenue recognized under the Pfizer and Apellis agreements relate to nonrefundable up-front payments and are recognized based upon a measure of progress using total actual costs incurred as compared to total estimated costs.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$367.6 million and $437.4 million for the years ended December 31, 2024 and 2023, respectively. The following table summarizes our research and development expenses for the years ended December 31, 2024 and December 31, 2023, together with the changes in those items in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154,178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(39,705 )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(11,082 )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and information technology related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(38,791 )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367,561</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437,381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(69,820 )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$69.8 million was primarily due to the following:</w:t>
      </w:r>
    </w:p>
    <w:p>
      <w:pPr>
        <w:spacing w:after="0" w:line="117" w:lineRule="exact"/>
        <w:rPr>
          <w:sz w:val="20"/>
          <w:szCs w:val="20"/>
          <w:color w:val="auto"/>
        </w:rPr>
      </w:pPr>
    </w:p>
    <w:p>
      <w:pPr>
        <w:ind w:left="1020" w:hanging="503"/>
        <w:spacing w:after="0" w:line="26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$39.7 million decrease in external research and development expenses driven by a $29.6 million decrease in outsourced services, primarily due to the strategic reprioritization of pipeline programs, timing of manufacturing spend and fewer IND-enabling activities, partially offset by increased clinical activities. Also contributing to the decrease is a $10.1 million decrease in lab supply expenses due to the strategic reprioritization of pipeline programs and a shift of programs beyond research activities</w:t>
      </w:r>
    </w:p>
    <w:p>
      <w:pPr>
        <w:spacing w:after="0" w:line="7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$38.8 million in other expense primarily due to decreases of accrued liabilities for estimated license fees associated with the Lilly transaction;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$11.1 million of employee related expenses due to the annualized impact of the higher number of research and development employees prior to our strategic restructuring in October 2023 and the severance related to the restructuring.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 the following:</w:t>
      </w:r>
    </w:p>
    <w:p>
      <w:pPr>
        <w:spacing w:after="0" w:line="117" w:lineRule="exact"/>
        <w:rPr>
          <w:sz w:val="20"/>
          <w:szCs w:val="20"/>
          <w:color w:val="auto"/>
        </w:rPr>
      </w:pPr>
    </w:p>
    <w:p>
      <w:pPr>
        <w:ind w:left="1020" w:right="2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$15.7 million in stock-based compensation from additional stock options and restricted stock units granted during the year;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$4.0 million of facility and information technology, or IT, related costs, including depreciation and the expense allocated to research and development related to our leased facilities.</w:t>
      </w:r>
    </w:p>
    <w:p>
      <w:pPr>
        <w:spacing w:after="0" w:line="5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expected to continue to increase as we advance clinical trials for BEAM-101, BEAM-302, and BEAM-301, continue our current research programs, initiate new research programs, continue the preclinical and clinical development of our product candidates, conduct any future preclinical studies, and begin to enroll patients in and conduct clinical trials for any of our product candidates.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$111.5 million and $116.8 million for the years ended December 31, 2024 and 2023, respectively. The decrease of $5.3 million was primarily due to the following:</w:t>
      </w:r>
    </w:p>
    <w:p>
      <w:pPr>
        <w:spacing w:after="0" w:line="54"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$16.9 million attributable to the settlement of a contingent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$0.4 million in insurance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$0.2 million in other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 the following:</w:t>
      </w:r>
    </w:p>
    <w:p>
      <w:pPr>
        <w:spacing w:after="0" w:line="11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$6.3 million in stock-based compensation from additional stock options and restricted stock units granted during the year; and</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$5.9 million in personnel related costs due to an increase in the number of general and administrative employees between December 31, 2023 and December 31, 2024, and increases in salaries and bonuses to existing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recorded $2.3 million of other income related to the change in fair value of the derivative liabilities as compared to $7.5 million for the year ended December 31, 2023, driven primarily by the decline in the price of our common stock. A portion of the success payments was paid in June 2021; the remaining success payment obligations are still outstanding as of December 31, 2024 and will continue to be revalued at each reporting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non-controlling equity investments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we recorded other expense of $14.1 million and $18.6 million, respectively, as a result of changes in the fair value of our investments in Verve and Prime Medicine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contingent consideration liabilities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recorded $1.6 million and $9.7 million, respectively, of other income related to the change in fair value of the Guide technology and product contingent consideration liabilities as a result of an update in project timelines and the expected probability of achievement of the milestones.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was $49.1 million and $46.7 million of other income for the years ended December 31, 2024 and December 31, 2023, respectively. The increase was primarily due to increases in interest income driven by increased market rates and growth of our investment portfolio.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less than $0.1 million for the year ended December 31, 2024 and a provision of $1.4 million for the year ended December 31, 2023, which reflects that we generated taxable income that was not fully offset by the use of tax operating loss carryforwards and tax credits. Our taxable income includes income recognized related to our license and collaboration agreements with Apellis, Pfizer, Lilly, Sana and Orbital in the year ended December 31, 2024. Taxable income in the year ended December 31, 2023 included income recognized related to the Lilly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Since our inception in January 2017, we have not generated any revenue from product sales, have generated only limited revenue from our license and collaboration agreements, and have incurred significant operating losses and negative cash flows from our operations. We expect to incur significant expenses and operating losses for the foreseeable future as we advance the preclinical and the clinical development of our product candidates.</w:t>
      </w:r>
    </w:p>
    <w:p>
      <w:pPr>
        <w:spacing w:after="0" w:line="5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February 2024, we filed a universal automatic shelf registration statement on Form S-3 with the SEC, to register for sale an indeterminate amount of our common stock, preferred stock, debt securities, warrants and/or units in one or more offerings, which became effective upon filing with the SEC (File No. 333-277427).</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into an at the market sales agreement, or the Sales Agreement, with Jefferies LLC, or Jefferies, pursuant to which we are entitled to offer and sell, from time to time at prevailing market prices, shares of our common stock having aggregate gross proceeds of up to $1.1 billion. We agreed to pay Jefferies a commission of up to 3.0% of the aggregate gross sale proceeds of any shares sold by Jefferies under the Sales Agreement. There were no shares sold under the Sales Agreement during the year ended December 31, 2024. As of December 31, 2024, we have sold 13,769,001 shares of our common stock under the Sales Agreement at an average price of $62.75 per share for aggregate gross proceeds of $864.0 million, before deducting commissions and offering expenses payable by us.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$850.7 million in cash, cash equivalents, and marketable securities.</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required to make success payments to Harvard and Broad Institute based on increases in the per share fair market value of our common stock. The amounts due may be settled in cash or shares of our common stock, at our discretion. We may owe Harvard and Broad Institute success payments of up to an additional $90.0 million each.</w:t>
      </w:r>
    </w:p>
    <w:p>
      <w:pPr>
        <w:spacing w:after="0" w:line="6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have not yet commercialized any of our product candidates, and we do not expect to generate revenue from the sale of our product candidates for the foreseeable future. We anticipate that we may need to raise additional capital in order to continue to fund our research and development, including our planned preclinical studies and clinical trials, maintaining and operating our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(347,246 )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(149,195 )</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(154,503 )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199,093</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$347.2 million, including our net loss of $376.7 million, decreases in accrued expenses and other liabilities of $57.7 million, deferred revenue of $36.5 million and operating lease liabilities of $13.0 million, and an increase in prepaid expenses and other current assets of $5.4 million. In addition, noncash items, including the amortization of investment discounts and premiums of $22.8 million, decreases in the fair value of derivative liabilities of $2.3 million and a change in the fair value of contingent consideration liabilities of $1.6 million, also contributed to net cash used in operating activities.</w:t>
      </w:r>
    </w:p>
    <w:p>
      <w:pPr>
        <w:spacing w:after="0" w:line="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These uses of cash were partially offset by increases in accounts payable of $1.8 million and other long-term liabilities of $0.5 million, as well as noncash items, including stock-based compensation expense of $120.7 million, depreciation and amortization expense of $21.9 million, a decrease in the fair value of non-controlling equity investments of $14.1 million and a decrease in operating lease right-of-use, or ROU, assets of $9.7 million.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$149.2 million, including $216.4 million of cash received under the Lilly transaction, increases in accrued expenses and other liabilities of $67.7 million, as well as noncash items consisting of stock-based compensation expense of $98.6 million, a decrease in the fair value of non-controlling equity investments of $18.6 million, depreciation and amortization expense of $20.0 million and changes in operating lease ROU assets of $9.5 million.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sources of cash were offset in part by our net loss of $132.5 million, a decrease in deferred revenue of $159.6 million, a decrease in operating lease liabilities of $10.2 million, decreases in accounts payable of $7.6 million, other long-term liabilities of $0.2 million, increases in prepaid expenses and other current assets of $6.5 million and collaborations receivables of $0.1 million, as well as noncash items including amortization of investment discounts and premiums of $29.7 million, decreases in the fair value of derivative liabilities of $7.5 million and a change in the fair value of contingent consideration liabilities of $9.7 million.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cash provided by investing activities of $185.0 million was primarily the result of net maturities of marketable securities partially offset by purchases of marketable securities, in addition to purchases of property and equipment of $8.9 million.</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cash provided by investing activities of $71.8 million was primarily the net result of maturities of marketable securities partially offset by purchases of marketable securities, in addition to purchases of property and equipment of $33.7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of $7.7 million consisted of proceeds from the exercise of stock options of $5.6 million and $2.6 million of proceeds from the issuance of common stock under our Employee Stock Purchase Plan, or ESPP, offset in part by net repayments of equipment financing liabilities of $0.5 million.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of $276.4 million consisted primarily of proceeds from equity offerings of $236.6 million, net of sales commissions, proceeds from the issuance of shares from the Lilly Agreement of $33.6 million, $6.1 million of proceeds from the exercise of stock options, and $3.0 million of proceeds from the issuance of common stock under our ESPP, offset in part by net repayments of equipment financing liabilities of $2.3 million and payment of equity offering costs of $0.6 million.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expected to continue to increase substantially as we continue to advance our portfolio of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expenses will increase if and as we:</w:t>
      </w:r>
    </w:p>
    <w:p>
      <w:pPr>
        <w:spacing w:after="0" w:line="117"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additional product candidates we identify and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at December 31, 2024 will enable us to fund our current and planned operating expenses and capital expenditures for at least the next 12 months from the date of issuance of our accompanying consolidated financial statements.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are a party to or may become a party to, including our agreement with Guide;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pursuant to the respective terms of the Harvard License Agreement and the Broad Institute License Agreement, should we choose to pay in cash;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expanding our manufacturing capacity;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1" w:name="page122"/>
    <w:bookmarkEnd w:id="121"/>
    <w:p>
      <w:pPr>
        <w:ind w:left="1020" w:right="48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or other global or regional events.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6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We have historically relied on equity issuances to fund our capital needs and will likely rely on equity issuances in the future. Debt financing, if available, may involve agreements that include covenants limiting or restricting our ability to take specific actions, such as incurring additional debt, making capital expenditures, or declaring dividends.</w:t>
      </w:r>
    </w:p>
    <w:p>
      <w:pPr>
        <w:spacing w:after="0" w:line="75" w:lineRule="exact"/>
        <w:rPr>
          <w:sz w:val="20"/>
          <w:szCs w:val="20"/>
          <w:color w:val="auto"/>
        </w:rPr>
      </w:pPr>
    </w:p>
    <w:p>
      <w:pPr>
        <w:ind w:right="240" w:firstLine="4"/>
        <w:spacing w:after="0" w:line="256" w:lineRule="auto"/>
        <w:rPr>
          <w:sz w:val="20"/>
          <w:szCs w:val="20"/>
          <w:color w:val="auto"/>
        </w:rPr>
      </w:pPr>
      <w:r>
        <w:rPr>
          <w:rFonts w:ascii="Times New Roman" w:cs="Times New Roman" w:eastAsia="Times New Roman" w:hAnsi="Times New Roman"/>
          <w:sz w:val="18"/>
          <w:szCs w:val="18"/>
          <w:color w:val="auto"/>
        </w:rPr>
        <w:t>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lease certain assets under noncancelable operating leases, which expire through 2037. The leases relate primarily to office space, laboratory and manufacturing space, and equipment. Aggregate future minimum commitments under these office and laboratory leases and equipment leases are $227.7 million as of December 31, 2024, excluding any related common area maintenance charges or real estate taxes.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2021, the first success payment measurements under the Harvard License Agreement and Broad License Agreement occurred and success payments to Harvard and Broad Institute were calculated to be $15.0 million and $15.0 million, respectively. We elected to make each payment in shares of our common stock and issued 174,825 shares of our common stock to each of Harvard and Broad Institute to settle these liabilities in June 2021. The remaining success payment obligations are still outstanding as of December 31, 2024. We may additionally owe Harvard and Broad Institute success payments of up to an additional $90.0 million each.</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potentially obligated to pay certain milestone and success fees, non-royalty sublicense income fees, royalty fees, licensing maintenance fees, and reimbursement of patent maintenance costs under agreements we have entered into with certain institutions to license intellectual property.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and success payment milestones. These amounts are contingent upon the occurrence of future events and the timing and likelihood of such potential obligations are not known with certainty.</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agreed to pay Guide’s former stockholders and optionholders up to an additional $100.0 million in technology milestone payments and $220.0 million in product milestone payments, payable in our common stock valued using the volume-weighted average price of our common stock over the ten-day trading period ending two trading days prior to the date on which the applicable milestone is received. These payments are contingent upon the occurrence of future events and the timing and likelihood of such potential obligations are not known with certainty.</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we enter into contracts in the normal course of business with CROs, CMOs and other vendors to assist in the performance of our research and development activities and other services and products for operating purposes. These contracts generally provide for termination on notice, and therefore are cancelable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The preparation of these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2" w:name="page123"/>
    <w:bookmarkEnd w:id="122"/>
    <w:p>
      <w:pPr>
        <w:ind w:right="6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 this Annual Report on Form 10-K, we believe that the following accounting policies are those most critical to the judgments and estimates used in the preparation of our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At inception, we determine whether contracts are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or other topics. For contracts that are determined to be within the scope of ASC 606, revenue is recognized when a customer obtains control of promised goods or services. The amount of revenue recognized reflects the consideration to which we expect to be entitled to receive in exchange for these goods and services. To achieve this core principle, we apply the following five steps (i) identify the contract with the customer; (ii) identify the performance obligations in the contract;</w:t>
      </w:r>
    </w:p>
    <w:p>
      <w:pPr>
        <w:spacing w:after="0" w:line="1" w:lineRule="exact"/>
        <w:rPr>
          <w:sz w:val="20"/>
          <w:szCs w:val="20"/>
          <w:color w:val="auto"/>
        </w:rPr>
      </w:pPr>
    </w:p>
    <w:p>
      <w:pPr>
        <w:ind w:right="100" w:firstLine="8"/>
        <w:spacing w:after="0" w:line="255" w:lineRule="auto"/>
        <w:tabs>
          <w:tab w:leader="none" w:pos="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(iv) allocate the transaction price to the performance obligations in the contract; and (v) recognize revenue when the performance obligation is satisfied. We only apply the five-step model to contracts when we determine that collection of substantially all consideration for goods and services that are transferred is probable based on the customer’s intent and ability to pay the promised consideration.</w:t>
      </w:r>
    </w:p>
    <w:p>
      <w:pPr>
        <w:spacing w:after="0" w:line="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we apply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our license and collaboration agreements in Note 10 to our consolidated financial statements in this Annual Report on Form 10-K.</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requires significant judgment and is discussed in further detail for each of our license and collaboration agreements in Note 10.</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timing of when services are performed and the occurrence of external costs associated with the programs under the collaboration agreements could impact how revenue is recognized in a certain period.</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Licenses of intellectual property, or IP: If the license to our IP is determined to be distinct from the other performance obligations identified in the arrangement, we recognize revenues from consideration allocated to the license when the license is transferred to the customer and the customer can use and benefit from the licenses.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We generally recognize revenue using the cost incurred to date as compared to the total estimated cost. Changes in estimates of total internal and external costs expected to be incurred and timing of when those costs are expected to be incurred are recognized in the period of change as a cumulative catch-up adjustment. If estimates of the total estimated cost change, or if contract amendments change the scope of the performance obligations, the impacts could be material. Determining the revenue recognition of IP licenses requires significant judgment and is discussed in further detail for each of our license and collaboration agreements in Notes 9 and 10</w:t>
      </w:r>
      <w:r>
        <w:rPr>
          <w:rFonts w:ascii="Times New Roman" w:cs="Times New Roman" w:eastAsia="Times New Roman" w:hAnsi="Times New Roman"/>
          <w:sz w:val="18"/>
          <w:szCs w:val="18"/>
          <w:i w:val="1"/>
          <w:iCs w:val="1"/>
          <w:color w:val="auto"/>
        </w:rPr>
        <w: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3" w:name="page124"/>
    <w:bookmarkEnd w:id="123"/>
    <w:p>
      <w:pPr>
        <w:spacing w:after="0" w:line="253"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we evaluate the probability of reaching the milestones and estimate the amount to be included in the transaction price using the most likely amount method. If it is probable that a significant revenue reversal would not occur in the future, the associated milestone value is included in the transaction price. Milestone payments that are not within our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we have not recognized any milestone revenue resulting from any of our agreements.</w:t>
      </w:r>
    </w:p>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agreements.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no performance obligations are required of us, or following the completion of the performance obligation period,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 Success payments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are required to make success payments to Harvard and Broad Institute based on increases in the per share fair market value of our common stock. Any amounts due may be settled in cash or shares of our common stock, at our discretion. The success payments are accounted for as a derivative under Accounting Standards Codification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were initially recorded at fair value with a corresponding charge to research and development expense. The liabilities are marked to market at each balance sheet date with all changes in value recognized in interest and other income (expense) in the consolidated statement of operations and other comprehensive loss. We will continue to adjust the liability for changes in fair value until the earlier of the achievement or expiration of the success payment obligation. To determine the estimated fair value of the success payments, we used a Monte Carlo simulation model, which models the value of the liability based on several key variables, including probability of event occurrence, timing of event occurrence, as well as the price per share at the time of success payment. A significant change in our stock price or volatility could have a significant impact on the value of the liability.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research and development costs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and prepaid research and development costs.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vendors in connection with preclinical development activities and vendors related to development, manufacturing and distribution of product candidate materials.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4" w:name="page125"/>
    <w:bookmarkEnd w:id="124"/>
    <w:p>
      <w:pPr>
        <w:spacing w:after="0" w:line="258" w:lineRule="auto"/>
        <w:rPr>
          <w:sz w:val="20"/>
          <w:szCs w:val="20"/>
          <w:color w:val="auto"/>
        </w:rPr>
      </w:pPr>
      <w:r>
        <w:rPr>
          <w:rFonts w:ascii="Times New Roman" w:cs="Times New Roman" w:eastAsia="Times New Roman" w:hAnsi="Times New Roman"/>
          <w:sz w:val="18"/>
          <w:szCs w:val="18"/>
          <w:color w:val="auto"/>
        </w:rPr>
        <w:t>We base our expenses related to preclinical studies on our estimates of the services received and efforts expended pursuant to contracts with multiple vendors that conduct and manage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and adjust accordingly.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2024, we had cash, cash equivalents and marketable securities of</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$850.7 million, which consisted of cash, money market funds, commercial paper, corporate notes and corporate equity securities.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believe that inflation has not had a material effect on our financial statements included elsewhere in this Annual Report on Form 10-K. However, our operations may be adversely affected by inflation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required to be filed pursuant to this Item 8 are appended to this Annual Report on Form 10-K. An index of those financial statements is found in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December 31, 2024,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2024, our principal executive officer and principal financial officer concluded that our disclosure controls and procedures as of such date were effective at the reasonable assurance level.</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policies and procedures that:</w:t>
      </w:r>
    </w:p>
    <w:p>
      <w:pPr>
        <w:spacing w:after="0" w:line="75" w:lineRule="exact"/>
        <w:rPr>
          <w:sz w:val="20"/>
          <w:szCs w:val="20"/>
          <w:color w:val="auto"/>
        </w:rPr>
      </w:pPr>
    </w:p>
    <w:p>
      <w:pPr>
        <w:ind w:left="300" w:hanging="14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300" w:right="160" w:hanging="142"/>
        <w:spacing w:after="0" w:line="266"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300" w:right="280" w:hanging="142"/>
        <w:spacing w:after="0" w:line="282"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our senior management has concluded that the internal control over financial reporting was effective as of December 31, 2024.</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issued an attestation report on our internal control over financial reporting. See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year ended December 31, 2024 that have materially affected, or are reasonably likely to materially affect, our internal control over financial reporting.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26" w:name="page127"/>
    <w:bookmarkEnd w:id="126"/>
    <w:p>
      <w:pPr>
        <w:ind w:right="2520" w:firstLine="253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Beam Therapeutics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describes for the quarterly period ended December 31, 2024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67" w:lineRule="exact"/>
        <w:rPr>
          <w:sz w:val="20"/>
          <w:szCs w:val="20"/>
          <w:color w:val="auto"/>
        </w:rPr>
      </w:pPr>
    </w:p>
    <w:tbl>
      <w:tblPr>
        <w:tblLayout w:type="fixed"/>
        <w:tblInd w:w="150" w:type="dxa"/>
        <w:tblCellMar>
          <w:top w:w="0" w:type="dxa"/>
          <w:left w:w="0" w:type="dxa"/>
          <w:bottom w:w="0" w:type="dxa"/>
          <w:right w:w="0" w:type="dxa"/>
        </w:tblCellMar>
      </w:tblPr>
      <w:tr>
        <w:trPr>
          <w:trHeight w:val="210"/>
        </w:trPr>
        <w:tc>
          <w:tcPr>
            <w:tcW w:w="118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Action Taken</w:t>
            </w:r>
          </w:p>
        </w:tc>
        <w:tc>
          <w:tcPr>
            <w:tcW w:w="140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278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Nature of Trading Arrangement</w:t>
            </w:r>
          </w:p>
        </w:tc>
        <w:tc>
          <w:tcPr>
            <w:tcW w:w="140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Duration of</w:t>
            </w:r>
          </w:p>
        </w:tc>
        <w:tc>
          <w:tcPr>
            <w:tcW w:w="296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 Securities</w:t>
            </w:r>
          </w:p>
        </w:tc>
      </w:tr>
      <w:tr>
        <w:trPr>
          <w:trHeight w:val="216"/>
        </w:trPr>
        <w:tc>
          <w:tcPr>
            <w:tcW w:w="118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(Title)</w:t>
            </w:r>
          </w:p>
        </w:tc>
        <w:tc>
          <w:tcPr>
            <w:tcW w:w="130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(Date of</w:t>
            </w:r>
          </w:p>
        </w:tc>
        <w:tc>
          <w:tcPr>
            <w:tcW w:w="14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780" w:type="dxa"/>
            <w:vAlign w:val="bottom"/>
            <w:tcBorders>
              <w:right w:val="single" w:sz="8" w:color="auto"/>
            </w:tcBorders>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960" w:type="dxa"/>
            <w:vAlign w:val="bottom"/>
            <w:tcBorders>
              <w:right w:val="single" w:sz="8" w:color="auto"/>
            </w:tcBorders>
            <w:shd w:val="clear" w:color="auto" w:fill="D9D9D9"/>
          </w:tcPr>
          <w:p>
            <w:pPr>
              <w:spacing w:after="0"/>
              <w:rPr>
                <w:sz w:val="18"/>
                <w:szCs w:val="18"/>
                <w:color w:val="auto"/>
              </w:rPr>
            </w:pPr>
          </w:p>
        </w:tc>
      </w:tr>
      <w:tr>
        <w:trPr>
          <w:trHeight w:val="255"/>
        </w:trPr>
        <w:tc>
          <w:tcPr>
            <w:tcW w:w="118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130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Action)</w:t>
            </w:r>
          </w:p>
        </w:tc>
        <w:tc>
          <w:tcPr>
            <w:tcW w:w="140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780" w:type="dxa"/>
            <w:vAlign w:val="bottom"/>
            <w:tcBorders>
              <w:bottom w:val="single" w:sz="8" w:color="auto"/>
              <w:right w:val="single" w:sz="8" w:color="auto"/>
            </w:tcBorders>
            <w:shd w:val="clear" w:color="auto" w:fill="D9D9D9"/>
          </w:tcPr>
          <w:p>
            <w:pPr>
              <w:spacing w:after="0"/>
              <w:rPr>
                <w:sz w:val="22"/>
                <w:szCs w:val="22"/>
                <w:color w:val="auto"/>
              </w:rPr>
            </w:pPr>
          </w:p>
        </w:tc>
        <w:tc>
          <w:tcPr>
            <w:tcW w:w="140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960" w:type="dxa"/>
            <w:vAlign w:val="bottom"/>
            <w:tcBorders>
              <w:bottom w:val="single" w:sz="8" w:color="auto"/>
              <w:right w:val="single" w:sz="8" w:color="auto"/>
            </w:tcBorders>
            <w:shd w:val="clear" w:color="auto" w:fill="D9D9D9"/>
          </w:tcPr>
          <w:p>
            <w:pPr>
              <w:spacing w:after="0"/>
              <w:rPr>
                <w:sz w:val="22"/>
                <w:szCs w:val="22"/>
                <w:color w:val="auto"/>
              </w:rPr>
            </w:pPr>
          </w:p>
        </w:tc>
      </w:tr>
      <w:tr>
        <w:trPr>
          <w:trHeight w:val="172"/>
        </w:trPr>
        <w:tc>
          <w:tcPr>
            <w:tcW w:w="1180" w:type="dxa"/>
            <w:vAlign w:val="bottom"/>
            <w:tcBorders>
              <w:left w:val="single" w:sz="8" w:color="auto"/>
              <w:right w:val="single" w:sz="8" w:color="auto"/>
            </w:tcBorders>
          </w:tcPr>
          <w:p>
            <w:pPr>
              <w:ind w:left="120"/>
              <w:spacing w:after="0" w:line="172" w:lineRule="exact"/>
              <w:rPr>
                <w:sz w:val="20"/>
                <w:szCs w:val="20"/>
                <w:color w:val="auto"/>
              </w:rPr>
            </w:pPr>
            <w:r>
              <w:rPr>
                <w:rFonts w:ascii="Times New Roman" w:cs="Times New Roman" w:eastAsia="Times New Roman" w:hAnsi="Times New Roman"/>
                <w:sz w:val="18"/>
                <w:szCs w:val="18"/>
                <w:color w:val="auto"/>
              </w:rPr>
              <w:t>Amy Simon</w:t>
            </w:r>
          </w:p>
        </w:tc>
        <w:tc>
          <w:tcPr>
            <w:tcW w:w="130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Adoption</w:t>
            </w:r>
          </w:p>
        </w:tc>
        <w:tc>
          <w:tcPr>
            <w:tcW w:w="140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Rule 10b5-1</w:t>
            </w:r>
          </w:p>
        </w:tc>
        <w:tc>
          <w:tcPr>
            <w:tcW w:w="278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Sale</w:t>
            </w:r>
          </w:p>
        </w:tc>
        <w:tc>
          <w:tcPr>
            <w:tcW w:w="140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Until December</w:t>
            </w:r>
          </w:p>
        </w:tc>
        <w:tc>
          <w:tcPr>
            <w:tcW w:w="296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Up to 204,956 shares</w:t>
            </w:r>
          </w:p>
        </w:tc>
      </w:tr>
      <w:tr>
        <w:trPr>
          <w:trHeight w:val="216"/>
        </w:trPr>
        <w:tc>
          <w:tcPr>
            <w:tcW w:w="1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(November 7,</w:t>
            </w: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 2025, or</w:t>
            </w: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Medical</w:t>
            </w:r>
          </w:p>
        </w:tc>
        <w:tc>
          <w:tcPr>
            <w:tcW w:w="1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arrangement</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such earlier</w:t>
            </w:r>
          </w:p>
        </w:tc>
        <w:tc>
          <w:tcPr>
            <w:tcW w:w="2960" w:type="dxa"/>
            <w:vAlign w:val="bottom"/>
            <w:tcBorders>
              <w:right w:val="single" w:sz="8" w:color="auto"/>
            </w:tcBorders>
          </w:tcPr>
          <w:p>
            <w:pPr>
              <w:spacing w:after="0"/>
              <w:rPr>
                <w:sz w:val="18"/>
                <w:szCs w:val="18"/>
                <w:color w:val="auto"/>
              </w:rPr>
            </w:pPr>
          </w:p>
        </w:tc>
      </w:tr>
      <w:tr>
        <w:trPr>
          <w:trHeight w:val="218"/>
        </w:trPr>
        <w:tc>
          <w:tcPr>
            <w:tcW w:w="1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 upon</w:t>
            </w: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all</w:t>
            </w: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transactions are</w:t>
            </w: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completed or</w:t>
            </w: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expire without</w:t>
            </w:r>
          </w:p>
        </w:tc>
        <w:tc>
          <w:tcPr>
            <w:tcW w:w="2960" w:type="dxa"/>
            <w:vAlign w:val="bottom"/>
            <w:tcBorders>
              <w:right w:val="single" w:sz="8" w:color="auto"/>
            </w:tcBorders>
          </w:tcPr>
          <w:p>
            <w:pPr>
              <w:spacing w:after="0"/>
              <w:rPr>
                <w:sz w:val="18"/>
                <w:szCs w:val="18"/>
                <w:color w:val="auto"/>
              </w:rPr>
            </w:pP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execution.</w:t>
            </w:r>
          </w:p>
        </w:tc>
        <w:tc>
          <w:tcPr>
            <w:tcW w:w="2960" w:type="dxa"/>
            <w:vAlign w:val="bottom"/>
            <w:tcBorders>
              <w:bottom w:val="single" w:sz="8" w:color="auto"/>
              <w:right w:val="single" w:sz="8" w:color="auto"/>
            </w:tcBorders>
          </w:tcPr>
          <w:p>
            <w:pPr>
              <w:spacing w:after="0"/>
              <w:rPr>
                <w:sz w:val="20"/>
                <w:szCs w:val="20"/>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the sections captioned “Management and Corporate Governance” and “Executive Officers” in our definitive proxy statement to be filed with the Securities and Exchange Commission, or SEC, with respect to our 2025 Annual Meeting of Stockholders and is incorporated herein by 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or Code, that applies to all of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We intend to disclose on our website any amendments to, or waivers from, our Code that are required to be disclosed pursuant to SEC rules.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section captioned “Executive Compensation" and "Director Compensation” in our definitive proxy statement to be filed with the SEC with respect to our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sections captioned “Security Ownership of Certain Beneficial Owners and Management” and “Securities Authorized for Issuance under Equity Compensation Plans” in our definitive proxy statement to be filed with the SEC with respect to our 2025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sections captioned “Certain Relationship and Related Person Transactions” and “Director Independence” in our definitive proxy statement to be filed with the SEC with respect to our 2025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sections captioned “Principal Accountant Fees and Services” and “Audit Committee Pre-Approval Policy and Procedures” in our definitive proxy statement to be filed with the SEC with respect to our 2025 Annual Meeting of Stockholders and is incorporated herein by reference.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29" w:name="page130"/>
    <w:bookmarkEnd w:id="1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For a list of the financial statements included herein, see </w:t>
      </w:r>
      <w:r>
        <w:rPr>
          <w:rFonts w:ascii="Times New Roman" w:cs="Times New Roman" w:eastAsia="Times New Roman" w:hAnsi="Times New Roman"/>
          <w:sz w:val="18"/>
          <w:szCs w:val="18"/>
          <w:i w:val="1"/>
          <w:iCs w:val="1"/>
          <w:color w:val="auto"/>
        </w:rPr>
        <w:t>Index to the Consolidated Financial Statements</w:t>
      </w:r>
      <w:r>
        <w:rPr>
          <w:rFonts w:ascii="Times New Roman" w:cs="Times New Roman" w:eastAsia="Times New Roman" w:hAnsi="Times New Roman"/>
          <w:sz w:val="18"/>
          <w:szCs w:val="18"/>
          <w:color w:val="auto"/>
        </w:rPr>
        <w:t xml:space="preserve"> on page F-1 of this Annual Report on Form 10-K, incorporated into this Item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gridSpan w:val="2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24"/>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Fourth Amended Certificate of Incorporation of Beam Therapeutics Inc.</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02/11/2020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Borders>
              <w:top w:val="single" w:sz="8" w:color="0000FF"/>
            </w:tcBorders>
            <w:gridSpan w:val="24"/>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Second Amended and Restated By-laws of Beam Therapeutics Inc.</w:t>
              </w:r>
            </w:hyperlink>
          </w:p>
        </w:tc>
        <w:tc>
          <w:tcPr>
            <w:tcW w:w="260" w:type="dxa"/>
            <w:vAlign w:val="bottom"/>
            <w:gridSpan w:val="8"/>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Specimen stock certificate evidencing shares of common stock</w:t>
              </w:r>
            </w:hyperlink>
          </w:p>
        </w:tc>
        <w:tc>
          <w:tcPr>
            <w:tcW w:w="62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Description of Registered Securities</w:t>
              </w:r>
            </w:hyperlink>
          </w:p>
        </w:tc>
        <w:tc>
          <w:tcPr>
            <w:tcW w:w="20" w:type="dxa"/>
            <w:vAlign w:val="bottom"/>
            <w:tcBorders>
              <w:top w:val="single" w:sz="8" w:color="0000FF"/>
              <w:bottom w:val="single" w:sz="8" w:color="0000EE"/>
            </w:tcBorders>
          </w:tcPr>
          <w:p>
            <w:pPr>
              <w:spacing w:after="0"/>
              <w:rPr>
                <w:sz w:val="24"/>
                <w:szCs w:val="24"/>
                <w:color w:val="auto"/>
              </w:rPr>
            </w:pPr>
          </w:p>
        </w:tc>
        <w:tc>
          <w:tcPr>
            <w:tcW w:w="1880" w:type="dxa"/>
            <w:vAlign w:val="bottom"/>
            <w:tcBorders>
              <w:top w:val="single" w:sz="8" w:color="0000FF"/>
            </w:tcBorders>
            <w:gridSpan w:val="8"/>
          </w:tcPr>
          <w:p>
            <w:pPr>
              <w:spacing w:after="0"/>
              <w:rPr>
                <w:sz w:val="24"/>
                <w:szCs w:val="24"/>
                <w:color w:val="auto"/>
              </w:rPr>
            </w:pPr>
          </w:p>
        </w:tc>
        <w:tc>
          <w:tcPr>
            <w:tcW w:w="940" w:type="dxa"/>
            <w:vAlign w:val="bottom"/>
            <w:gridSpan w:val="13"/>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333-254946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4/01/2021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Indenture of Lease, between Massachusetts Institute of Technology and</w:t>
              </w:r>
            </w:hyperlink>
          </w:p>
        </w:tc>
        <w:tc>
          <w:tcPr>
            <w:tcW w:w="240" w:type="dxa"/>
            <w:vAlign w:val="bottom"/>
            <w:gridSpan w:val="7"/>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Beam Therapeutics Inc., dated April 24, 2019</w:t>
              </w:r>
            </w:hyperlink>
          </w:p>
        </w:tc>
        <w:tc>
          <w:tcPr>
            <w:tcW w:w="2160" w:type="dxa"/>
            <w:vAlign w:val="bottom"/>
            <w:gridSpan w:val="18"/>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Sales Agreement, dated April 1, 2021, by and between Beam Therapeutics</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04/01/2021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Inc. and Jefferies LLC.</w:t>
              </w:r>
            </w:hyperlink>
          </w:p>
        </w:tc>
        <w:tc>
          <w:tcPr>
            <w:tcW w:w="20" w:type="dxa"/>
            <w:vAlign w:val="bottom"/>
            <w:tcBorders>
              <w:bottom w:val="single" w:sz="8" w:color="0000EE"/>
            </w:tcBorders>
          </w:tcPr>
          <w:p>
            <w:pPr>
              <w:spacing w:after="0"/>
              <w:rPr>
                <w:sz w:val="17"/>
                <w:szCs w:val="17"/>
                <w:color w:val="auto"/>
              </w:rPr>
            </w:pPr>
          </w:p>
        </w:tc>
        <w:tc>
          <w:tcPr>
            <w:tcW w:w="376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License Agreement, between the President and Fellows of Harvard College</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and Beam Therapeutics Inc., dated June 27, 2017</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16"/>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No. 1 to License Agreement, between the President and</w:t>
              </w:r>
            </w:hyperlink>
          </w:p>
        </w:tc>
        <w:tc>
          <w:tcPr>
            <w:tcW w:w="460" w:type="dxa"/>
            <w:vAlign w:val="bottom"/>
            <w:gridSpan w:val="10"/>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Fellows of Harvard College and Beam Therapeutics Inc., dated December</w:t>
              </w:r>
            </w:hyperlink>
          </w:p>
        </w:tc>
        <w:tc>
          <w:tcPr>
            <w:tcW w:w="8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gridSpan w:val="5"/>
          </w:tcPr>
          <w:p>
            <w:pPr>
              <w:ind w:left="200"/>
              <w:spacing w:after="0" w:line="196"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12, 2017</w:t>
              </w:r>
            </w:hyperlink>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Amendment No. 2 to License Agreement, between the President and</w:t>
              </w:r>
            </w:hyperlink>
          </w:p>
        </w:tc>
        <w:tc>
          <w:tcPr>
            <w:tcW w:w="460" w:type="dxa"/>
            <w:vAlign w:val="bottom"/>
            <w:gridSpan w:val="10"/>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Fellows of Harvard College and Beam Therapeutics Inc., dated March 27,</w:t>
              </w:r>
            </w:hyperlink>
          </w:p>
        </w:tc>
        <w:tc>
          <w:tcPr>
            <w:tcW w:w="8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60" w:type="dxa"/>
            <w:vAlign w:val="bottom"/>
            <w:gridSpan w:val="3"/>
          </w:tcPr>
          <w:p>
            <w:pPr>
              <w:ind w:left="200"/>
              <w:spacing w:after="0" w:line="196" w:lineRule="exact"/>
              <w:rPr>
                <w:rFonts w:ascii="Times New Roman" w:cs="Times New Roman" w:eastAsia="Times New Roman" w:hAnsi="Times New Roman"/>
                <w:sz w:val="18"/>
                <w:szCs w:val="18"/>
                <w:color w:val="0000FF"/>
                <w:w w:val="94"/>
              </w:rPr>
            </w:pPr>
            <w:hyperlink r:id="rId170">
              <w:r>
                <w:rPr>
                  <w:rFonts w:ascii="Times New Roman" w:cs="Times New Roman" w:eastAsia="Times New Roman" w:hAnsi="Times New Roman"/>
                  <w:sz w:val="18"/>
                  <w:szCs w:val="18"/>
                  <w:color w:val="0000FF"/>
                  <w:w w:val="94"/>
                </w:rPr>
                <w:t>2020</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License Agreement, between The Broad Institute, Inc. and Blink</w:t>
              </w:r>
            </w:hyperlink>
          </w:p>
        </w:tc>
        <w:tc>
          <w:tcPr>
            <w:tcW w:w="76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Therapeutics Inc., dated May 9, 2018</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19"/>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First Amendment to License Agreement, between The Broad Institute, Inc.</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and Blink Therapeutics Inc., dated September 4, 2018</w:t>
              </w:r>
            </w:hyperlink>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License Agreement, between Editas Medicine, Inc. and Beam Therapeutics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 dated May 9, 2018</w:t>
              </w:r>
            </w:hyperlink>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Letter Agreement, between Beam Therapeutics Inc., The Broad Institute,</w:t>
              </w:r>
            </w:hyperlink>
          </w:p>
        </w:tc>
        <w:tc>
          <w:tcPr>
            <w:tcW w:w="160" w:type="dxa"/>
            <w:vAlign w:val="bottom"/>
            <w:gridSpan w:val="6"/>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Inc., the President and Fellows of Harvard College, and Editas Medicine,</w:t>
              </w:r>
            </w:hyperlink>
          </w:p>
        </w:tc>
        <w:tc>
          <w:tcPr>
            <w:tcW w:w="14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Inc., dated September 26, 2018</w:t>
              </w:r>
            </w:hyperlink>
          </w:p>
        </w:tc>
        <w:tc>
          <w:tcPr>
            <w:tcW w:w="320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Letter Agreement, between the President and Fellows of Harvard College,</w:t>
              </w:r>
            </w:hyperlink>
          </w:p>
        </w:tc>
        <w:tc>
          <w:tcPr>
            <w:tcW w:w="60" w:type="dxa"/>
            <w:vAlign w:val="bottom"/>
            <w:gridSpan w:val="3"/>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03/15/22021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The Broad Institute, Inc., and Beam Therapeutics Inc., dated January 7,</w:t>
              </w:r>
            </w:hyperlink>
          </w:p>
        </w:tc>
        <w:tc>
          <w:tcPr>
            <w:tcW w:w="2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40" w:type="dxa"/>
            <w:vAlign w:val="bottom"/>
            <w:gridSpan w:val="4"/>
          </w:tcPr>
          <w:p>
            <w:pPr>
              <w:ind w:left="200"/>
              <w:spacing w:after="0" w:line="196"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2021.</w:t>
              </w:r>
            </w:hyperlink>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License Agreement, between Bio Palette Co., Ltd. and Beam Therapeutics</w:t>
              </w:r>
            </w:hyperlink>
          </w:p>
        </w:tc>
        <w:tc>
          <w:tcPr>
            <w:tcW w:w="40" w:type="dxa"/>
            <w:vAlign w:val="bottom"/>
            <w:gridSpan w:val="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Inc., dated March 27, 2019</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24"/>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Beam Therapeutics Inc. 2017 Stock Option and Grant Plan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220" w:type="dxa"/>
            <w:vAlign w:val="bottom"/>
            <w:tcBorders>
              <w:top w:val="single" w:sz="8" w:color="0000FF"/>
            </w:tcBorders>
            <w:gridSpan w:val="18"/>
          </w:tcPr>
          <w:p>
            <w:pPr>
              <w:spacing w:after="0"/>
              <w:rPr>
                <w:sz w:val="24"/>
                <w:szCs w:val="24"/>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0" w:name="page131"/>
    <w:bookmarkEnd w:id="130"/>
    <w:p>
      <w:pPr>
        <w:ind w:left="98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80">
        <w:r>
          <w:rPr>
            <w:rFonts w:ascii="Times New Roman" w:cs="Times New Roman" w:eastAsia="Times New Roman" w:hAnsi="Times New Roman"/>
            <w:sz w:val="18"/>
            <w:szCs w:val="18"/>
            <w:u w:val="single" w:color="auto"/>
            <w:color w:val="0000FF"/>
          </w:rPr>
          <w:t>Form of Incentive Stock Option Grant Notice under the Beam Therapeutics</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Inc. 2017 Stock Option and Grant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463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7799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spacing w:after="0" w:line="47" w:lineRule="exact"/>
        <w:rPr>
          <w:sz w:val="20"/>
          <w:szCs w:val="20"/>
          <w:color w:val="auto"/>
        </w:rPr>
      </w:pPr>
    </w:p>
    <w:p>
      <w:pPr>
        <w:jc w:val="center"/>
        <w:ind w:right="60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183">
        <w:r>
          <w:rPr>
            <w:rFonts w:ascii="Times New Roman" w:cs="Times New Roman" w:eastAsia="Times New Roman" w:hAnsi="Times New Roman"/>
            <w:sz w:val="18"/>
            <w:szCs w:val="18"/>
            <w:u w:val="single" w:color="auto"/>
            <w:color w:val="0000FF"/>
          </w:rPr>
          <w:t>Form of Non-Qualified Stock Option Grant Notice under the Beam</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Therapeutics Inc. 2017 Stock Option and Grant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1032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23983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47" w:lineRule="exact"/>
        <w:rPr>
          <w:sz w:val="20"/>
          <w:szCs w:val="20"/>
          <w:color w:val="auto"/>
        </w:rPr>
      </w:pPr>
    </w:p>
    <w:p>
      <w:pPr>
        <w:ind w:left="980" w:right="10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86">
        <w:r>
          <w:rPr>
            <w:rFonts w:ascii="Times New Roman" w:cs="Times New Roman" w:eastAsia="Times New Roman" w:hAnsi="Times New Roman"/>
            <w:sz w:val="18"/>
            <w:szCs w:val="18"/>
            <w:u w:val="single" w:color="auto"/>
            <w:color w:val="0000FF"/>
          </w:rPr>
          <w:t>Form of Indemnification Agreement between Beam Therapeutics Inc. and</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its directors and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413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341376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1074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47" w:lineRule="exact"/>
        <w:rPr>
          <w:sz w:val="20"/>
          <w:szCs w:val="20"/>
          <w:color w:val="auto"/>
        </w:rPr>
      </w:pPr>
    </w:p>
    <w:p>
      <w:pPr>
        <w:ind w:left="980" w:right="4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89">
        <w:r>
          <w:rPr>
            <w:rFonts w:ascii="Times New Roman" w:cs="Times New Roman" w:eastAsia="Times New Roman" w:hAnsi="Times New Roman"/>
            <w:sz w:val="18"/>
            <w:szCs w:val="18"/>
            <w:u w:val="single" w:color="auto"/>
            <w:color w:val="0000FF"/>
          </w:rPr>
          <w:t>Amended and Restated Letter Agreement between Beam Therapeutics Inc.</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and John Evans, dated June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451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345122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6306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spacing w:after="0" w:line="47" w:lineRule="exact"/>
        <w:rPr>
          <w:sz w:val="20"/>
          <w:szCs w:val="20"/>
          <w:color w:val="auto"/>
        </w:rPr>
      </w:pPr>
    </w:p>
    <w:p>
      <w:pPr>
        <w:ind w:left="980" w:right="56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92">
        <w:r>
          <w:rPr>
            <w:rFonts w:ascii="Times New Roman" w:cs="Times New Roman" w:eastAsia="Times New Roman" w:hAnsi="Times New Roman"/>
            <w:sz w:val="18"/>
            <w:szCs w:val="18"/>
            <w:u w:val="single" w:color="auto"/>
            <w:color w:val="0000FF"/>
          </w:rPr>
          <w:t>Amended and Restated Employment Agreement between Beam</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Therapeutics Inc. and Giuseppe Ciaramella, dated January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2947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2947035"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30930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093085" cy="8255"/>
                    </a:xfrm>
                    <a:prstGeom prst="rect">
                      <a:avLst/>
                    </a:prstGeom>
                    <a:noFill/>
                  </pic:spPr>
                </pic:pic>
              </a:graphicData>
            </a:graphic>
          </wp:anchor>
        </w:drawing>
      </w:r>
    </w:p>
    <w:p>
      <w:pPr>
        <w:spacing w:after="0" w:line="47" w:lineRule="exact"/>
        <w:rPr>
          <w:sz w:val="20"/>
          <w:szCs w:val="20"/>
          <w:color w:val="auto"/>
        </w:rPr>
      </w:pPr>
    </w:p>
    <w:p>
      <w:pPr>
        <w:ind w:left="980" w:right="80" w:hanging="985"/>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u w:val="single" w:color="auto"/>
          <w:color w:val="0000FF"/>
        </w:rPr>
        <w:t>Letter Agreement between Beam Therapeutics Inc. and Sravan K. Emany, dated 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4232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3423285"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1169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47" w:lineRule="exact"/>
        <w:rPr>
          <w:sz w:val="20"/>
          <w:szCs w:val="20"/>
          <w:color w:val="auto"/>
        </w:rPr>
      </w:pPr>
    </w:p>
    <w:p>
      <w:pPr>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97">
        <w:r>
          <w:rPr>
            <w:rFonts w:ascii="Times New Roman" w:cs="Times New Roman" w:eastAsia="Times New Roman" w:hAnsi="Times New Roman"/>
            <w:sz w:val="17"/>
            <w:szCs w:val="17"/>
            <w:u w:val="single" w:color="auto"/>
            <w:color w:val="0000FF"/>
          </w:rPr>
          <w:t>Beam Therapeutics 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-7620</wp:posOffset>
            </wp:positionV>
            <wp:extent cx="2363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11" w:lineRule="exact"/>
        <w:rPr>
          <w:sz w:val="20"/>
          <w:szCs w:val="20"/>
          <w:color w:val="auto"/>
        </w:rPr>
      </w:pPr>
    </w:p>
    <w:p>
      <w:pPr>
        <w:ind w:left="980" w:right="14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99">
        <w:r>
          <w:rPr>
            <w:rFonts w:ascii="Times New Roman" w:cs="Times New Roman" w:eastAsia="Times New Roman" w:hAnsi="Times New Roman"/>
            <w:sz w:val="18"/>
            <w:szCs w:val="18"/>
            <w:u w:val="single" w:color="auto"/>
            <w:color w:val="0000FF"/>
          </w:rPr>
          <w:t>Form of Incentive Stock Option Agreement under the Beam Therapeutics</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3947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4497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47" w:lineRule="exact"/>
        <w:rPr>
          <w:sz w:val="20"/>
          <w:szCs w:val="20"/>
          <w:color w:val="auto"/>
        </w:rPr>
      </w:pPr>
    </w:p>
    <w:p>
      <w:pPr>
        <w:ind w:left="980" w:right="74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202">
        <w:r>
          <w:rPr>
            <w:rFonts w:ascii="Times New Roman" w:cs="Times New Roman" w:eastAsia="Times New Roman" w:hAnsi="Times New Roman"/>
            <w:sz w:val="18"/>
            <w:szCs w:val="18"/>
            <w:u w:val="single" w:color="auto"/>
            <w:color w:val="0000FF"/>
          </w:rPr>
          <w:t>Form of Non-Statutory Stock Option Agreement under the Beam</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Therapeutics 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0048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300482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20688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47" w:lineRule="exact"/>
        <w:rPr>
          <w:sz w:val="20"/>
          <w:szCs w:val="20"/>
          <w:color w:val="auto"/>
        </w:rPr>
      </w:pPr>
    </w:p>
    <w:p>
      <w:pPr>
        <w:ind w:left="980" w:right="22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205">
        <w:r>
          <w:rPr>
            <w:rFonts w:ascii="Times New Roman" w:cs="Times New Roman" w:eastAsia="Times New Roman" w:hAnsi="Times New Roman"/>
            <w:sz w:val="18"/>
            <w:szCs w:val="18"/>
            <w:u w:val="single" w:color="auto"/>
            <w:color w:val="0000FF"/>
          </w:rPr>
          <w:t>Form of Non-Statutory Stock Option Agreement (Non-Employee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Directors) under the Beam Therapeutics 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0175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3312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3312160" cy="8255"/>
                    </a:xfrm>
                    <a:prstGeom prst="rect">
                      <a:avLst/>
                    </a:prstGeom>
                    <a:noFill/>
                  </pic:spPr>
                </pic:pic>
              </a:graphicData>
            </a:graphic>
          </wp:anchor>
        </w:drawing>
      </w:r>
    </w:p>
    <w:p>
      <w:pPr>
        <w:spacing w:after="0" w:line="47" w:lineRule="exact"/>
        <w:rPr>
          <w:sz w:val="20"/>
          <w:szCs w:val="20"/>
          <w:color w:val="auto"/>
        </w:rPr>
      </w:pPr>
    </w:p>
    <w:p>
      <w:pPr>
        <w:ind w:left="980" w:right="70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208">
        <w:r>
          <w:rPr>
            <w:rFonts w:ascii="Times New Roman" w:cs="Times New Roman" w:eastAsia="Times New Roman" w:hAnsi="Times New Roman"/>
            <w:sz w:val="18"/>
            <w:szCs w:val="18"/>
            <w:u w:val="single" w:color="auto"/>
            <w:color w:val="0000FF"/>
          </w:rPr>
          <w:t>Form of Restricted Stock Unit Award Agreement under the Beam</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Therapeutics 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0397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303974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20688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2068830" cy="8890"/>
                    </a:xfrm>
                    <a:prstGeom prst="rect">
                      <a:avLst/>
                    </a:prstGeom>
                    <a:noFill/>
                  </pic:spPr>
                </pic:pic>
              </a:graphicData>
            </a:graphic>
          </wp:anchor>
        </w:drawing>
      </w:r>
    </w:p>
    <w:p>
      <w:pPr>
        <w:spacing w:after="0" w:line="47" w:lineRule="exact"/>
        <w:rPr>
          <w:sz w:val="20"/>
          <w:szCs w:val="20"/>
          <w:color w:val="auto"/>
        </w:rPr>
      </w:pPr>
    </w:p>
    <w:p>
      <w:pPr>
        <w:ind w:left="980" w:right="8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11">
        <w:r>
          <w:rPr>
            <w:rFonts w:ascii="Times New Roman" w:cs="Times New Roman" w:eastAsia="Times New Roman" w:hAnsi="Times New Roman"/>
            <w:sz w:val="18"/>
            <w:szCs w:val="18"/>
            <w:u w:val="single" w:color="auto"/>
            <w:color w:val="0000FF"/>
          </w:rPr>
          <w:t>Form of Restricted Stock Award Agreement under the Beam Therapeutics</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4264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342646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4497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47" w:lineRule="exact"/>
        <w:rPr>
          <w:sz w:val="20"/>
          <w:szCs w:val="20"/>
          <w:color w:val="auto"/>
        </w:rPr>
      </w:pPr>
    </w:p>
    <w:p>
      <w:pPr>
        <w:ind w:left="980" w:right="38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214">
        <w:r>
          <w:rPr>
            <w:rFonts w:ascii="Times New Roman" w:cs="Times New Roman" w:eastAsia="Times New Roman" w:hAnsi="Times New Roman"/>
            <w:sz w:val="18"/>
            <w:szCs w:val="18"/>
            <w:u w:val="single" w:color="auto"/>
            <w:color w:val="0000FF"/>
          </w:rPr>
          <w:t>Amended and Restated Beam Therapeutics Inc. 2019 Employee Stock</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2423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324231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643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47" w:lineRule="exact"/>
        <w:rPr>
          <w:sz w:val="20"/>
          <w:szCs w:val="20"/>
          <w:color w:val="auto"/>
        </w:rPr>
      </w:pPr>
    </w:p>
    <w:p>
      <w:pPr>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217">
        <w:r>
          <w:rPr>
            <w:rFonts w:ascii="Times New Roman" w:cs="Times New Roman" w:eastAsia="Times New Roman" w:hAnsi="Times New Roman"/>
            <w:sz w:val="17"/>
            <w:szCs w:val="17"/>
            <w:u w:val="single" w:color="auto"/>
            <w:color w:val="0000FF"/>
          </w:rPr>
          <w:t>Beam Therapeutics Inc. 2019 Cash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-7620</wp:posOffset>
            </wp:positionV>
            <wp:extent cx="22872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11" w:lineRule="exact"/>
        <w:rPr>
          <w:sz w:val="20"/>
          <w:szCs w:val="20"/>
          <w:color w:val="auto"/>
        </w:rPr>
      </w:pPr>
    </w:p>
    <w:p>
      <w:pPr>
        <w:ind w:left="980" w:right="22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219">
        <w:r>
          <w:rPr>
            <w:rFonts w:ascii="Times New Roman" w:cs="Times New Roman" w:eastAsia="Times New Roman" w:hAnsi="Times New Roman"/>
            <w:sz w:val="18"/>
            <w:szCs w:val="18"/>
            <w:u w:val="single" w:color="auto"/>
            <w:color w:val="0000FF"/>
          </w:rPr>
          <w:t>Amended and Restated Beam Therapeutics Inc. Non-Employee Director</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Compensation Policy, dated April 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3407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334073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9259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1925955" cy="8890"/>
                    </a:xfrm>
                    <a:prstGeom prst="rect">
                      <a:avLst/>
                    </a:prstGeom>
                    <a:noFill/>
                  </pic:spPr>
                </pic:pic>
              </a:graphicData>
            </a:graphic>
          </wp:anchor>
        </w:drawing>
      </w:r>
    </w:p>
    <w:p>
      <w:pPr>
        <w:spacing w:after="0" w:line="47" w:lineRule="exact"/>
        <w:rPr>
          <w:sz w:val="20"/>
          <w:szCs w:val="20"/>
          <w:color w:val="auto"/>
        </w:rPr>
      </w:pPr>
    </w:p>
    <w:p>
      <w:pPr>
        <w:ind w:left="980" w:right="18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222">
        <w:r>
          <w:rPr>
            <w:rFonts w:ascii="Times New Roman" w:cs="Times New Roman" w:eastAsia="Times New Roman" w:hAnsi="Times New Roman"/>
            <w:sz w:val="18"/>
            <w:szCs w:val="18"/>
            <w:u w:val="single" w:color="auto"/>
            <w:color w:val="0000FF"/>
          </w:rPr>
          <w:t>Lease Agreement between Beam Therapeutics Inc. and ARE-NC Region</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No. 14,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3629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336296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5835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47" w:lineRule="exact"/>
        <w:rPr>
          <w:sz w:val="20"/>
          <w:szCs w:val="20"/>
          <w:color w:val="auto"/>
        </w:rPr>
      </w:pPr>
    </w:p>
    <w:p>
      <w:pPr>
        <w:ind w:left="980" w:right="120" w:hanging="985"/>
        <w:spacing w:after="0" w:line="312"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225">
        <w:r>
          <w:rPr>
            <w:rFonts w:ascii="Times New Roman" w:cs="Times New Roman" w:eastAsia="Times New Roman" w:hAnsi="Times New Roman"/>
            <w:sz w:val="17"/>
            <w:szCs w:val="17"/>
            <w:u w:val="single" w:color="auto"/>
            <w:color w:val="0000FF"/>
          </w:rPr>
          <w:t>Amendment No. 1 to Indenture of Lease, between Massachusetts Institute</w:t>
        </w:r>
      </w:hyperlink>
      <w:r>
        <w:rPr>
          <w:rFonts w:ascii="Times New Roman" w:cs="Times New Roman" w:eastAsia="Times New Roman" w:hAnsi="Times New Roman"/>
          <w:sz w:val="17"/>
          <w:szCs w:val="17"/>
          <w:u w:val="single" w:color="auto"/>
          <w:color w:val="0000FF"/>
        </w:rPr>
        <w:t xml:space="preserve"> </w:t>
      </w:r>
      <w:hyperlink r:id="rId225">
        <w:r>
          <w:rPr>
            <w:rFonts w:ascii="Times New Roman" w:cs="Times New Roman" w:eastAsia="Times New Roman" w:hAnsi="Times New Roman"/>
            <w:sz w:val="17"/>
            <w:szCs w:val="17"/>
            <w:u w:val="single" w:color="auto"/>
            <w:color w:val="0000FF"/>
          </w:rPr>
          <w:t>of Technology and Beam Therapeutics Inc., dated April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-198755</wp:posOffset>
            </wp:positionV>
            <wp:extent cx="34074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340741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-61595</wp:posOffset>
            </wp:positionV>
            <wp:extent cx="29825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2982595" cy="8255"/>
                    </a:xfrm>
                    <a:prstGeom prst="rect">
                      <a:avLst/>
                    </a:prstGeom>
                    <a:noFill/>
                  </pic:spPr>
                </pic:pic>
              </a:graphicData>
            </a:graphic>
          </wp:anchor>
        </w:drawing>
      </w:r>
    </w:p>
    <w:p>
      <w:pPr>
        <w:spacing w:after="0" w:line="25" w:lineRule="exact"/>
        <w:rPr>
          <w:sz w:val="20"/>
          <w:szCs w:val="20"/>
          <w:color w:val="auto"/>
        </w:rPr>
      </w:pPr>
    </w:p>
    <w:p>
      <w:pPr>
        <w:ind w:left="980" w:right="120" w:hanging="985"/>
        <w:spacing w:after="0" w:line="312"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228">
        <w:r>
          <w:rPr>
            <w:rFonts w:ascii="Times New Roman" w:cs="Times New Roman" w:eastAsia="Times New Roman" w:hAnsi="Times New Roman"/>
            <w:sz w:val="17"/>
            <w:szCs w:val="17"/>
            <w:u w:val="single" w:color="auto"/>
            <w:color w:val="0000FF"/>
          </w:rPr>
          <w:t>Amendment No. 2 to Indenture of Lease, between Massachusetts Institute</w:t>
        </w:r>
      </w:hyperlink>
      <w:r>
        <w:rPr>
          <w:rFonts w:ascii="Times New Roman" w:cs="Times New Roman" w:eastAsia="Times New Roman" w:hAnsi="Times New Roman"/>
          <w:sz w:val="17"/>
          <w:szCs w:val="17"/>
          <w:u w:val="single" w:color="auto"/>
          <w:color w:val="0000FF"/>
        </w:rPr>
        <w:t xml:space="preserve"> </w:t>
      </w:r>
      <w:hyperlink r:id="rId228">
        <w:r>
          <w:rPr>
            <w:rFonts w:ascii="Times New Roman" w:cs="Times New Roman" w:eastAsia="Times New Roman" w:hAnsi="Times New Roman"/>
            <w:sz w:val="17"/>
            <w:szCs w:val="17"/>
            <w:u w:val="single" w:color="auto"/>
            <w:color w:val="0000FF"/>
          </w:rPr>
          <w:t>of Technology and Beam Therapeutics Inc., dated November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-198755</wp:posOffset>
            </wp:positionV>
            <wp:extent cx="34074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340741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-61595</wp:posOffset>
            </wp:positionV>
            <wp:extent cx="32232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5" w:lineRule="exact"/>
        <w:rPr>
          <w:sz w:val="20"/>
          <w:szCs w:val="20"/>
          <w:color w:val="auto"/>
        </w:rPr>
      </w:pPr>
    </w:p>
    <w:p>
      <w:pPr>
        <w:ind w:left="980" w:right="120" w:hanging="985"/>
        <w:spacing w:after="0" w:line="312"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231">
        <w:r>
          <w:rPr>
            <w:rFonts w:ascii="Times New Roman" w:cs="Times New Roman" w:eastAsia="Times New Roman" w:hAnsi="Times New Roman"/>
            <w:sz w:val="17"/>
            <w:szCs w:val="17"/>
            <w:u w:val="single" w:color="auto"/>
            <w:color w:val="0000FF"/>
          </w:rPr>
          <w:t>Amendment No. 3 to Indenture of Lease, between Massachusetts Institute</w:t>
        </w:r>
      </w:hyperlink>
      <w:r>
        <w:rPr>
          <w:rFonts w:ascii="Times New Roman" w:cs="Times New Roman" w:eastAsia="Times New Roman" w:hAnsi="Times New Roman"/>
          <w:sz w:val="17"/>
          <w:szCs w:val="17"/>
          <w:u w:val="single" w:color="auto"/>
          <w:color w:val="0000FF"/>
        </w:rPr>
        <w:t xml:space="preserve"> </w:t>
      </w:r>
      <w:hyperlink r:id="rId231">
        <w:r>
          <w:rPr>
            <w:rFonts w:ascii="Times New Roman" w:cs="Times New Roman" w:eastAsia="Times New Roman" w:hAnsi="Times New Roman"/>
            <w:sz w:val="17"/>
            <w:szCs w:val="17"/>
            <w:u w:val="single" w:color="auto"/>
            <w:color w:val="0000FF"/>
          </w:rPr>
          <w:t>of Technology and Beam Therapeutics Inc., dated August 24,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-198755</wp:posOffset>
            </wp:positionV>
            <wp:extent cx="34074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340741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-61595</wp:posOffset>
            </wp:positionV>
            <wp:extent cx="30714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3071495" cy="8890"/>
                    </a:xfrm>
                    <a:prstGeom prst="rect">
                      <a:avLst/>
                    </a:prstGeom>
                    <a:noFill/>
                  </pic:spPr>
                </pic:pic>
              </a:graphicData>
            </a:graphic>
          </wp:anchor>
        </w:drawing>
      </w:r>
    </w:p>
    <w:p>
      <w:pPr>
        <w:spacing w:after="0" w:line="25" w:lineRule="exact"/>
        <w:rPr>
          <w:sz w:val="20"/>
          <w:szCs w:val="20"/>
          <w:color w:val="auto"/>
        </w:rPr>
      </w:pPr>
    </w:p>
    <w:p>
      <w:pPr>
        <w:ind w:left="980" w:right="20" w:hanging="98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234">
        <w:r>
          <w:rPr>
            <w:rFonts w:ascii="Times New Roman" w:cs="Times New Roman" w:eastAsia="Times New Roman" w:hAnsi="Times New Roman"/>
            <w:sz w:val="18"/>
            <w:szCs w:val="18"/>
            <w:u w:val="single" w:color="auto"/>
            <w:color w:val="0000FF"/>
          </w:rPr>
          <w:t>Amendment No. 1 to Sales Agreement, dated July 7, 2021, by and between</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Beam Therapeutics Inc.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4632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346329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-48260</wp:posOffset>
            </wp:positionV>
            <wp:extent cx="19411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spacing w:after="0" w:line="47" w:lineRule="exact"/>
        <w:rPr>
          <w:sz w:val="20"/>
          <w:szCs w:val="20"/>
          <w:color w:val="auto"/>
        </w:rPr>
      </w:pPr>
    </w:p>
    <w:p>
      <w:pPr>
        <w:ind w:left="980" w:right="120" w:hanging="985"/>
        <w:spacing w:after="0" w:line="312"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237">
        <w:r>
          <w:rPr>
            <w:rFonts w:ascii="Times New Roman" w:cs="Times New Roman" w:eastAsia="Times New Roman" w:hAnsi="Times New Roman"/>
            <w:sz w:val="17"/>
            <w:szCs w:val="17"/>
            <w:u w:val="single" w:color="auto"/>
            <w:color w:val="0000FF"/>
          </w:rPr>
          <w:t>Amendment No. 4 to Indenture of Lease, between Massachusetts Institute</w:t>
        </w:r>
      </w:hyperlink>
      <w:r>
        <w:rPr>
          <w:rFonts w:ascii="Times New Roman" w:cs="Times New Roman" w:eastAsia="Times New Roman" w:hAnsi="Times New Roman"/>
          <w:sz w:val="17"/>
          <w:szCs w:val="17"/>
          <w:u w:val="single" w:color="auto"/>
          <w:color w:val="0000FF"/>
        </w:rPr>
        <w:t xml:space="preserve"> </w:t>
      </w:r>
      <w:hyperlink r:id="rId237">
        <w:r>
          <w:rPr>
            <w:rFonts w:ascii="Times New Roman" w:cs="Times New Roman" w:eastAsia="Times New Roman" w:hAnsi="Times New Roman"/>
            <w:sz w:val="17"/>
            <w:szCs w:val="17"/>
            <w:u w:val="single" w:color="auto"/>
            <w:color w:val="0000FF"/>
          </w:rPr>
          <w:t>of Technology and Beam Therapeutics Inc., dated December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-198755</wp:posOffset>
            </wp:positionV>
            <wp:extent cx="34074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340741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-61595</wp:posOffset>
            </wp:positionV>
            <wp:extent cx="31534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3153410" cy="8890"/>
                    </a:xfrm>
                    <a:prstGeom prst="rect">
                      <a:avLst/>
                    </a:prstGeom>
                    <a:noFill/>
                  </pic:spPr>
                </pic:pic>
              </a:graphicData>
            </a:graphic>
          </wp:anchor>
        </w:drawing>
      </w:r>
    </w:p>
    <w:p>
      <w:pPr>
        <w:spacing w:after="0" w:line="24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09/27/2019</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09/27/2019</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09/27/2019</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10.12</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08/10/2021</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01/27/2020</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10.14</w:t>
            </w:r>
          </w:p>
        </w:tc>
      </w:tr>
    </w:tbl>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338"/>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554"/>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3/15/2021</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10.25</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10.26</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10.27</w:t>
            </w:r>
          </w:p>
        </w:tc>
      </w:tr>
      <w:tr>
        <w:trPr>
          <w:trHeight w:val="554"/>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333-233985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338"/>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05/07/2024</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08/12/2020</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10.31</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10.32</w:t>
            </w:r>
          </w:p>
        </w:tc>
      </w:tr>
      <w:tr>
        <w:trPr>
          <w:trHeight w:val="554"/>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10.33</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07/07/2021</w:t>
            </w:r>
          </w:p>
        </w:tc>
        <w:tc>
          <w:tcPr>
            <w:tcW w:w="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1.1</w:t>
            </w:r>
          </w:p>
        </w:tc>
      </w:tr>
      <w:tr>
        <w:trPr>
          <w:trHeight w:val="55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02/28/2023</w:t>
            </w: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10.35</w:t>
            </w:r>
          </w:p>
        </w:tc>
      </w:tr>
    </w:tbl>
    <w:p>
      <w:pPr>
        <w:sectPr>
          <w:pgSz w:w="11900" w:h="16838" w:orient="portrait"/>
          <w:cols w:equalWidth="0" w:num="2">
            <w:col w:w="6420" w:space="160"/>
            <w:col w:w="4300"/>
          </w:cols>
          <w:pgMar w:left="340" w:top="1134" w:right="67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53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Letter Agreement between Beam Therapeutics Inc. and Christine Bellon,</w:t>
              </w:r>
            </w:hyperlink>
          </w:p>
        </w:tc>
        <w:tc>
          <w:tcPr>
            <w:tcW w:w="160" w:type="dxa"/>
            <w:vAlign w:val="bottom"/>
            <w:gridSpan w:val="7"/>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16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dated January 24, 2020</w:t>
              </w:r>
            </w:hyperlink>
          </w:p>
        </w:tc>
        <w:tc>
          <w:tcPr>
            <w:tcW w:w="20" w:type="dxa"/>
            <w:vAlign w:val="bottom"/>
            <w:tcBorders>
              <w:bottom w:val="single" w:sz="8" w:color="0000EE"/>
            </w:tcBorders>
          </w:tcPr>
          <w:p>
            <w:pPr>
              <w:spacing w:after="0"/>
              <w:rPr>
                <w:sz w:val="17"/>
                <w:szCs w:val="17"/>
                <w:color w:val="auto"/>
              </w:rPr>
            </w:pPr>
          </w:p>
        </w:tc>
        <w:tc>
          <w:tcPr>
            <w:tcW w:w="376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544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Letter Agreement between Beam Therapeutics Inc. and Amy Simon, dated</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12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January 29, 2021</w:t>
              </w:r>
            </w:hyperlink>
          </w:p>
        </w:tc>
        <w:tc>
          <w:tcPr>
            <w:tcW w:w="4180" w:type="dxa"/>
            <w:vAlign w:val="bottom"/>
            <w:gridSpan w:val="30"/>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49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Amendment No. 2 to Sales Agreement, dated May 10, 2023, by and</w:t>
              </w:r>
            </w:hyperlink>
          </w:p>
        </w:tc>
        <w:tc>
          <w:tcPr>
            <w:tcW w:w="52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5460" w:type="dxa"/>
            <w:vAlign w:val="bottom"/>
            <w:gridSpan w:val="38"/>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between Beam Therapeutics Inc. and Jefferies LLC</w:t>
              </w:r>
            </w:hyperlink>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544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First Amendment to Lease, between Beam Therapeutics Inc. and ARE-NC</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5460" w:type="dxa"/>
            <w:vAlign w:val="bottom"/>
            <w:gridSpan w:val="38"/>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Region No. 14, LLC, dated June 23, 2022</w:t>
              </w:r>
            </w:hyperlink>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53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Second Amendment to Lease, between Beam Therapeutics Inc. and ARE-</w:t>
              </w:r>
            </w:hyperlink>
          </w:p>
        </w:tc>
        <w:tc>
          <w:tcPr>
            <w:tcW w:w="100" w:type="dxa"/>
            <w:vAlign w:val="bottom"/>
            <w:gridSpan w:val="4"/>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3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NC Region No. 14, LLC, dated March 31, 2023</w:t>
              </w:r>
            </w:hyperlink>
          </w:p>
        </w:tc>
        <w:tc>
          <w:tcPr>
            <w:tcW w:w="20" w:type="dxa"/>
            <w:vAlign w:val="bottom"/>
            <w:tcBorders>
              <w:bottom w:val="single" w:sz="8" w:color="0000EE"/>
            </w:tcBorders>
          </w:tcPr>
          <w:p>
            <w:pPr>
              <w:spacing w:after="0"/>
              <w:rPr>
                <w:sz w:val="17"/>
                <w:szCs w:val="17"/>
                <w:color w:val="auto"/>
              </w:rPr>
            </w:pPr>
          </w:p>
        </w:tc>
        <w:tc>
          <w:tcPr>
            <w:tcW w:w="198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546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Third Amendment to Lease, between Beam Therapeutics Inc. and ARE-NC</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31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Region No.14, LLC, dated January 1, 2024</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5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Addendum to Letter Agreement between Beam Therapeutics Inc.</w:t>
              </w:r>
            </w:hyperlink>
          </w:p>
        </w:tc>
        <w:tc>
          <w:tcPr>
            <w:tcW w:w="60" w:type="dxa"/>
            <w:vAlign w:val="bottom"/>
            <w:gridSpan w:val="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53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and each of John Evans, Giuseppe Ciaramella, Christine Bellon and Amy</w:t>
              </w:r>
            </w:hyperlink>
          </w:p>
        </w:tc>
        <w:tc>
          <w:tcPr>
            <w:tcW w:w="10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47">
              <w:r>
                <w:rPr>
                  <w:rFonts w:ascii="Times New Roman" w:cs="Times New Roman" w:eastAsia="Times New Roman" w:hAnsi="Times New Roman"/>
                  <w:sz w:val="18"/>
                  <w:szCs w:val="18"/>
                  <w:color w:val="0000FF"/>
                  <w:w w:val="97"/>
                </w:rPr>
                <w:t>Simon</w:t>
              </w:r>
            </w:hyperlink>
          </w:p>
        </w:tc>
        <w:tc>
          <w:tcPr>
            <w:tcW w:w="20" w:type="dxa"/>
            <w:vAlign w:val="bottom"/>
            <w:tcBorders>
              <w:bottom w:val="single" w:sz="8" w:color="0000EE"/>
            </w:tcBorders>
          </w:tcPr>
          <w:p>
            <w:pPr>
              <w:spacing w:after="0"/>
              <w:rPr>
                <w:sz w:val="17"/>
                <w:szCs w:val="17"/>
                <w:color w:val="auto"/>
              </w:rPr>
            </w:pPr>
          </w:p>
        </w:tc>
        <w:tc>
          <w:tcPr>
            <w:tcW w:w="4960" w:type="dxa"/>
            <w:vAlign w:val="bottom"/>
            <w:gridSpan w:val="35"/>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53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Amendment to License Agreement between The Broad Institute, Inc. and</w:t>
              </w:r>
            </w:hyperlink>
          </w:p>
        </w:tc>
        <w:tc>
          <w:tcPr>
            <w:tcW w:w="120" w:type="dxa"/>
            <w:vAlign w:val="bottom"/>
            <w:gridSpan w:val="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196"/>
        </w:trPr>
        <w:tc>
          <w:tcPr>
            <w:tcW w:w="980" w:type="dxa"/>
            <w:vAlign w:val="bottom"/>
          </w:tcPr>
          <w:p>
            <w:pPr>
              <w:spacing w:after="0"/>
              <w:rPr>
                <w:sz w:val="17"/>
                <w:szCs w:val="17"/>
                <w:color w:val="auto"/>
              </w:rPr>
            </w:pPr>
          </w:p>
        </w:tc>
        <w:tc>
          <w:tcPr>
            <w:tcW w:w="5460" w:type="dxa"/>
            <w:vAlign w:val="bottom"/>
            <w:gridSpan w:val="38"/>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Beam Therapeutics Inc., dated May 31, 2024</w:t>
              </w:r>
            </w:hyperlink>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50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Amendment No. 4 to License Agreement, between the President and</w:t>
            </w:r>
          </w:p>
        </w:tc>
        <w:tc>
          <w:tcPr>
            <w:tcW w:w="46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4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Fellows of Harvard College and Beam Therapeutics Inc., dated December</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1, 2024</w:t>
            </w:r>
          </w:p>
        </w:tc>
        <w:tc>
          <w:tcPr>
            <w:tcW w:w="20" w:type="dxa"/>
            <w:vAlign w:val="bottom"/>
            <w:tcBorders>
              <w:top w:val="single" w:sz="8" w:color="0000FF"/>
              <w:bottom w:val="single" w:sz="8" w:color="0000EE"/>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544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Letter Agreement between Beam Therapeutics Inc. and Terry-Ann Burrell,</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333-233985</w:t>
            </w:r>
          </w:p>
        </w:tc>
      </w:tr>
      <w:tr>
        <w:trPr>
          <w:trHeight w:val="196"/>
        </w:trPr>
        <w:tc>
          <w:tcPr>
            <w:tcW w:w="980" w:type="dxa"/>
            <w:vAlign w:val="bottom"/>
          </w:tcPr>
          <w:p>
            <w:pPr>
              <w:spacing w:after="0"/>
              <w:rPr>
                <w:sz w:val="17"/>
                <w:szCs w:val="17"/>
                <w:color w:val="auto"/>
              </w:rPr>
            </w:pPr>
          </w:p>
        </w:tc>
        <w:tc>
          <w:tcPr>
            <w:tcW w:w="1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dated January 24, 2020</w:t>
              </w:r>
            </w:hyperlink>
          </w:p>
        </w:tc>
        <w:tc>
          <w:tcPr>
            <w:tcW w:w="3740" w:type="dxa"/>
            <w:vAlign w:val="bottom"/>
            <w:gridSpan w:val="26"/>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4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3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List of Subsidiaries of Beam Therapeutics Inc.</w:t>
              </w:r>
            </w:hyperlink>
          </w:p>
        </w:tc>
        <w:tc>
          <w:tcPr>
            <w:tcW w:w="2100" w:type="dxa"/>
            <w:vAlign w:val="bottom"/>
            <w:gridSpan w:val="19"/>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w:t>
            </w:r>
          </w:p>
        </w:tc>
        <w:tc>
          <w:tcPr>
            <w:tcW w:w="20" w:type="dxa"/>
            <w:vAlign w:val="bottom"/>
            <w:tcBorders>
              <w:bottom w:val="single" w:sz="8" w:color="0000EE"/>
            </w:tcBorders>
          </w:tcPr>
          <w:p>
            <w:pPr>
              <w:spacing w:after="0"/>
              <w:rPr>
                <w:sz w:val="24"/>
                <w:szCs w:val="24"/>
                <w:color w:val="auto"/>
              </w:rPr>
            </w:pPr>
          </w:p>
        </w:tc>
        <w:tc>
          <w:tcPr>
            <w:tcW w:w="2880" w:type="dxa"/>
            <w:vAlign w:val="bottom"/>
            <w:gridSpan w:val="24"/>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10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6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16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6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460" w:type="dxa"/>
            <w:vAlign w:val="bottom"/>
            <w:tcBorders>
              <w:bottom w:val="single" w:sz="8" w:color="0000FF"/>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4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tcBorders>
              <w:right w:val="single" w:sz="8" w:color="0000EE"/>
            </w:tcBorders>
            <w:gridSpan w:val="15"/>
            <w:shd w:val="clear" w:color="auto" w:fill="0000FF"/>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4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14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4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2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Clawback Policy</w:t>
              </w:r>
            </w:hyperlink>
          </w:p>
        </w:tc>
        <w:tc>
          <w:tcPr>
            <w:tcW w:w="20" w:type="dxa"/>
            <w:vAlign w:val="bottom"/>
            <w:tcBorders>
              <w:bottom w:val="single" w:sz="8" w:color="0000EE"/>
            </w:tcBorders>
          </w:tcPr>
          <w:p>
            <w:pPr>
              <w:spacing w:after="0"/>
              <w:rPr>
                <w:sz w:val="24"/>
                <w:szCs w:val="24"/>
                <w:color w:val="auto"/>
              </w:rPr>
            </w:pPr>
          </w:p>
        </w:tc>
        <w:tc>
          <w:tcPr>
            <w:tcW w:w="4200" w:type="dxa"/>
            <w:vAlign w:val="bottom"/>
            <w:gridSpan w:val="3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001-39208</w:t>
            </w:r>
          </w:p>
        </w:tc>
      </w:tr>
      <w:tr>
        <w:trPr>
          <w:trHeight w:val="34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54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54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54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03" w:lineRule="exact"/>
        <w:rPr>
          <w:sz w:val="20"/>
          <w:szCs w:val="20"/>
          <w:color w:val="auto"/>
        </w:rPr>
      </w:pPr>
    </w:p>
    <w:p>
      <w:pPr>
        <w:ind w:left="5460" w:right="1440" w:hanging="5459"/>
        <w:spacing w:after="0" w:line="532" w:lineRule="auto"/>
        <w:tabs>
          <w:tab w:leader="none" w:pos="9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307975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tabs>
          <w:tab w:leader="none" w:pos="1240" w:val="left"/>
        </w:tabs>
        <w:rPr>
          <w:sz w:val="20"/>
          <w:szCs w:val="20"/>
          <w:color w:val="auto"/>
        </w:rPr>
      </w:pPr>
      <w:r>
        <w:rPr>
          <w:rFonts w:ascii="Times New Roman" w:cs="Times New Roman" w:eastAsia="Times New Roman" w:hAnsi="Times New Roman"/>
          <w:sz w:val="18"/>
          <w:szCs w:val="18"/>
          <w:color w:val="auto"/>
        </w:rPr>
        <w:t>5/10/2023</w:t>
      </w:r>
      <w:r>
        <w:rPr>
          <w:sz w:val="20"/>
          <w:szCs w:val="20"/>
          <w:color w:val="auto"/>
        </w:rPr>
        <w:tab/>
      </w:r>
      <w:r>
        <w:rPr>
          <w:rFonts w:ascii="Times New Roman" w:cs="Times New Roman" w:eastAsia="Times New Roman" w:hAnsi="Times New Roman"/>
          <w:sz w:val="18"/>
          <w:szCs w:val="18"/>
          <w:color w:val="auto"/>
        </w:rPr>
        <w:t>10.1</w:t>
      </w:r>
    </w:p>
    <w:p>
      <w:pPr>
        <w:spacing w:after="0" w:line="347"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8"/>
          <w:szCs w:val="18"/>
          <w:color w:val="auto"/>
        </w:rPr>
        <w:t>5/10/2023</w:t>
      </w:r>
      <w:r>
        <w:rPr>
          <w:sz w:val="20"/>
          <w:szCs w:val="20"/>
          <w:color w:val="auto"/>
        </w:rPr>
        <w:tab/>
      </w:r>
      <w:r>
        <w:rPr>
          <w:rFonts w:ascii="Times New Roman" w:cs="Times New Roman" w:eastAsia="Times New Roman" w:hAnsi="Times New Roman"/>
          <w:sz w:val="18"/>
          <w:szCs w:val="18"/>
          <w:color w:val="auto"/>
        </w:rPr>
        <w:t>10.2</w:t>
      </w:r>
    </w:p>
    <w:p>
      <w:pPr>
        <w:spacing w:after="0" w:line="347" w:lineRule="exact"/>
        <w:rPr>
          <w:sz w:val="20"/>
          <w:szCs w:val="20"/>
          <w:color w:val="auto"/>
        </w:rPr>
      </w:pPr>
    </w:p>
    <w:p>
      <w:pPr>
        <w:ind w:left="40"/>
        <w:spacing w:after="0"/>
        <w:tabs>
          <w:tab w:leader="none" w:pos="1300" w:val="left"/>
        </w:tabs>
        <w:rPr>
          <w:sz w:val="20"/>
          <w:szCs w:val="20"/>
          <w:color w:val="auto"/>
        </w:rPr>
      </w:pPr>
      <w:r>
        <w:rPr>
          <w:rFonts w:ascii="Times New Roman" w:cs="Times New Roman" w:eastAsia="Times New Roman" w:hAnsi="Times New Roman"/>
          <w:sz w:val="18"/>
          <w:szCs w:val="18"/>
          <w:color w:val="auto"/>
        </w:rPr>
        <w:t>5/10/2023</w:t>
      </w:r>
      <w:r>
        <w:rPr>
          <w:sz w:val="20"/>
          <w:szCs w:val="20"/>
          <w:color w:val="auto"/>
        </w:rPr>
        <w:tab/>
      </w:r>
      <w:r>
        <w:rPr>
          <w:rFonts w:ascii="Times New Roman" w:cs="Times New Roman" w:eastAsia="Times New Roman" w:hAnsi="Times New Roman"/>
          <w:sz w:val="18"/>
          <w:szCs w:val="18"/>
          <w:color w:val="auto"/>
        </w:rPr>
        <w:t>1.1</w:t>
      </w:r>
    </w:p>
    <w:p>
      <w:pPr>
        <w:spacing w:after="0" w:line="34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02/27/2024</w:t>
      </w:r>
      <w:r>
        <w:rPr>
          <w:sz w:val="20"/>
          <w:szCs w:val="20"/>
          <w:color w:val="auto"/>
        </w:rPr>
        <w:tab/>
      </w:r>
      <w:r>
        <w:rPr>
          <w:rFonts w:ascii="Times New Roman" w:cs="Times New Roman" w:eastAsia="Times New Roman" w:hAnsi="Times New Roman"/>
          <w:sz w:val="18"/>
          <w:szCs w:val="18"/>
          <w:color w:val="auto"/>
        </w:rPr>
        <w:t>10.39</w:t>
      </w:r>
    </w:p>
    <w:p>
      <w:pPr>
        <w:spacing w:after="0" w:line="34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02/27/2024</w:t>
      </w:r>
      <w:r>
        <w:rPr>
          <w:sz w:val="20"/>
          <w:szCs w:val="20"/>
          <w:color w:val="auto"/>
        </w:rPr>
        <w:tab/>
      </w:r>
      <w:r>
        <w:rPr>
          <w:rFonts w:ascii="Times New Roman" w:cs="Times New Roman" w:eastAsia="Times New Roman" w:hAnsi="Times New Roman"/>
          <w:sz w:val="18"/>
          <w:szCs w:val="18"/>
          <w:color w:val="auto"/>
        </w:rPr>
        <w:t>10.40</w:t>
      </w:r>
    </w:p>
    <w:p>
      <w:pPr>
        <w:spacing w:after="0" w:line="34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02/27/2024</w:t>
      </w:r>
      <w:r>
        <w:rPr>
          <w:sz w:val="20"/>
          <w:szCs w:val="20"/>
          <w:color w:val="auto"/>
        </w:rPr>
        <w:tab/>
      </w:r>
      <w:r>
        <w:rPr>
          <w:rFonts w:ascii="Times New Roman" w:cs="Times New Roman" w:eastAsia="Times New Roman" w:hAnsi="Times New Roman"/>
          <w:sz w:val="18"/>
          <w:szCs w:val="18"/>
          <w:color w:val="auto"/>
        </w:rPr>
        <w:t>10.41</w:t>
      </w:r>
    </w:p>
    <w:p>
      <w:pPr>
        <w:spacing w:after="0" w:line="34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05/07/2024</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6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05/07/2024</w:t>
      </w:r>
      <w:r>
        <w:rPr>
          <w:sz w:val="20"/>
          <w:szCs w:val="20"/>
          <w:color w:val="auto"/>
        </w:rPr>
        <w:tab/>
      </w:r>
      <w:r>
        <w:rPr>
          <w:rFonts w:ascii="Times New Roman" w:cs="Times New Roman" w:eastAsia="Times New Roman" w:hAnsi="Times New Roman"/>
          <w:sz w:val="18"/>
          <w:szCs w:val="18"/>
          <w:color w:val="auto"/>
        </w:rPr>
        <w:t>10.3</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01/27/2020</w:t>
      </w:r>
      <w:r>
        <w:rPr>
          <w:sz w:val="20"/>
          <w:szCs w:val="20"/>
          <w:color w:val="auto"/>
        </w:rPr>
        <w:tab/>
      </w:r>
      <w:r>
        <w:rPr>
          <w:rFonts w:ascii="Times New Roman" w:cs="Times New Roman" w:eastAsia="Times New Roman" w:hAnsi="Times New Roman"/>
          <w:sz w:val="18"/>
          <w:szCs w:val="18"/>
          <w:color w:val="auto"/>
        </w:rPr>
        <w:t>10.15</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8"/>
          <w:szCs w:val="18"/>
          <w:color w:val="auto"/>
        </w:rPr>
        <w:t>2/28/2022</w:t>
      </w:r>
      <w:r>
        <w:rPr>
          <w:sz w:val="20"/>
          <w:szCs w:val="20"/>
          <w:color w:val="auto"/>
        </w:rPr>
        <w:tab/>
      </w:r>
      <w:r>
        <w:rPr>
          <w:rFonts w:ascii="Times New Roman" w:cs="Times New Roman" w:eastAsia="Times New Roman" w:hAnsi="Times New Roman"/>
          <w:sz w:val="18"/>
          <w:szCs w:val="18"/>
          <w:color w:val="auto"/>
        </w:rPr>
        <w:t>21.1</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02/27/2024</w:t>
      </w:r>
      <w:r>
        <w:rPr>
          <w:sz w:val="20"/>
          <w:szCs w:val="20"/>
          <w:color w:val="auto"/>
        </w:rPr>
        <w:tab/>
      </w:r>
      <w:r>
        <w:rPr>
          <w:rFonts w:ascii="Times New Roman" w:cs="Times New Roman" w:eastAsia="Times New Roman" w:hAnsi="Times New Roman"/>
          <w:sz w:val="18"/>
          <w:szCs w:val="18"/>
          <w:color w:val="auto"/>
        </w:rPr>
        <w:t>97.1</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8200" w:space="380"/>
            <w:col w:w="2300"/>
          </w:cols>
          <w:pgMar w:left="340" w:top="999" w:right="679" w:bottom="1440" w:gutter="0" w:footer="0" w:header="0"/>
        </w:sectPr>
      </w:pPr>
    </w:p>
    <w:bookmarkStart w:id="132" w:name="page133"/>
    <w:bookmarkEnd w:id="132"/>
    <w:p>
      <w:pPr>
        <w:ind w:right="240" w:firstLine="8"/>
        <w:spacing w:after="0" w:line="266" w:lineRule="auto"/>
        <w:tabs>
          <w:tab w:leader="none" w:pos="1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 Registrant has determined they are not material and are they type that the Registrant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50" w:lineRule="exact"/>
        <w:rPr>
          <w:sz w:val="20"/>
          <w:szCs w:val="20"/>
          <w:color w:val="auto"/>
        </w:rPr>
      </w:pPr>
    </w:p>
    <w:p>
      <w:pPr>
        <w:ind w:firstLine="8"/>
        <w:spacing w:after="0" w:line="266" w:lineRule="auto"/>
        <w:tabs>
          <w:tab w:leader="none" w:pos="1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53" w:right="579" w:bottom="1440" w:gutter="0" w:footer="0" w:header="0"/>
        </w:sectPr>
      </w:pPr>
    </w:p>
    <w:bookmarkStart w:id="133" w:name="page134"/>
    <w:bookmarkEnd w:id="1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4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BEAM THERAPEUTICS INC.</w:t>
            </w:r>
          </w:p>
        </w:tc>
        <w:tc>
          <w:tcPr>
            <w:tcW w:w="330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4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Pr>
          <w:p>
            <w:pPr>
              <w:jc w:val="center"/>
              <w:ind w:right="2010"/>
              <w:spacing w:after="0"/>
              <w:rPr>
                <w:sz w:val="20"/>
                <w:szCs w:val="20"/>
                <w:color w:val="auto"/>
              </w:rPr>
            </w:pPr>
            <w:r>
              <w:rPr>
                <w:rFonts w:ascii="Times New Roman" w:cs="Times New Roman" w:eastAsia="Times New Roman" w:hAnsi="Times New Roman"/>
                <w:sz w:val="18"/>
                <w:szCs w:val="18"/>
                <w:color w:val="auto"/>
                <w:w w:val="99"/>
              </w:rPr>
              <w:t>/s/ John Evans</w:t>
            </w:r>
          </w:p>
        </w:tc>
      </w:tr>
      <w:tr>
        <w:trPr>
          <w:trHeight w:val="211"/>
        </w:trPr>
        <w:tc>
          <w:tcPr>
            <w:tcW w:w="3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John Evans</w:t>
            </w:r>
          </w:p>
        </w:tc>
      </w:tr>
    </w:tbl>
    <w:p>
      <w:pPr>
        <w:ind w:left="7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52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Evans</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Evans</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Sravan Emany</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Sravan Emany</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Bethany Cavanagh</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Treasurer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Bethany Cavanagh</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Graham Cooper</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Graham Cooper</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Fishman</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Fishman, M.D.</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Chirfi Guindo</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Chirfi Guindo</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Ho</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Carole Ho, M.D.</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Maraganore</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Maraganore, Ph.D.</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 Shaw</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Christi Shaw</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1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Kathleen Walsh</w:t>
            </w:r>
          </w:p>
        </w:tc>
        <w:tc>
          <w:tcPr>
            <w:tcW w:w="24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32"/>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Kathleen Walsh</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626"/>
        </w:trPr>
        <w:tc>
          <w:tcPr>
            <w:tcW w:w="3460" w:type="dxa"/>
            <w:vAlign w:val="bottom"/>
          </w:tcPr>
          <w:p>
            <w:pPr>
              <w:spacing w:after="0"/>
              <w:rPr>
                <w:sz w:val="24"/>
                <w:szCs w:val="24"/>
                <w:color w:val="auto"/>
              </w:rPr>
            </w:pPr>
          </w:p>
        </w:tc>
        <w:tc>
          <w:tcPr>
            <w:tcW w:w="5440" w:type="dxa"/>
            <w:vAlign w:val="bottom"/>
            <w:gridSpan w:val="2"/>
          </w:tcPr>
          <w:p>
            <w:pPr>
              <w:jc w:val="right"/>
              <w:ind w:right="305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20" w:type="dxa"/>
            <w:vAlign w:val="bottom"/>
            <w:gridSpan w:val="5"/>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No. 34)</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20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3540" w:type="dxa"/>
            <w:vAlign w:val="bottom"/>
            <w:tcBorders>
              <w:top w:val="single" w:sz="8" w:color="0000FF"/>
            </w:tcBorders>
            <w:gridSpan w:val="7"/>
          </w:tcPr>
          <w:p>
            <w:pPr>
              <w:spacing w:after="0"/>
              <w:rPr>
                <w:sz w:val="17"/>
                <w:szCs w:val="17"/>
                <w:color w:val="auto"/>
              </w:rPr>
            </w:pPr>
          </w:p>
        </w:tc>
        <w:tc>
          <w:tcPr>
            <w:tcW w:w="3880" w:type="dxa"/>
            <w:vAlign w:val="bottom"/>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20" w:type="dxa"/>
            <w:vAlign w:val="bottom"/>
          </w:tcPr>
          <w:p>
            <w:pPr>
              <w:spacing w:after="0"/>
              <w:rPr>
                <w:sz w:val="17"/>
                <w:szCs w:val="17"/>
                <w:color w:val="auto"/>
              </w:rPr>
            </w:pPr>
          </w:p>
        </w:tc>
        <w:tc>
          <w:tcPr>
            <w:tcW w:w="94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other comprehensive loss</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34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460" w:type="dxa"/>
            <w:vAlign w:val="bottom"/>
            <w:tcBorders>
              <w:top w:val="single" w:sz="8" w:color="0000FF"/>
            </w:tcBorders>
          </w:tcPr>
          <w:p>
            <w:pPr>
              <w:spacing w:after="0"/>
              <w:rPr>
                <w:sz w:val="17"/>
                <w:szCs w:val="17"/>
                <w:color w:val="auto"/>
              </w:rPr>
            </w:pPr>
          </w:p>
        </w:tc>
        <w:tc>
          <w:tcPr>
            <w:tcW w:w="4540" w:type="dxa"/>
            <w:vAlign w:val="bottom"/>
            <w:gridSpan w:val="3"/>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20" w:type="dxa"/>
            <w:vAlign w:val="bottom"/>
            <w:tcBorders>
              <w:bottom w:val="single" w:sz="8" w:color="0000EE"/>
            </w:tcBorders>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7"/>
                <w:szCs w:val="17"/>
                <w:color w:val="auto"/>
              </w:rPr>
            </w:pPr>
          </w:p>
        </w:tc>
        <w:tc>
          <w:tcPr>
            <w:tcW w:w="6680" w:type="dxa"/>
            <w:vAlign w:val="bottom"/>
            <w:gridSpan w:val="6"/>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20" w:type="dxa"/>
            <w:vAlign w:val="bottom"/>
          </w:tcPr>
          <w:p>
            <w:pPr>
              <w:spacing w:after="0"/>
              <w:rPr>
                <w:sz w:val="17"/>
                <w:szCs w:val="17"/>
                <w:color w:val="auto"/>
              </w:rPr>
            </w:pPr>
          </w:p>
        </w:tc>
        <w:tc>
          <w:tcPr>
            <w:tcW w:w="94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453"/>
        </w:trPr>
        <w:tc>
          <w:tcPr>
            <w:tcW w:w="20" w:type="dxa"/>
            <w:vAlign w:val="bottom"/>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gridSpan w:val="2"/>
          </w:tcPr>
          <w:p>
            <w:pPr>
              <w:jc w:val="center"/>
              <w:ind w:right="3600"/>
              <w:spacing w:after="0"/>
              <w:rPr>
                <w:sz w:val="20"/>
                <w:szCs w:val="20"/>
                <w:color w:val="auto"/>
              </w:rPr>
            </w:pPr>
            <w:r>
              <w:rPr>
                <w:rFonts w:ascii="Times New Roman" w:cs="Times New Roman" w:eastAsia="Times New Roman" w:hAnsi="Times New Roman"/>
                <w:sz w:val="18"/>
                <w:szCs w:val="18"/>
                <w:color w:val="auto"/>
                <w:w w:val="95"/>
              </w:rPr>
              <w:t>F-1</w:t>
            </w:r>
          </w:p>
        </w:tc>
        <w:tc>
          <w:tcPr>
            <w:tcW w:w="17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5" w:name="page136"/>
    <w:bookmarkEnd w:id="135"/>
    <w:p>
      <w:pPr>
        <w:ind w:right="2540" w:firstLine="2532"/>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the Financial Statements</w:t>
      </w:r>
    </w:p>
    <w:p>
      <w:pPr>
        <w:spacing w:after="0" w:line="2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Beam Therapeutics Inc. and subsidiaries (the "Company") as of December 31, 2024 and 2023, the related consolidated statements of operations and other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issued by the Committee of Sponsoring Organizations of the Treadway Commission and our report dated February 25, 2025,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1" w:lineRule="exact"/>
        <w:rPr>
          <w:sz w:val="20"/>
          <w:szCs w:val="20"/>
          <w:color w:val="auto"/>
        </w:rPr>
      </w:pPr>
    </w:p>
    <w:p>
      <w:pPr>
        <w:ind w:right="44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Estimates – Refer to Notes 2 and 6 to the financial statements </w:t>
      </w:r>
      <w:r>
        <w:rPr>
          <w:rFonts w:ascii="Times New Roman" w:cs="Times New Roman" w:eastAsia="Times New Roman" w:hAnsi="Times New Roman"/>
          <w:sz w:val="18"/>
          <w:szCs w:val="18"/>
          <w:i w:val="1"/>
          <w:iCs w:val="1"/>
          <w:color w:val="auto"/>
        </w:rPr>
        <w:t>Critical Audit Matter Description</w:t>
      </w:r>
    </w:p>
    <w:p>
      <w:pPr>
        <w:ind w:right="16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$367.6 million of research and development expenses, including accrued liabilities of $14.7 million as of December 31, 2024. As disclosed in Note 2 to the financial statements, the Company expenses research and development costs, which include external costs relating to preclinical, clinical, and process development and manufacturing activities, as incurred. Research and development activities performed by service providers are accrued and expensed based upon estimates of the proportion of work completed over the term of the individual arrangements. Estimates are determined by reviewing vendor agreements and purchase orders, and through discussions with internal personnel and external service providers as to the progress or stage of completion of services and the agreed-upon fee to be paid for such services. Amounts paid to these third parties in excess of recognized expenses are recorded as prepaid costs.</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identified auditing the estimates of the extent of work performed by research and development service providers as a critical audit matter because of the level of management judgment required and volume of such estimates made by management. This required a high degree of auditor judgment and an increased extent of effort when performing audit procedures to evaluate the reasonableness of management’s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external research and development expenses included the following, among others: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6" w:name="page137"/>
    <w:bookmarkEnd w:id="136"/>
    <w:p>
      <w:pPr>
        <w:ind w:left="300" w:hanging="14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controls over the estimation of accrued and prepaid research and development costs.</w:t>
      </w:r>
    </w:p>
    <w:p>
      <w:pPr>
        <w:spacing w:after="0" w:line="117" w:lineRule="exact"/>
        <w:rPr>
          <w:rFonts w:ascii="Times New Roman" w:cs="Times New Roman" w:eastAsia="Times New Roman" w:hAnsi="Times New Roman"/>
          <w:sz w:val="18"/>
          <w:szCs w:val="18"/>
          <w:color w:val="auto"/>
        </w:rPr>
      </w:pPr>
    </w:p>
    <w:p>
      <w:pPr>
        <w:ind w:left="300" w:hanging="14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underlying data used in the estimates.</w:t>
      </w:r>
    </w:p>
    <w:p>
      <w:pPr>
        <w:spacing w:after="0" w:line="117" w:lineRule="exact"/>
        <w:rPr>
          <w:rFonts w:ascii="Times New Roman" w:cs="Times New Roman" w:eastAsia="Times New Roman" w:hAnsi="Times New Roman"/>
          <w:sz w:val="18"/>
          <w:szCs w:val="18"/>
          <w:color w:val="auto"/>
        </w:rPr>
      </w:pPr>
    </w:p>
    <w:p>
      <w:pPr>
        <w:ind w:left="300" w:right="2880" w:hanging="142"/>
        <w:spacing w:after="0" w:line="375" w:lineRule="auto"/>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service providers performing research and development activities, we performed the following: o Inspected the contracts and any amendments to the contracts with the service providers.</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appropriateness of the method used by management to develop the estimates of the costs incurred to date.</w:t>
      </w:r>
    </w:p>
    <w:p>
      <w:pPr>
        <w:spacing w:after="0" w:line="117" w:lineRule="exact"/>
        <w:rPr>
          <w:rFonts w:ascii="Times New Roman" w:cs="Times New Roman" w:eastAsia="Times New Roman" w:hAnsi="Times New Roman"/>
          <w:sz w:val="18"/>
          <w:szCs w:val="18"/>
          <w:color w:val="auto"/>
        </w:rPr>
      </w:pPr>
    </w:p>
    <w:p>
      <w:pPr>
        <w:ind w:left="460" w:right="260" w:hanging="14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Performed corroborating inquiries with the Company's research and development personnel and inspected information from the service providers, which may include the service providers’ estimate of the costs incurred to date, to evaluate the progress of the activity.</w:t>
      </w:r>
    </w:p>
    <w:p>
      <w:pPr>
        <w:spacing w:after="0" w:line="53"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Inspected the evidence of payments to the service providers related to the research activities performed.</w:t>
      </w:r>
    </w:p>
    <w:p>
      <w:pPr>
        <w:spacing w:after="0" w:line="113" w:lineRule="exact"/>
        <w:rPr>
          <w:sz w:val="20"/>
          <w:szCs w:val="20"/>
          <w:color w:val="auto"/>
        </w:rPr>
      </w:pPr>
    </w:p>
    <w:p>
      <w:pPr>
        <w:ind w:right="55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Revenue Recognition – Refer to Notes 2 and 11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recognized revenue of $63.5 million. As discussed in Note 2 to the consolidated financial statements, at inception, the Company determines whether contracts are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For performance obligations where revenue is recognized over time, the Company evaluates the measure of progress each reporting period and, if necessary, adjusts the measure of performance and related revenue recognition. The Company generally recognizes revenue using the cost incurred to date as compared to the total estimated cost.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w:t>
      </w:r>
    </w:p>
    <w:p>
      <w:pPr>
        <w:spacing w:after="0" w:line="8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identified revenue recognition as a critical audit matter because of the judgments necessary for management to estimate total costs to satisfy the applicable performance obligation under the contract. This required a high degree of auditor judgment when performing audit procedures to audit management’s estimates of total costs and evaluating the results of those procedures.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revenue included the following, among others:</w:t>
      </w:r>
    </w:p>
    <w:p>
      <w:pPr>
        <w:spacing w:after="0" w:line="117" w:lineRule="exact"/>
        <w:rPr>
          <w:sz w:val="20"/>
          <w:szCs w:val="20"/>
          <w:color w:val="auto"/>
        </w:rPr>
      </w:pPr>
    </w:p>
    <w:p>
      <w:pPr>
        <w:ind w:left="300" w:right="200" w:hanging="142"/>
        <w:spacing w:after="0" w:line="282" w:lineRule="auto"/>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revenue recognition, including management’s controls over the estimates of total costs to satisfy the performance obligation.</w:t>
      </w:r>
    </w:p>
    <w:p>
      <w:pPr>
        <w:spacing w:after="0" w:line="53" w:lineRule="exact"/>
        <w:rPr>
          <w:rFonts w:ascii="Times New Roman" w:cs="Times New Roman" w:eastAsia="Times New Roman" w:hAnsi="Times New Roman"/>
          <w:sz w:val="18"/>
          <w:szCs w:val="18"/>
          <w:color w:val="auto"/>
        </w:rPr>
      </w:pPr>
    </w:p>
    <w:p>
      <w:pPr>
        <w:ind w:left="300" w:hanging="142"/>
        <w:spacing w:after="0"/>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a selection of revenue contracts and performed the following:</w:t>
      </w:r>
    </w:p>
    <w:p>
      <w:pPr>
        <w:spacing w:after="0" w:line="11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 obtained and read the relevant contracts and other documents related to the revenue transactions.</w:t>
      </w:r>
    </w:p>
    <w:p>
      <w:pPr>
        <w:spacing w:after="0" w:line="117" w:lineRule="exact"/>
        <w:rPr>
          <w:sz w:val="20"/>
          <w:szCs w:val="20"/>
          <w:color w:val="auto"/>
        </w:rPr>
      </w:pPr>
    </w:p>
    <w:p>
      <w:pPr>
        <w:ind w:left="460" w:hanging="1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accounting analysis for the applicable contract, including the application to the relevant authoritative guidance.</w:t>
      </w:r>
    </w:p>
    <w:p>
      <w:pPr>
        <w:spacing w:after="0" w:line="117" w:lineRule="exact"/>
        <w:rPr>
          <w:rFonts w:ascii="Times New Roman" w:cs="Times New Roman" w:eastAsia="Times New Roman" w:hAnsi="Times New Roman"/>
          <w:sz w:val="18"/>
          <w:szCs w:val="18"/>
          <w:color w:val="auto"/>
        </w:rPr>
      </w:pPr>
    </w:p>
    <w:p>
      <w:pPr>
        <w:ind w:left="460" w:hanging="1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amount of revenue recognized, including when applicable, the measurement of progress for revenue that is recognized over time.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tested management’s estimate of the total cost of fulfilling the performance obligation, including retrospective reviews of the changes in such estimates over time.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7" w:name="page138"/>
    <w:bookmarkEnd w:id="1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281,967</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435,895</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568,773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753,981</w:t>
            </w: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27,409</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21,167</w:t>
            </w:r>
          </w:p>
        </w:tc>
      </w:tr>
      <w:tr>
        <w:trPr>
          <w:trHeight w:val="210"/>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878,149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1,211,043</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111,412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124,960</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8,719</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104,865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112,846</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2,146</w:t>
            </w:r>
          </w:p>
        </w:tc>
      </w:tr>
      <w:tr>
        <w:trPr>
          <w:trHeight w:val="249"/>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1,103,824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1,459,714</w:t>
            </w:r>
          </w:p>
        </w:tc>
      </w:tr>
      <w:tr>
        <w:trPr>
          <w:trHeight w:val="197"/>
        </w:trPr>
        <w:tc>
          <w:tcPr>
            <w:tcW w:w="77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47,468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111,664</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derivative liabilities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10,800</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108,858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68,706</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13,469</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12,778</w:t>
            </w:r>
          </w:p>
        </w:tc>
      </w:tr>
      <w:tr>
        <w:trPr>
          <w:trHeight w:val="209"/>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182,066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205,565</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147,956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159,911</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2,723</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deferred revenue</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109,888</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derivative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298</w:t>
            </w:r>
          </w:p>
        </w:tc>
      </w:tr>
      <w:tr>
        <w:trPr>
          <w:trHeight w:val="210"/>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370,279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478,385</w:t>
            </w:r>
          </w:p>
        </w:tc>
      </w:tr>
      <w:tr>
        <w:trPr>
          <w:trHeight w:val="196"/>
        </w:trPr>
        <w:tc>
          <w:tcPr>
            <w:tcW w:w="77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 xml:space="preserve">Commitments and contingencies (See Note 9,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Collaboration and</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98"/>
        </w:trPr>
        <w:tc>
          <w:tcPr>
            <w:tcW w:w="77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25,000,000 shares authorized, and no shares issued or outstanding at</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250,000,000 shares authorized, 83,633,069 and 81,632,496 issued</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outstanding at December 31, 2024 and December 31, 2023, respectively</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2,298,661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2,169,798</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(1,566,631 )</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(1,189,889 )</w:t>
            </w:r>
          </w:p>
        </w:tc>
      </w:tr>
      <w:tr>
        <w:trPr>
          <w:trHeight w:val="210"/>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733,545</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981,329</w:t>
            </w:r>
          </w:p>
        </w:tc>
      </w:tr>
      <w:tr>
        <w:trPr>
          <w:trHeight w:val="210"/>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1,103,824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1,459,714</w:t>
            </w:r>
          </w:p>
        </w:tc>
      </w:tr>
      <w:tr>
        <w:trPr>
          <w:trHeight w:val="20"/>
        </w:trPr>
        <w:tc>
          <w:tcPr>
            <w:tcW w:w="7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-4491355</wp:posOffset>
            </wp:positionV>
            <wp:extent cx="102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-3651250</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-3634105</wp:posOffset>
            </wp:positionV>
            <wp:extent cx="1028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8" w:name="page139"/>
    <w:bookmarkEnd w:id="1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Other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3"/>
                <w:szCs w:val="13"/>
                <w:color w:val="auto"/>
              </w:rPr>
            </w:pPr>
          </w:p>
        </w:tc>
        <w:tc>
          <w:tcPr>
            <w:tcW w:w="11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63,518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377,709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60,920</w:t>
            </w: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367,561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437,381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311,594</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111,525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116,813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87,805</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479,086</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554,194</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399,399</w:t>
            </w: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(415,568 )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(176,485 )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(338,479 )</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23,900</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20,200</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2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18,904</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49,094</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46,676</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09"/>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38,865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45,324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78,301</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(376,703 )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(131,161 )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(260,178 )</w:t>
            </w: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(3,410 )</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(25,500 )</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(376,742 )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(132,527 )</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3,034</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(2,380 )</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(376,667 )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(129,493 )</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(291,468 )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(4.58 )</w:t>
            </w:r>
          </w:p>
        </w:tc>
        <w:tc>
          <w:tcPr>
            <w:tcW w:w="42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(1.72 )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196"/>
        </w:trPr>
        <w:tc>
          <w:tcPr>
            <w:tcW w:w="67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82,313,008</w:t>
            </w: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77,151,771</w:t>
            </w: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70,015,305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-2211070</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-2211070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-1379220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-1379220</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-1087755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-1087755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-805180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-805180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-496570</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-496570</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9" w:name="page140"/>
    <w:bookmarkEnd w:id="1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020" w:type="dxa"/>
            <w:vAlign w:val="bottom"/>
            <w:gridSpan w:val="5"/>
            <w:vMerge w:val="restart"/>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540" w:type="dxa"/>
            <w:vAlign w:val="bottom"/>
          </w:tcPr>
          <w:p>
            <w:pPr>
              <w:spacing w:after="0"/>
              <w:rPr>
                <w:sz w:val="13"/>
                <w:szCs w:val="13"/>
                <w:color w:val="auto"/>
              </w:rPr>
            </w:pPr>
          </w:p>
        </w:tc>
        <w:tc>
          <w:tcPr>
            <w:tcW w:w="2020" w:type="dxa"/>
            <w:vAlign w:val="bottom"/>
            <w:tcBorders>
              <w:bottom w:val="single" w:sz="8" w:color="auto"/>
            </w:tcBorders>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9"/>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68,389,425</w:t>
            </w:r>
          </w:p>
        </w:tc>
        <w:tc>
          <w:tcPr>
            <w:tcW w:w="3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684</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1,594,378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(50 )</w:t>
            </w: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(768,274 )</w:t>
            </w: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826,738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from At-the-Market offering, net of issuance</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1,909,103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108,057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108,076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costs of $2.7 million</w:t>
            </w: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424,303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84,321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484,435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(2,380 )</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(2,380 )</w:t>
            </w:r>
          </w:p>
        </w:tc>
        <w:tc>
          <w:tcPr>
            <w:tcW w:w="0" w:type="dxa"/>
            <w:vAlign w:val="bottom"/>
          </w:tcPr>
          <w:p>
            <w:pPr>
              <w:spacing w:after="0"/>
              <w:rPr>
                <w:sz w:val="1"/>
                <w:szCs w:val="1"/>
                <w:color w:val="auto"/>
              </w:rPr>
            </w:pPr>
          </w:p>
        </w:tc>
      </w:tr>
      <w:tr>
        <w:trPr>
          <w:trHeight w:val="149"/>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(289,088 )</w:t>
            </w:r>
          </w:p>
        </w:tc>
        <w:tc>
          <w:tcPr>
            <w:tcW w:w="16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(289,088 )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71,277,339</w:t>
            </w:r>
          </w:p>
        </w:tc>
        <w:tc>
          <w:tcPr>
            <w:tcW w:w="220" w:type="dxa"/>
            <w:vAlign w:val="bottom"/>
            <w:gridSpan w:val="2"/>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1,792,554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(2,430 )</w:t>
            </w: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(1,057,362 )</w:t>
            </w: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733,474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40" w:type="dxa"/>
            <w:vAlign w:val="bottom"/>
            <w:tcBorders>
              <w:top w:val="single" w:sz="8" w:color="CFF0FC"/>
            </w:tcBorders>
          </w:tcPr>
          <w:p>
            <w:pPr>
              <w:ind w:left="200"/>
              <w:spacing w:after="0" w:line="12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130,403</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3,031</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3,032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54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from At-the-Market offering, net of issuance</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6,952,703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235,868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235,938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costs of $6.1 million</w:t>
            </w: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unregistered common shares in connection with license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2,004,811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agreement</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469,531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797,709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6,123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(132,527 )</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(132,527 )</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81,632,496</w:t>
            </w:r>
          </w:p>
        </w:tc>
        <w:tc>
          <w:tcPr>
            <w:tcW w:w="220" w:type="dxa"/>
            <w:vAlign w:val="bottom"/>
            <w:gridSpan w:val="2"/>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816</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2,169,798</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604</w:t>
            </w:r>
          </w:p>
        </w:tc>
        <w:tc>
          <w:tcPr>
            <w:tcW w:w="220" w:type="dxa"/>
            <w:vAlign w:val="bottom"/>
          </w:tcPr>
          <w:p>
            <w:pPr>
              <w:spacing w:after="0"/>
              <w:rPr>
                <w:sz w:val="12"/>
                <w:szCs w:val="12"/>
                <w:color w:val="auto"/>
              </w:rPr>
            </w:pPr>
          </w:p>
        </w:tc>
        <w:tc>
          <w:tcPr>
            <w:tcW w:w="160" w:type="dxa"/>
            <w:vAlign w:val="bottom"/>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(1,189,889 )</w:t>
            </w:r>
          </w:p>
        </w:tc>
        <w:tc>
          <w:tcPr>
            <w:tcW w:w="160" w:type="dxa"/>
            <w:vAlign w:val="bottom"/>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981,329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135,187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2,620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1,302,037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120,662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563,349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(376,742 )</w:t>
            </w:r>
          </w:p>
        </w:tc>
        <w:tc>
          <w:tcPr>
            <w:tcW w:w="16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(376,742 )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83,633,069</w:t>
            </w:r>
          </w:p>
        </w:tc>
        <w:tc>
          <w:tcPr>
            <w:tcW w:w="220" w:type="dxa"/>
            <w:vAlign w:val="bottom"/>
            <w:gridSpan w:val="2"/>
            <w:shd w:val="clear" w:color="auto" w:fill="CFF0FC"/>
          </w:tcPr>
          <w:p>
            <w:pPr>
              <w:spacing w:after="0"/>
              <w:rPr>
                <w:sz w:val="14"/>
                <w:szCs w:val="14"/>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2,298,661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(1,566,631 )</w:t>
            </w: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733,545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-1790700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-1774190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-1790700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-1774190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-1790700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-1774190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-1790700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-1774190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-1790700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-1774190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-822325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-822325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-822325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-822325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-822325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17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3"/>
                <w:szCs w:val="13"/>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(376,742 )</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(132,527 )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(289,088 )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investment discount (premiums)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(22,765 )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(29,743 )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(9,410 )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120,662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(7,500 )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(23,900 )</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(9,740 )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(18,904 )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(20,200 )</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(5,349 )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(6,473 )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(7,753 )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(7,578 )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(57,685 )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(16,933 )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(10,168 )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Collaboration receivable</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(36,518 )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(159,559 )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(35,920 )</w:t>
            </w:r>
          </w:p>
        </w:tc>
        <w:tc>
          <w:tcPr>
            <w:tcW w:w="0" w:type="dxa"/>
            <w:vAlign w:val="bottom"/>
          </w:tcPr>
          <w:p>
            <w:pPr>
              <w:spacing w:after="0"/>
              <w:rPr>
                <w:sz w:val="1"/>
                <w:szCs w:val="1"/>
                <w:color w:val="auto"/>
              </w:rPr>
            </w:pPr>
          </w:p>
        </w:tc>
      </w:tr>
      <w:tr>
        <w:trPr>
          <w:trHeight w:val="216"/>
        </w:trPr>
        <w:tc>
          <w:tcPr>
            <w:tcW w:w="6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(347,246 )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(149,195 )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(33,732 )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(48,951 )</w:t>
            </w: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(486,439 )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(984,338 )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(1,616,999 )</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680,392</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1,089,910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1,204,614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(461,336 )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shares, net of commissions</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issuances of stock under ESPP</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 of equity offering costs</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(631 )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financings, net</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(2,252 )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(2,287 )</w:t>
            </w: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private stock issuance</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gridSpan w:val="2"/>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276,448</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6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(154,503 )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(327,219 )</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160" w:type="dxa"/>
            <w:vAlign w:val="bottom"/>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-1696720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-1696720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-591185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1" w:name="page142"/>
    <w:bookmarkEnd w:id="1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84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additions in accounts payable and accrued expenses</w:t>
            </w:r>
          </w:p>
        </w:tc>
        <w:tc>
          <w:tcPr>
            <w:tcW w:w="840" w:type="dxa"/>
            <w:vAlign w:val="bottom"/>
            <w:tcBorders>
              <w:bottom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FF0FC"/>
              <w:right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840" w:type="dxa"/>
            <w:vAlign w:val="bottom"/>
          </w:tcPr>
          <w:p>
            <w:pPr>
              <w:jc w:val="right"/>
              <w:ind w:right="634"/>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94"/>
              </w:rPr>
              <w:t>(1,626 )</w:t>
            </w:r>
          </w:p>
        </w:tc>
        <w:tc>
          <w:tcPr>
            <w:tcW w:w="44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3,852</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41,050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Non-cash contribution of intellectual property to Orbital Therapeutics, Inc.</w:t>
            </w:r>
          </w:p>
        </w:tc>
        <w:tc>
          <w:tcPr>
            <w:tcW w:w="120" w:type="dxa"/>
            <w:vAlign w:val="bottom"/>
            <w:vMerge w:val="continue"/>
          </w:tcPr>
          <w:p>
            <w:pPr>
              <w:spacing w:after="0"/>
              <w:rPr>
                <w:sz w:val="20"/>
                <w:szCs w:val="20"/>
                <w:color w:val="auto"/>
              </w:rPr>
            </w:pPr>
          </w:p>
        </w:tc>
        <w:tc>
          <w:tcPr>
            <w:tcW w:w="840" w:type="dxa"/>
            <w:vAlign w:val="bottom"/>
            <w:tcBorders>
              <w:bottom w:val="single" w:sz="8" w:color="auto"/>
            </w:tcBorders>
            <w:shd w:val="clear" w:color="auto" w:fill="CFF0FC"/>
          </w:tcPr>
          <w:p>
            <w:pPr>
              <w:jc w:val="right"/>
              <w:ind w:right="634"/>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vMerge w:val="continue"/>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25,500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-350520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-333375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-350520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-333375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making arrangements to conduct manufacturing activities with contract manufacturing organizations, research and development costs including preclinical studies and IND-enabling studies, organizing and staffing the Company, maintaining its facilities and new facility build-outs, business planning, raising capital and providing general and administrative support for these operations. The Company has established internal manufacturing capabilities.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entered into an at the market sales agreement, or the Sales Agreement, with Jefferies LLC, or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There were no shares sold under the Sales Agreement during the year ended December 31, 2024. As of December 31, 2024, the Company has sold 13,769,001 shares of its common stock under the Sales Agreement at an average price of $62.75 per share for aggregate gross proceeds of $864.0 million, before deducting commissions and offering expenses payable by it.</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had an accumulated deficit of $1.6 billion as of December 31, 2024. The Company expects to generate operating losses and negative operating cash flows for the foreseeable future.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as of December 31, 2024 of $850.7 million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or GAAP. Any reference in these notes to applicable guidance is meant to refer to the authoritative GAAP as found in the Accounting Standards Codification, or ASC, of the Financial Accounting Standards Board, or the FASB.</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operations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43" w:name="page144"/>
    <w:bookmarkEnd w:id="143"/>
    <w:p>
      <w:pPr>
        <w:ind w:right="60"/>
        <w:spacing w:after="0" w:line="266" w:lineRule="auto"/>
        <w:rPr>
          <w:sz w:val="20"/>
          <w:szCs w:val="20"/>
          <w:color w:val="auto"/>
        </w:rPr>
      </w:pPr>
      <w:r>
        <w:rPr>
          <w:rFonts w:ascii="Times New Roman" w:cs="Times New Roman" w:eastAsia="Times New Roman" w:hAnsi="Times New Roman"/>
          <w:sz w:val="18"/>
          <w:szCs w:val="18"/>
          <w:color w:val="auto"/>
        </w:rPr>
        <w:t>financial statements include, but are not limited to, incremental borrowing rate used in the calculation of lease liabilities, research and development expenses, stock-based compensation, contingent consideration liabilities, success payments and other derivative liabilities, settlement payments and certain judgments regarding revenue recognition. Actual results could differ from these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facilities.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reported within the Company’s consolidated balance sheets to the total of the amounts shown in the consolidated statements of cash flows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281,967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435,895</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classifies marketable debt securities as available-for-sale and includes such securities within marketable securities in the Company’s consolidated balance sheets. Available-for-sale securities consist of commercial paper, high-grade corporate notes, U.S. Treasury securities and government securities. Available-for-sale securities are carried at fair value with the unrealized gains and losses included in accumulated other comprehensive income as a component of stockholders’ equity until realized. Any premium or discount arising at purchase is amortized and/or accreted to interest income and/or expensed over the life of the instrument. Realized gains and losses are determined using the specific identification method and are included in interest and other income (expense), net.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equity securities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classifies investments in equity securities that have a readily determinable fair value as marketable securities in the Company's consolidated balance sheets. The Company’s marketable securities are stated at fair value. Typically, the fair value of these securities is based on a quoted price for an identical equity security. The Company records changes in the fair value of its equity securities in other income (expense), net in its consolidated statements of operations and other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Financial instruments that are potentially subject to significant concentration of credit risk consist primarily of cash, cash equivalents, marketable securities, and restricted cash. The Company attempts to minimize the risk related to marketable securities by working with highly rated financial institutions that invest in a broad and diverse range of financial instruments.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For the years ended December 31, 2024, 2023 and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 costs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capitalizes incremental legal, professional, accounting and other third-party fees that were directly associated with its stock offerings as other non-current assets until the offerings are consummated. Upon consummation, these costs are recorded in stockholders’ equity as a reduction of additional paid-in-capital generated as a result of the offerings.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or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independent sources.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17"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54"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5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5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during the years ended December 31, 2024 and 2023. The Company evaluates transfers between levels at the end of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20" w:type="dxa"/>
            <w:vAlign w:val="bottom"/>
          </w:tcPr>
          <w:p>
            <w:pPr>
              <w:spacing w:after="0"/>
              <w:rPr>
                <w:sz w:val="15"/>
                <w:szCs w:val="15"/>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5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6"/>
                <w:szCs w:val="16"/>
                <w:color w:val="auto"/>
              </w:rPr>
            </w:pPr>
          </w:p>
        </w:tc>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 and office furniture</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useful life or remaining term</w:t>
            </w:r>
          </w:p>
        </w:tc>
      </w:tr>
    </w:tbl>
    <w:p>
      <w:pPr>
        <w:spacing w:after="0" w:line="1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interest and other income (expense). Expenditures for repairs and maintenance are charged to expense as incurred.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operating lease right-of-use assets, for impairment whenever events or changes in circumstances indicate that the carrying amount of such assets (or asset groups)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2024, 2023 and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Freestanding financial instruments and derivatives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a license agreement between the President and Fellows of Harvard College, or Harvard, and the Company, or the Harvard License Agreement, and a license agreement with The Broad Institute, Inc., or Broad Institute, and the Company, or the Broad License Agreement, (see Note 9), the Company is required to make success payments to Harvard and Broad Institute based the achievement of specified multiples of the initial weighted average value of the Company’s redeemable convertible Series A-1 Preferred Stock and the Company’s redeemable convertible Series A-2 Preferred Stock, or together the Series A Preferred, at specified valuation dates, payable in cash or Company common stock. Subsequent to the IPO, the amount of the success payments is based on the market value of Beam’s common stock. Pursuant to a settlement agreement between a research institution and the Company, in exchange for a release of claims in its favor, the Company agreed, among other things, to pay the research institution an upfront payment and to make additional payments contingent upon the development and commercialization of BEAM-102 and BEAM-302. These contingent payments consist of certain development, regulatory, and sales-based milestone payments, as well as 1% royalty through 2038. Any amounts due must be settled in cash.</w:t>
      </w:r>
    </w:p>
    <w:p>
      <w:pPr>
        <w:spacing w:after="0" w:line="7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The success and settlement payments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The liabilities are recorded at fair value at each balance sheet date with all changes in value recognized in other income (expense), in the consolidated statement of operations and other comprehensive loss. The Company will continue to adjust the liabilities for changes in fair value until the earlier of the achievement or expiration of the obligations. To determine the estimated fair value of the success payments, the Company used a Monte Carlo simulation model, which models the value of the liability based on several key variables, including probability of event occurrence, timing of event occurrence, as well as the value of the Series A Preferred, prior to the IPO, and the value of the Company’s common stock, subsequent to the IPO.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rent expense</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using a right-of-use, or ROU, model, which recognizes that, at the date of commencement, a lessee has a financial obligation to make lease payments to the lessor for the right to use the underlying asset during the lease term.</w:t>
      </w:r>
    </w:p>
    <w:p>
      <w:pPr>
        <w:spacing w:after="0" w:line="5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ROU assets and short-term and long-term lease liabilities, as applicable. ROU assets represent the Company’s right to use an underlying asset for the lease term and lease liabilities represent its obligation to make lease payments arising from the lease. The Company typically only includes an initial lease term in its assessment of the term of the lease arrangement. It also considers termination options and factors those into the determination of lease payments. Options to renew a lease are not included in the lease term unless there is reasonable certainty that the Company will renew.</w:t>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Lease expense for operating lease payments is recognized on a straight-line basis over the lease term.</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required to pay fees for operating expenses in addition to monthly base rent for certain operating leases (non-lease components). The Company has elected the practical expedient which allows non-lease components to be combined with lease components for all current asset classes. Variable lease payments are not included within the lease right-of-use asset and lease liability on the consolidated balance sheet, and instead are reflected as expense in the period they are incurred.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6" w:name="page147"/>
    <w:bookmarkEnd w:id="146"/>
    <w:p>
      <w:pPr>
        <w:ind w:right="20"/>
        <w:spacing w:after="0" w:line="266" w:lineRule="auto"/>
        <w:rPr>
          <w:sz w:val="20"/>
          <w:szCs w:val="20"/>
          <w:color w:val="auto"/>
        </w:rPr>
      </w:pPr>
      <w:r>
        <w:rPr>
          <w:rFonts w:ascii="Times New Roman" w:cs="Times New Roman" w:eastAsia="Times New Roman" w:hAnsi="Times New Roman"/>
          <w:sz w:val="18"/>
          <w:szCs w:val="18"/>
          <w:color w:val="auto"/>
        </w:rPr>
        <w:t>Leasehold improvements are not unique and are retained by the lessor at the end of the lease. However, in the case of a space designed to be suitable for the Company’s specific real estate needs and if the Company is responsible for cost overruns, the Company is the accounting owner of the leasehold improvements and costs associated are capitalized.</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real estate operating leases provide for scheduled annual rent increases throughout the lease terms. The Company recognizes the effects of the scheduled rent increases on a straight-line basis over the full terms of the lease. Tenant improvement allowances, if any, provided by a landlord are recorded as a reduction of the ROU asset related to that lease at lease commencement.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spacing w:after="0" w:line="72" w:lineRule="exact"/>
        <w:rPr>
          <w:sz w:val="20"/>
          <w:szCs w:val="20"/>
          <w:color w:val="auto"/>
        </w:rPr>
      </w:pPr>
    </w:p>
    <w:p>
      <w:pPr>
        <w:ind w:right="960"/>
        <w:spacing w:after="0" w:line="375" w:lineRule="auto"/>
        <w:rPr>
          <w:sz w:val="20"/>
          <w:szCs w:val="20"/>
          <w:color w:val="auto"/>
        </w:rPr>
      </w:pPr>
      <w:r>
        <w:rPr>
          <w:rFonts w:ascii="Times New Roman" w:cs="Times New Roman" w:eastAsia="Times New Roman" w:hAnsi="Times New Roman"/>
          <w:sz w:val="18"/>
          <w:szCs w:val="18"/>
          <w:color w:val="auto"/>
        </w:rPr>
        <w:t xml:space="preserve">At the time of acquisition, the Company determines if a transaction should be accounted for as a business combination or acquisition of assets. </w:t>
      </w:r>
      <w:r>
        <w:rPr>
          <w:rFonts w:ascii="Times New Roman" w:cs="Times New Roman" w:eastAsia="Times New Roman" w:hAnsi="Times New Roman"/>
          <w:sz w:val="18"/>
          <w:szCs w:val="18"/>
          <w:b w:val="1"/>
          <w:bCs w:val="1"/>
          <w:i w:val="1"/>
          <w:iCs w:val="1"/>
          <w:color w:val="auto"/>
        </w:rPr>
        <w:t>Contingent consideration liabilities</w:t>
      </w:r>
    </w:p>
    <w:p>
      <w:pPr>
        <w:spacing w:after="0" w:line="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be required to make milestone payments to the former stockholders and optionholders of Guide Therapeutics, Inc., or Guide, in the form of its common stock based on the achievement of certain product and technology milestones. The payments are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primarily based upon the achievement and related timing of certain product and technology milestones that were unobservable in the market. The estimated fair value of contingent consideration liabilities, initially measured and recorded on the acquisition date, are considered to be a Level 3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spacing w:after="0" w:line="8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estimated fair value is determined based on probability adjusted discounted cash flow model that include significant estimates and assumptions pertaining to technology and product development. Significant changes in any of the probabilities of success or in the probabilities as to the periods in which milestones would be achieved would result in a significantly higher or lower fair value measurement. The Company will continue to adjust the liabilities for changes in fair value until the earlier of the achievement or expiration of the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The Company only applies the five-step model to contracts when it determines that collection of substantially all consideration for goods and services that are transferred is probable based on the customer’s intent and ability to pay the promised consideration.</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the Company’s license and collaboration agreements in Note 10.</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7" w:name="page148"/>
    <w:bookmarkEnd w:id="147"/>
    <w:p>
      <w:pPr>
        <w:ind w:right="40"/>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Determining the standalone selling price requires significant judgment and is discussed in further detail for each of the Company’s license and collaboration agreements in Note 10.</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Company generally recognizes revenue using the cost incurred to date as compared to the total estimated cost.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 Determining the revenue recognition of IP licenses requires significant judgment and is discussed in further detail for each of the Company’s license and collaboration agreements in Notes 9 and 10.</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consideration included in the transaction price is constrained.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agreements.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no remaining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the Company transfers goods or services to a customer before the customer pays consideration or before payment is due, excluding any amounts presented as an account or other receivable. A contract asset is an entity’s right to consideration in exchange for goods or services that the entity has transferred to a customer. The contract liabilities, or deferred revenue, primarily relate to contracts where the Company has received payment, but it has not yet satisfied or fully satisfied the related performance obligations. Upfront payments and fees are recorded as deferred revenue upon receipt or when due and may require deferral of revenue recognition to a future period until the Company satisfies its obligations under these arrangements.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total deferred revenue for the years ended December 31, 2024 and 2023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178,594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338,153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 from license agreements</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recognized in revenue</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(36,518 )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(159,559 )</w:t>
            </w:r>
          </w:p>
        </w:tc>
      </w:tr>
      <w:tr>
        <w:trPr>
          <w:trHeight w:val="21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142,076</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178,594</w:t>
            </w:r>
          </w:p>
        </w:tc>
        <w:tc>
          <w:tcPr>
            <w:tcW w:w="100" w:type="dxa"/>
            <w:vAlign w:val="bottom"/>
            <w:tcBorders>
              <w:top w:val="single" w:sz="8" w:color="CFF0FC"/>
            </w:tcBorders>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Research and development costs are charged to expense as incurred. Research and development costs consist of costs incurred in performing research and development activities, including salaries and bonuses, stock-based compensation, employee benefits, facilities costs, laboratory supplies, depreciation, manufacturing expenses, preclinical expenses, consulting, and other contracted services. The cost of obtaining licenses for certain technology or IP is recorded to research and development expense when incurred if the licensed technology or IP has not yet reached technological feasibility and has no alternative future use. Costs for certain research and development activities are recognized based on the terms of the individual arrangements, which may differ from the pattern of costs incurred, and are reflected in the financial statements as prepaid or accrued research and development costs.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restricted stock awards and restricted stock units. Grants are awarded to employees and non-employees, including directors.</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ASC 718 requires all stock-based payments to employees, non-employees and directors to be recognized as expense in the consolidated statements of operations and other comprehensive loss based on their fair values. The Company estimates the fair value of options granted using the Black-Scholes option pricing model, or Black-Scholes, for stock option grants to both employees and non-employees. The fair value of the Company’s common stock is used to determine the fair value of restricted stock awards and restricted stock units.</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Stock-based compensation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inputs based on certain subjective assumptions, including (i) the expected stock price volatility, (ii) the expected term of the award, (iii) the risk-free interest rate, and (iv) expected dividends. The Company bases its computation of expected volatility on the historical volatility of a representative group of public companies with similar characteristics to the Company, including stage of product development and life science industry focus, weighted with its own volatility for the period in which its stock has been publicly traded. The historical volatility is calculated based on a period of time commensurate with expected term assumption. The Company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other comprehensive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If the Company determines that it is no longer the primary beneficiary of a consolidated VIE, or no longer has a variable interest in the VIE, the Company deconsolidates the VIE in the period that the determination is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stockholders’ equity of a business enterprise during a period from transactions and other events and circumstances from non-owner sources. Comprehensive loss includes net loss as well as other changes in equity that are excluded from net loss. The Company’s only element of other comprehensive loss is unrealized gains and losses on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the dilutive net loss per share calculation, stock options and stock units for which the performance and market vesting conditions have been deemed probable, potential dilutive securities, unvested restricted stock, and common stock options are considered to be common stock equivalents, while stock options and stock units with performance- or market-based vesting conditions that were not deemed probable of meeting the applicable vesting conditions are not considered to be common stock equivalents.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Accordingly, in periods in which the Company reported a net loss, such losses were not allocated to such participating securities. In periods in which the Company reported a net loss attributable to common stockholders, diluted net loss per share attributable to common stockholders was the same as basic net loss per share attributable to common stockholders, since dilutive common shares were not assumed to have been issued if their effect is anti-dilutive. The Company reported a net loss attributable to common stockholders for the years ended December 31, 2024, 2023 and 2022.</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circumstances where the Company has the ability to exercise significant influence, but not control, over the operating and financial policies of an entity in which the Company has an investment in common stock or in-substance common stock, the Company utilizes the equity method of accounting for recording related investment activity. In assessing whether the Company exercises significant influence, the Company considers the nature and magnitude of the investment, participating rights the Company holds, and relevant factors such as the presence of a collaborative or other business relationship.</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Under the equity method of accounting, the Company’s investments are initially recorded at cost on the consolidated balance sheets. Upon recording an equity method investment, the Company evaluates whether there are basis differences between the carrying value and fair value of the Company’s proportionate share of the investee’s underlying net assets. Typically, the Company amortizes basis differences identified on a straight-line basis over the underlying asset’s or liability's estimated useful lives when calculating the attributable earnings or losses, excluding the basis differences attributable to in-process research and development, or IPR&amp;D, that has no alternative future use. To the extent a basis difference relates to IPR&amp;D and the investee is not a business as defined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or ASC 805, the Company immediately expenses such basis difference related to IPR&amp;D. If the Company is unable to attribute all of the basis difference to specific assets or 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the Company’s memo accounts. The Company subsequently records in the consolidated statements of operations and comprehensive loss its share of income or loss of the other entity within the loss from equity method investment line item. If the share of losses exceeds the carrying value of the Company’s investment, the Company will suspend recognizing additional losses and will continue to do so unless it commits to providing additional funding or commits to guarantee investee liabilities.</w:t>
      </w:r>
    </w:p>
    <w:p>
      <w:pPr>
        <w:spacing w:after="0" w:line="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the carrying amounts of such investments may be impaired and considers qualitative and quantitative factors including the investee’s financial metrics, product and commercial outlook and cash usage. If a decline in the value of an equity method investment is determined to be other than temporary, a loss is recorded in earnings in the current period and the investment is written down to fair value.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Company accounted for its investment in Orbital under the equity method of accounting. The Company has no carrying value related to this investment as of December 31, 2024 or 2023. Refer to Note 10 for further details.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CODM, or decision-making group, in deciding how to allocate resources and in assessing performance. The CODM is the Company’s Chief Executive Officer. The Company views its operations as and manages its business in one operating segment operating exclusively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 Segment Reporting (Topic 280).</w:t>
      </w:r>
      <w:r>
        <w:rPr>
          <w:rFonts w:ascii="Times New Roman" w:cs="Times New Roman" w:eastAsia="Times New Roman" w:hAnsi="Times New Roman"/>
          <w:sz w:val="18"/>
          <w:szCs w:val="18"/>
          <w:color w:val="auto"/>
        </w:rPr>
        <w:t xml:space="preserve"> The amendments in this update expand segment disclosure requirements, including new segment disclosure requirements for entities with a single reportable segment among other disclosure requirements. This update is effective for fiscal years beginning after December 15, 2023, and interim periods within fiscal years beginning after December 15, 2024. The adoption of this standard did not have a material impact on the Company’s consolidated financial statements. The Company adopted the ASU as of and for the period ended December 31, 2024 and the required disclosures are included in Note 17,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announced accounting pronouncements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The amendments in this update expand income tax disclosure requirements, including additional information pertaining to the rate reconciliation, income taxes paid, and other disclosures. This update is effective for annual periods beginning after December 15, 2024. The adoption of this standard is not expected to have a material impact on the Company’s consolidated financial statements.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101,195</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8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(72,107 )</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(50,182 )</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111,412</w:t>
            </w: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124,960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depreciation expense incurred (in thousands):</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2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21,925</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20,012</w:t>
            </w:r>
          </w:p>
        </w:tc>
        <w:tc>
          <w:tcPr>
            <w:tcW w:w="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-1062355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-779145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Company’s financial instruments that are measured at fair value on a recurring basis consist of cash equivalents, marketable securities, equity securities of Verve Therapeutics, Inc., or Verve, and Prime Medicine, Inc., or Prime, contingent consideration liabilities related to the Agreement and Plan of Merger, dated February 23, 2021, between the Company and Guide, or the Guide Merger Agreement, success payment derivative liabilities pursuant to the Harvard and Broad License Agreements and settlement payment derivative liabilities associated with a settlement agreement with a research institution.</w:t>
      </w:r>
    </w:p>
    <w:p>
      <w:pPr>
        <w:spacing w:after="0" w:line="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2024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3820" w:type="dxa"/>
            <w:vAlign w:val="bottom"/>
            <w:tcBorders>
              <w:bottom w:val="single" w:sz="8" w:color="CFF0FC"/>
            </w:tcBorders>
            <w:gridSpan w:val="2"/>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281,786</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281,786</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281,786</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850,559</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850,559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289,567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560,992</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5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8"/>
              </w:rPr>
              <w:t>Liabilities</w:t>
            </w:r>
          </w:p>
        </w:tc>
        <w:tc>
          <w:tcPr>
            <w:tcW w:w="35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Derivative settlement liability</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Technology</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Product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F-18</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-1927860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-1910715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-1927860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-1910715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-1927860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-1910715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-1927860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-1910715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-796290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-779145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-796290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-779145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-796290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-779145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-796290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-779145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2" w:name="page153"/>
    <w:bookmarkEnd w:id="152"/>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2023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3820" w:type="dxa"/>
            <w:vAlign w:val="bottom"/>
            <w:tcBorders>
              <w:bottom w:val="single" w:sz="8" w:color="CFF0FC"/>
            </w:tcBorders>
            <w:gridSpan w:val="2"/>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435,689</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435,689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435,689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30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1,189,670</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1,189,670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457,564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732,106</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Technology</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Product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-1165225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-1165225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-1165225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-1165225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equivalents </w:t>
      </w:r>
      <w:r>
        <w:rPr>
          <w:rFonts w:ascii="Times New Roman" w:cs="Times New Roman" w:eastAsia="Times New Roman" w:hAnsi="Times New Roman"/>
          <w:sz w:val="18"/>
          <w:szCs w:val="18"/>
          <w:color w:val="auto"/>
        </w:rPr>
        <w:t>– Money market funds included within cash equivalents are classified within Level 1 of the fair value hierarchy because they are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using models or other valuation methodologies.</w:t>
      </w:r>
    </w:p>
    <w:p>
      <w:pPr>
        <w:spacing w:after="0" w:line="68"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Marketable securities </w:t>
      </w:r>
      <w:r>
        <w:rPr>
          <w:rFonts w:ascii="Times New Roman" w:cs="Times New Roman" w:eastAsia="Times New Roman" w:hAnsi="Times New Roman"/>
          <w:sz w:val="18"/>
          <w:szCs w:val="18"/>
          <w:color w:val="auto"/>
        </w:rPr>
        <w:t>– Marketable securities, excluding corporate equity securities, are classified within Level 2 of the fair value hierarchy because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inputs are other than quoted prices in active markets, which are either directly or indirectly observable as of the reporting date, and fair value is determined using models or other valuation methodologies.</w:t>
      </w:r>
    </w:p>
    <w:p>
      <w:pPr>
        <w:spacing w:after="0" w:line="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held an investment in Verve consisting of shares of Verve’s common stock. As of December 31, 2024, the Company owned 546,970 shares of Verve's common stock, the value of which is included in marketable securities in the consolidated balance sheet. The Company recorded the investment at fair value of $3.1 million and $7.6 million as of December 31, 2024 and 2023, respectively. The Company recognized $4.5 million and $3.0 million of other expense during the years ended December 31, 2024 and 2023, respectively, associated with changes in the fair value of Verve's common stock.</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October 2022, Prime completed an initial public offering of its common stock. As of December 31, 2024 and 2023, the Company owned 1,608,337 shares of Prime's common stock valued at $4.7 million and $14.2 million, respectively. The Company recognized $9.6 million and $15.6 million of other expense during the years ended December 31, 2024 and 2023, respectively, associated with changes in the fair value of Prime's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incurred due to changes in the fair value of corporate equity securities held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20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(14,093 )</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(18,592 )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Success Payment Liability </w:t>
      </w:r>
      <w:r>
        <w:rPr>
          <w:rFonts w:ascii="Times New Roman" w:cs="Times New Roman" w:eastAsia="Times New Roman" w:hAnsi="Times New Roman"/>
          <w:sz w:val="18"/>
          <w:szCs w:val="18"/>
          <w:color w:val="auto"/>
        </w:rPr>
        <w:t>– As discussed further in Note 9, the Company is required to make payments to Harvard and Broad Institute based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specified multiples of the initial weighted average value of the Company’s Series A Preferred or, subsequent to the IPO, the market value of the Company's common stock, at specified valuation dates. The Company’s liability for the share-based success payments under the Harvard and Broad License Agreements are carried at fair value. To determine the estimated fair value of the success payment liability, the Company uses a Monte Carlo simulation methodology, which models the future movement of stock prices based on several key variables.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Harvard and Broad Institute success payment liabilities: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Harvard</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Broad Institute</w:t>
            </w:r>
          </w:p>
        </w:tc>
      </w:tr>
      <w:tr>
        <w:trPr>
          <w:trHeight w:val="117"/>
        </w:trPr>
        <w:tc>
          <w:tcPr>
            <w:tcW w:w="5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r>
      <w:tr>
        <w:trPr>
          <w:trHeight w:val="173"/>
        </w:trPr>
        <w:tc>
          <w:tcPr>
            <w:tcW w:w="5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8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0.03-4.49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0.06-5.49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0.03-5.36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0.06-6.36</w:t>
            </w:r>
          </w:p>
        </w:tc>
        <w:tc>
          <w:tcPr>
            <w:tcW w:w="18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computation of expected volatility was estimated using the Company's historical volatility along with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success payment liabilities based on Level 3 inputs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Harvard</w:t>
            </w:r>
          </w:p>
        </w:tc>
        <w:tc>
          <w:tcPr>
            <w:tcW w:w="140" w:type="dxa"/>
            <w:vAlign w:val="bottom"/>
          </w:tcPr>
          <w:p>
            <w:pPr>
              <w:spacing w:after="0"/>
              <w:rPr>
                <w:sz w:val="12"/>
                <w:szCs w:val="12"/>
                <w:color w:val="auto"/>
              </w:rPr>
            </w:pPr>
          </w:p>
        </w:tc>
        <w:tc>
          <w:tcPr>
            <w:tcW w:w="1420" w:type="dxa"/>
            <w:vAlign w:val="bottom"/>
            <w:gridSpan w:val="3"/>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Broad Institute</w:t>
            </w:r>
          </w:p>
        </w:tc>
        <w:tc>
          <w:tcPr>
            <w:tcW w:w="300" w:type="dxa"/>
            <w:vAlign w:val="bottom"/>
          </w:tcPr>
          <w:p>
            <w:pPr>
              <w:spacing w:after="0"/>
              <w:rPr>
                <w:sz w:val="12"/>
                <w:szCs w:val="12"/>
                <w:color w:val="auto"/>
              </w:rPr>
            </w:pPr>
          </w:p>
        </w:tc>
        <w:tc>
          <w:tcPr>
            <w:tcW w:w="104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(3,800 )</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(7,500 )</w:t>
            </w:r>
          </w:p>
        </w:tc>
      </w:tr>
      <w:tr>
        <w:trPr>
          <w:trHeight w:val="209"/>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(1,300 )</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(2,400 )</w:t>
            </w:r>
          </w:p>
        </w:tc>
      </w:tr>
      <w:tr>
        <w:trPr>
          <w:trHeight w:val="249"/>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Contingent consideration liabilities </w:t>
      </w:r>
      <w:r>
        <w:rPr>
          <w:rFonts w:ascii="Times New Roman" w:cs="Times New Roman" w:eastAsia="Times New Roman" w:hAnsi="Times New Roman"/>
          <w:sz w:val="18"/>
          <w:szCs w:val="18"/>
          <w:color w:val="auto"/>
        </w:rPr>
        <w:t>– Under the Guide Merger Agreement, Guide’s former stockholders and optionholders are eligible to receive up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$100.0 million in technology milestone payments and $220.0 million in product milestone payments, payable in the Company’s common stock valued using the volume-weighted average price of the Company’s stock over the ten-day trading period ending two trading days prior to the date on which the applicable milestone is achieved. As these milestones are payable with a variable number of shares of the Company’s common stock, the milestone payments result in liability classification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based on timing of achievement that were unobservable in the market. These contingent consideration liabilities are classified within Level 3 of the fair value hierarchy.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contingent consideration liabilities: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308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Technology Milestones</w:t>
            </w:r>
          </w:p>
        </w:tc>
        <w:tc>
          <w:tcPr>
            <w:tcW w:w="314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Product Milestones</w:t>
            </w:r>
          </w:p>
        </w:tc>
      </w:tr>
      <w:tr>
        <w:trPr>
          <w:trHeight w:val="117"/>
        </w:trPr>
        <w:tc>
          <w:tcPr>
            <w:tcW w:w="5020" w:type="dxa"/>
            <w:vAlign w:val="bottom"/>
          </w:tcPr>
          <w:p>
            <w:pPr>
              <w:spacing w:after="0"/>
              <w:rPr>
                <w:sz w:val="10"/>
                <w:szCs w:val="10"/>
                <w:color w:val="auto"/>
              </w:rPr>
            </w:pPr>
          </w:p>
        </w:tc>
        <w:tc>
          <w:tcPr>
            <w:tcW w:w="144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40" w:type="dxa"/>
            <w:vAlign w:val="bottom"/>
            <w:tcBorders>
              <w:top w:val="single" w:sz="8" w:color="auto"/>
            </w:tcBorders>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c>
          <w:tcPr>
            <w:tcW w:w="146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80" w:type="dxa"/>
            <w:vAlign w:val="bottom"/>
            <w:tcBorders>
              <w:top w:val="single" w:sz="8" w:color="auto"/>
            </w:tcBorders>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r>
      <w:tr>
        <w:trPr>
          <w:trHeight w:val="173"/>
        </w:trPr>
        <w:tc>
          <w:tcPr>
            <w:tcW w:w="5020" w:type="dxa"/>
            <w:vAlign w:val="bottom"/>
          </w:tcPr>
          <w:p>
            <w:pPr>
              <w:spacing w:after="0"/>
              <w:rPr>
                <w:sz w:val="15"/>
                <w:szCs w:val="15"/>
                <w:color w:val="auto"/>
              </w:rPr>
            </w:pPr>
          </w:p>
        </w:tc>
        <w:tc>
          <w:tcPr>
            <w:tcW w:w="12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3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Year of Achievement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2028-2034</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2025-2031</w:t>
            </w:r>
          </w:p>
        </w:tc>
        <w:tc>
          <w:tcPr>
            <w:tcW w:w="3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contingent consideration liabilities based on level 3 inputs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Technology</w:t>
            </w:r>
          </w:p>
        </w:tc>
        <w:tc>
          <w:tcPr>
            <w:tcW w:w="15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Product Milestones</w:t>
            </w:r>
          </w:p>
        </w:tc>
        <w:tc>
          <w:tcPr>
            <w:tcW w:w="300" w:type="dxa"/>
            <w:vAlign w:val="bottom"/>
          </w:tcPr>
          <w:p>
            <w:pPr>
              <w:spacing w:after="0"/>
              <w:rPr>
                <w:sz w:val="10"/>
                <w:szCs w:val="10"/>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5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(4,654 )</w:t>
            </w: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(5,086 )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(9,740 )</w:t>
            </w: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(875 )</w:t>
            </w: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(1,592 )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Derivative settlement liability </w:t>
      </w:r>
      <w:r>
        <w:rPr>
          <w:rFonts w:ascii="Times New Roman" w:cs="Times New Roman" w:eastAsia="Times New Roman" w:hAnsi="Times New Roman"/>
          <w:sz w:val="18"/>
          <w:szCs w:val="18"/>
          <w:color w:val="auto"/>
        </w:rPr>
        <w:t>– On July 19, 2024, the Company entered into a settlement agreement with a research institution pursuant to which,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for a release of claims in its favor, the Company agreed, among other things, to pay the research institution an upfront payment of $15.0 million and to make additional payments contingent upon the development and commercialization of BEAM-102 and BEAM-302. These contingent payments consist of certain development, regulatory, and sales-based milestone payments, as well as a 1% royalty through 2038. Any amounts due must be settled in cash. The maximum amount of development and regulatory milestone payments under the settlement agreement is $15.0 million, and the maximum amount of sales milestone payments is $35 million, per program. The Company paid the $15.0 million upfront payment during the 12 months ended December 31, 2024. There was no material charge related to this settlement in the year ended December 31, 2024 as the settlement value was substantially accrued in prior periods.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4" w:name="page155"/>
    <w:bookmarkEnd w:id="154"/>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The contingent settlement payments are accounted for as a derivative under Accounting Standards Codification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the potential payments meet the definition of a derivative and are not subject to any scope exceptions. The derivative liability is recorded at fair value on the Company's balance sheet with changes in value recognized in interest and other income (expense) in the consolidated statement of operations and other comprehensive loss. To determine the estimated fair value of the liability, the Company applied a probability-based model, which utilized inputs based on the potential achievement and related timing of certain development, regulatory and sales-based milestones that were unobservable in the market. This derivative liability is classified within Level 3 of the fair value hierarchy above.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incorporated in the calculation of the fair value of the derivative settlement liability: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Milestones</w:t>
            </w:r>
          </w:p>
        </w:tc>
      </w:tr>
      <w:tr>
        <w:trPr>
          <w:trHeight w:val="117"/>
        </w:trPr>
        <w:tc>
          <w:tcPr>
            <w:tcW w:w="8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8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shd w:val="clear" w:color="auto" w:fill="CFF0FC"/>
          </w:tcPr>
          <w:p>
            <w:pPr>
              <w:spacing w:after="0"/>
              <w:rPr>
                <w:sz w:val="18"/>
                <w:szCs w:val="18"/>
                <w:color w:val="auto"/>
              </w:rPr>
            </w:pPr>
          </w:p>
        </w:tc>
        <w:tc>
          <w:tcPr>
            <w:tcW w:w="26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achievement of settlement payments</w:t>
            </w:r>
          </w:p>
        </w:tc>
        <w:tc>
          <w:tcPr>
            <w:tcW w:w="380" w:type="dxa"/>
            <w:vAlign w:val="bottom"/>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Year of achievement of settlement payments</w:t>
            </w:r>
          </w:p>
        </w:tc>
        <w:tc>
          <w:tcPr>
            <w:tcW w:w="38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2027-2038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32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derivative liability based on level 3 inputs (in thousands):</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6"/>
        </w:trPr>
        <w:tc>
          <w:tcPr>
            <w:tcW w:w="8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2"/>
        </w:trPr>
        <w:tc>
          <w:tcPr>
            <w:tcW w:w="82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2"/>
          </w:tcPr>
          <w:p>
            <w:pPr>
              <w:jc w:val="right"/>
              <w:ind w:right="1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2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recognition of derivative liability</w:t>
            </w:r>
          </w:p>
        </w:tc>
        <w:tc>
          <w:tcPr>
            <w:tcW w:w="380" w:type="dxa"/>
            <w:vAlign w:val="bottom"/>
          </w:tcPr>
          <w:p>
            <w:pPr>
              <w:spacing w:after="0"/>
              <w:rPr>
                <w:sz w:val="18"/>
                <w:szCs w:val="18"/>
                <w:color w:val="auto"/>
              </w:rPr>
            </w:pPr>
          </w:p>
        </w:tc>
        <w:tc>
          <w:tcPr>
            <w:tcW w:w="2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5,276</w:t>
            </w:r>
          </w:p>
        </w:tc>
        <w:tc>
          <w:tcPr>
            <w:tcW w:w="120" w:type="dxa"/>
            <w:vAlign w:val="bottom"/>
          </w:tcPr>
          <w:p>
            <w:pPr>
              <w:spacing w:after="0"/>
              <w:rPr>
                <w:sz w:val="18"/>
                <w:szCs w:val="18"/>
                <w:color w:val="auto"/>
              </w:rPr>
            </w:pPr>
          </w:p>
        </w:tc>
      </w:tr>
      <w:tr>
        <w:trPr>
          <w:trHeight w:val="216"/>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380" w:type="dxa"/>
            <w:vAlign w:val="bottom"/>
            <w:tcBorders>
              <w:bottom w:val="single" w:sz="8" w:color="auto"/>
            </w:tcBorders>
            <w:shd w:val="clear" w:color="auto" w:fill="CFF0FC"/>
          </w:tcPr>
          <w:p>
            <w:pPr>
              <w:spacing w:after="0"/>
              <w:rPr>
                <w:sz w:val="18"/>
                <w:szCs w:val="18"/>
                <w:color w:val="auto"/>
              </w:rPr>
            </w:pPr>
          </w:p>
        </w:tc>
        <w:tc>
          <w:tcPr>
            <w:tcW w:w="2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5,404</w:t>
            </w:r>
          </w:p>
        </w:tc>
        <w:tc>
          <w:tcPr>
            <w:tcW w:w="120" w:type="dxa"/>
            <w:vAlign w:val="bottom"/>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2024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181,095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181,296</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100,165</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164,491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164,770</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114,761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0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568,094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568,773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2023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285,054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285,289</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151,805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152,147</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271,181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271,145</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21,875</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21,875</w:t>
            </w:r>
          </w:p>
        </w:tc>
        <w:tc>
          <w:tcPr>
            <w:tcW w:w="0" w:type="dxa"/>
            <w:vAlign w:val="bottom"/>
          </w:tcPr>
          <w:p>
            <w:pPr>
              <w:spacing w:after="0"/>
              <w:rPr>
                <w:sz w:val="1"/>
                <w:szCs w:val="1"/>
                <w:color w:val="auto"/>
              </w:rPr>
            </w:pPr>
          </w:p>
        </w:tc>
      </w:tr>
      <w:tr>
        <w:trPr>
          <w:trHeight w:val="20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753,377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1,077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753,981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amortized cost of marketable securities is adjusted for amortization of premiums and accretion of discounts to maturity. At December 31, 2024 and 2023, the balance in accumulated other comprehensive (loss) income was comprised solely of activity related to marketable securities. There were no realized gains or losses recognized on the sale or maturity of marketable securities for the years ended December 31, 2024, 2023 and 2022 and, as a result, the Company did not reclassify any amounts out of accumulated other comprehensive (loss) income for the same periods.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any of its debt securities. The contractual maturity dates of all the investments are less than one year.</w:t>
      </w: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contingent obligation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benefits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costs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development and manufacturing costs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0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are as follows:</w:t>
      </w:r>
    </w:p>
    <w:p>
      <w:pPr>
        <w:spacing w:after="0" w:line="117" w:lineRule="exact"/>
        <w:rPr>
          <w:sz w:val="20"/>
          <w:szCs w:val="20"/>
          <w:color w:val="auto"/>
        </w:rPr>
      </w:pPr>
    </w:p>
    <w:p>
      <w:pPr>
        <w:ind w:left="1020" w:right="20" w:hanging="503"/>
        <w:spacing w:after="0" w:line="312" w:lineRule="auto"/>
        <w:tabs>
          <w:tab w:leader="none" w:pos="10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February 2018 lease for office and laboratory space as amended, which commenced in March 2018 and terminates in September 2029. The lease is subject to fixed-rate rent escalations and provided for $6.1 million in tenant improvements allowances and a term extension option.</w:t>
      </w:r>
    </w:p>
    <w:p>
      <w:pPr>
        <w:spacing w:after="0" w:line="31"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October 2018 lease for laboratory space as amended, which commenced in April 2019 and terminates in December 2025. The amended lease is subject to fixed-rate rent escalations and provides an option to extend the lease for two additional two-year periods through December 31, 2029.</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5"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April 2019 lease for office and laboratory space that was built over the course of 2020 and 2021. Pursuant to the terms of the original lease agreement, the first phase of the lease commenced in October 2020 (rent payments for the first phase began in August 2021) and the second phase of the lease commenced in January 2021 (rent payments for the second phase began in February 2022). The lease is subject to fixed-rate rent escalations and provides for $23.4 million in tenant improvements and the option to extend the lease for two terms of five years each. The Company determined that it is the accounting owner of all tenant improvements. In August 2021, the Company executed an amendment to this lease to occupy additional space. The term of this lease runs concurrent with the term of the April 2019 lease through February 2034.</w:t>
      </w:r>
    </w:p>
    <w:p>
      <w:pPr>
        <w:spacing w:after="0" w:line="80"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August 2020 lease for a 100,000 square foot manufacturing facility in Research Triangle Park, North Carolina. Construction of the manufacturing facility began in 2020 and the Company began making rent payments in the fourth quarter of 2022. The lease will terminate 15 years from the rent commencement date, December 2022. The lease is subject to fixed-rate rent escalations and provides for $20.0 million in tenant improvements and the option to extend the lease for two terms of five years each, which were not reasonably certain of exercise as of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operating lease costs as well as sublease income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66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21,649</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(1,319 )</w:t>
            </w: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36,944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lease term and discount rate for operating leases: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7"/>
              </w:rPr>
              <w:t>9.5</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7.3 %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306"/>
        </w:trPr>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lease costs included in the measurement of lease liabilities (in thousands):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20"/>
                <w:szCs w:val="20"/>
                <w:color w:val="auto"/>
              </w:rPr>
            </w:pPr>
          </w:p>
        </w:tc>
        <w:tc>
          <w:tcPr>
            <w:tcW w:w="126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24,981</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22,603</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ROU assets</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(1,626 )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20" w:type="dxa"/>
            <w:vAlign w:val="bottom"/>
          </w:tcPr>
          <w:p>
            <w:pPr>
              <w:spacing w:after="0"/>
              <w:rPr>
                <w:sz w:val="24"/>
                <w:szCs w:val="24"/>
                <w:color w:val="auto"/>
              </w:rPr>
            </w:pPr>
          </w:p>
        </w:tc>
        <w:tc>
          <w:tcPr>
            <w:tcW w:w="18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F-22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6" w:name="page157"/>
    <w:bookmarkEnd w:id="156"/>
    <w:p>
      <w:pPr>
        <w:ind w:right="600"/>
        <w:spacing w:after="0" w:line="282" w:lineRule="auto"/>
        <w:rPr>
          <w:sz w:val="20"/>
          <w:szCs w:val="20"/>
          <w:color w:val="auto"/>
        </w:rPr>
      </w:pPr>
      <w:r>
        <w:rPr>
          <w:rFonts w:ascii="Times New Roman" w:cs="Times New Roman" w:eastAsia="Times New Roman" w:hAnsi="Times New Roman"/>
          <w:sz w:val="18"/>
          <w:szCs w:val="18"/>
          <w:color w:val="auto"/>
        </w:rPr>
        <w:t>At December 31, 2024, the future maturity of the Company’s operating leases for each of the next five years and total thereafter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100" w:type="dxa"/>
            <w:vAlign w:val="bottom"/>
          </w:tcPr>
          <w:p>
            <w:pPr>
              <w:spacing w:after="0"/>
              <w:rPr>
                <w:sz w:val="18"/>
                <w:szCs w:val="18"/>
                <w:color w:val="auto"/>
              </w:rPr>
            </w:pPr>
          </w:p>
        </w:tc>
      </w:tr>
      <w:tr>
        <w:trPr>
          <w:trHeight w:val="20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lease payments</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227,731</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(66,306 )</w:t>
            </w: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Strategic restructuring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2023, the Company announced updated portfolio priorities and strategic plans to restructure the Company to streamline its business operations. In connection with this portfolio prioritization and strategic restructuring, the Company reduced its employee headcount by approximately 100 positions, or about 20% of its workforce. During the year ended December 31, 2023, the Company recognized $6.7 million of restructuring charges in the consolidated statement of operations related to these actions. These charges included $6.5 million of one-time termination benefits and contractual termination benefits for severance, healthcare, and related benefits and $0.2 million of non-cash stock-based compensation expense. The workforce reductions were substantially completed as of December 31, 2023, however the severance and other costs are paid over time.</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Details of the restructuring liability activity for the Company's workforce reductions for the year ended December 31, 2024 as recorded in accrued expenses and other current liabilities in the consolidated balance sheet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r>
      <w:tr>
        <w:trPr>
          <w:trHeight w:val="20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at December 31, 2022</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incurred</w:t>
            </w: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(1,999 )</w:t>
            </w:r>
          </w:p>
        </w:tc>
      </w:tr>
      <w:tr>
        <w:trPr>
          <w:trHeight w:val="209"/>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at December 31, 2023</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20" w:type="dxa"/>
            <w:vAlign w:val="bottom"/>
            <w:tcBorders>
              <w:top w:val="single" w:sz="8" w:color="CFF0FC"/>
            </w:tcBorders>
          </w:tcPr>
          <w:p>
            <w:pPr>
              <w:spacing w:after="0"/>
              <w:rPr>
                <w:sz w:val="18"/>
                <w:szCs w:val="18"/>
                <w:color w:val="auto"/>
              </w:rPr>
            </w:pPr>
          </w:p>
        </w:tc>
      </w:tr>
      <w:tr>
        <w:trPr>
          <w:trHeight w:val="21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(4,495 )</w:t>
            </w:r>
          </w:p>
        </w:tc>
      </w:tr>
      <w:tr>
        <w:trPr>
          <w:trHeight w:val="210"/>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at December 31, 2024</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License agreements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has various license agreements related to technology used in its research and development activities. The license agreements may include up-front payments, option fees, ongoing maintenance fees, sublicense fees, royalty-based payments, milestone payments, success-based payments, and other payments. Option fees, when applicable, are recognized when exercised, maintenance fees, sublicense fees, and other payments are recorded as incurred based on the estimated amounts due or that will ultimately be paid. Contingent payments that are not required to be accounted for as a derivative are recognized as incurred. As the success-based payments due under the Company’s license arrangements are derivatives, the change in the fair value of the success-based payments are recognized in a separate line item in the statement of operations and comprehensive loss, as discussed further below. The total contingent obligations and non-royalty sublicense fees included in research and development expenses in the statement of operations and comprehensive loss were $3.2 million, $43.5 million, and $2.7 million for the years ended December 31, 2024, 2023, and 2022, respectively.</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value attributable to sublicenses and the related sublicense fees due under the Company’s license agreements may require estimates and other judgments related to contractual requirements, which creates uncertainty over the ultimate amount that would be paid under these arrangements. Contractual amounts due are accrued and if a contingency exists related to the interpretation of the amounts due under the license agreement, the Company recognizes a liability for the amount that is probable and estimable. When no amount within the range of potential payments is a better estimate than any other amount, however, the minimum amount in the range is accrued.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Harvard license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2017, the Company entered into the Harvard License Agreement for certain base editing technology pursuant to which the Company received an exclusive, worldwide, sublicensable, royalty-bearing license under specified patent rights to develop and commercialize licensed products and a nonexclusive, worldwide, sublicensable, royalty-bearing license under certain patent rights to research and develop licensed products. The Company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exclusivity associated with a licensed product or (iii) a certain period after the first commercial sale of a licensed product, unless terminated earlier by either party under certain provisions.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 consideration for the rights granted under the Harvard License Agreement include success payments, which are further described below.</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Harvard License Agreement, Harvard is entitled to receive success payments, in cash or shares of Company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IPO, the amount of success payments is based on the market value of the Company's common stock.</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Company’s IPO.</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Harvard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Harvard success payment liability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expense resulting from the change in the fair value of the success payment liability for Harvard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3"/>
                <w:szCs w:val="13"/>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Harvard success payment liability</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(1,300 )  $</w:t>
            </w: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(3,800 )  $</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(12,000 )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Harvard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calendar year. The Company is responsible for the payment of certain patent prosecution and maintenance costs incurred by Harvard related to licensed patents. To the extent achieved, the Company is obligated to pay up to an aggregate of $75.9 million in product development and regulatory approval milestones, or Harvard Product Milestones. If the Company completes a change of control during the term of the Harvard License Agreement, then certain of the milestone payments would be increased. To the extent there are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Harvard License Agreement to a third party and the Company receives non-royalty sublicense income, then Harvard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annual maintenance fees are recorded as an expense on an annual basis based on the stated amount for the applicable year. Annual patent costs are expensed as incurred. Upon determination that a Harvard Product Milestone is probable to occur, the amount due will be recorded as research and development expense. The Company will monitor the Harvard Product Milestone payments for this arrangement on an ongoing basis.</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the extent products are commercialized under the Harvard License Agreement, the Company will accrue royalty expense and sublicense nonroyalty payments, as applicable, for the amount it is obligated to pay, with adjustments as sales are made.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Broad license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2018, the Broad License Agreement was entered into with Broad Institute for certain RNA base editing technology including an RNA editor platform. Under the Broad License Agreement, Broad Institute granted exclusive and non-exclusive worldwide, sublicensable, royalty-bearing licenses under specified patent rights to develop and commercialize licensed product and a nonexclusive, worldwide, sublicensable, royalty-bearing license under certain patent rights to research and develop licensed products. Under the agreement the Company shall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regulatory exclusivity associated with a licensed product or (iii) a certain period after the first commercial sale of a licensed product unless terminated earlier by either party under certain provisions.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consideration under the Broad License Agreement included Success Payments, which are further described below.</w:t>
      </w:r>
    </w:p>
    <w:p>
      <w:pPr>
        <w:spacing w:after="0" w:line="11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Broad License Agreement, Broad Institute is entitled to receive success payments, in cash or shares of Company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February 2020 IPO, the amount of success payments is based on the market value of the Company’s common stock.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Company’s IPO.</w:t>
      </w:r>
    </w:p>
    <w:p>
      <w:pPr>
        <w:spacing w:after="0" w:line="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 As of December 31, 2024, no success payments were due to Broad Institute.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Broad Institute (in thousands):</w:t>
      </w:r>
    </w:p>
    <w:p>
      <w:pPr>
        <w:spacing w:after="0" w:line="11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54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tabs>
          <w:tab w:leader="none" w:pos="7760" w:val="left"/>
          <w:tab w:leader="none" w:pos="8880" w:val="left"/>
          <w:tab w:leader="none" w:pos="9580" w:val="left"/>
          <w:tab w:leader="none" w:pos="10700" w:val="left"/>
        </w:tabs>
        <w:rPr>
          <w:sz w:val="20"/>
          <w:szCs w:val="20"/>
          <w:color w:val="auto"/>
        </w:rPr>
      </w:pPr>
      <w:r>
        <w:rPr>
          <w:rFonts w:ascii="Times New Roman" w:cs="Times New Roman" w:eastAsia="Times New Roman" w:hAnsi="Times New Roman"/>
          <w:sz w:val="18"/>
          <w:szCs w:val="18"/>
          <w:color w:val="auto"/>
        </w:rPr>
        <w:t>Broad Institute success payment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5,600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expense resulting from the change in the fair value of the success payment liability for Broad Institute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3"/>
                <w:szCs w:val="13"/>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Broad Institute success payment liability</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(1,100 )  $</w:t>
            </w: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(3,700 )  $</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(11,900 )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Broad Institute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particular calendar year. The Company is responsible for the payment of certain patent prosecution and maintenance costs incurred by Broad Institute related to licensed patents. To the extent achieved, the Company is obligated to pay up to an aggregate of $75.9 million in product development and regulatory approval milestones, or Broad Product Milestones. If the Company completes a change of control during the term of the Broad License Agreement, then certain of the milestone payments would be increased. To the extent there are commercial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Broad License Agreement to a third party and the Company receives non-royalty sublicense income, then Broad Institute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annual maintenance fees are recorded as an expense on an annual basis based on the stated amount for the applicable year. Annual patent costs will be expensed as incurred. Upon determination that a Broad Product Milestone is probable to occur, the amount due will be recorded as research and development expense. The Company monitors the Broad Product Milestone payments for this arrangement on an ongoing basis.</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 the extent products are commercialized under the Broad License Agreement, the Company will accrue royalty expense and sublicense nonroyalty payments, as applicable, for the amount it is obligated to pay, with adjustments as sales are made.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t>Editas license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2018, the Company entered into a license agreement, or the Editas License Agreement, with Editas Medicine, Inc., or Editas. Pursuant to the Editas License Agreement, Editas granted to the Company licenses and options to acquire licenses to certain intellectual property rights owned or controlled by Editas, for specified uses. More specifically,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or the Editas Research License.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1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 consideration will be due to Editas if the Company elects to exercise its option to obtain an Editas Development and Commercialization License to any of the three categories of intellectual property underlying the Editas Research License, for a fee ranging from a mid-teen million dollar amount to a low to mid-eight digit dollar amount per group, depending on the timing of the option exercise. Additionally, the Company is required to reimburse Editas for certain payments Editas may be obligated to make under existing Editas license agreements related to the intellectual property being licensed to the Company, including (i) development, regulatory and commercial milestone payments and certain sublicense income payments due as a result of the Editas License Agreement and (ii) a percentage of the annual maintenance fees and patent fees due to certain of the Editas’ licensors. In addition, to the extent any products are commercialized under an Editas Development and Commercialization License, the Company would be required to make royalty payments equivalent to the royalties that would be due from Editas to any applicable licensors of Editas related to the sales of such licensed products, plus an additional tiered low- to mid-single digit royalty, depending on whether such licensed product is covered by an Editas-owned patent.</w:t>
      </w:r>
    </w:p>
    <w:p>
      <w:pPr>
        <w:spacing w:after="0" w:line="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license rights and option rights granted by Editas to the Company are subject to the terms and conditions of the underlying license agreements that Editas is a party to and under which Editas licensed rights or option rights to the Company and the termination of such in-licenses, as applicable. Unless earlier terminated by either party pursuant to the terms of the agreement, the Editas License Agreement will continue in full force and effect and will expire on a licensed product-by licensed product and country-by-country basis upon the later of (i) the last-to-expire royalty term under any applicable institutional license to Editas and (ii) the date at which such product is no longer covered by a valid claim of a licensed Editas-owned patent in such country. The Company has the right, at its sole discretion, at any time to terminate the Editas License Agreement in its entirety or on a group-by-group of intellectual property basis, upon ninety days written notice to Editas. Upon termination of the Editas License Agreement, all rights and licenses granted by Editas to the Company (including the rights to exercise options and obtain such licenses) will immediately terminate and patents within a group of patents will no longer be deemed licensed patents. Expiration or termination of the Editas License Agreement for any reason does not release either party of any obligation or liability which had accrued, or which is attributable to a period prior to such expiration or termination.</w:t>
      </w:r>
    </w:p>
    <w:p>
      <w:pPr>
        <w:spacing w:after="0" w:line="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option exercise fees under the agreement will be recorded as research and development expense, if and when the Company exercises such options. To date, no options have been exercised. The annual maintenance fees are recorded as an expense on an annual basis based on the stated amount for the applicable year. Annual patent costs are expensed as incurred. In addition, the Company is required to make certain development, regulatory and commercial milestone payments to Editas upon the achievement of specified milestones. To the extent applicable, sublicense income payments will be accrued for the amount the Company is obligated to pay under each applicable in-license as amounts are due to Editas. Lastly, to the extent products are commercialized under the Editas License agreement, the Company will accrue royalty expense for the amount it is obligated to pay, with adjustments as sales are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the Company entered into a Transfer and Delegation Agreement, or the Lilly Agreement, with Eli Lilly and Company, or Lilly, pursuant to which Lilly acquired certain assets and other rights under the Company’s amended collaboration and license agreement, or the Verve Agreement, with Verve Therapeutics, Inc., or Verve, including the Company’s opt-in rights to co-develop and co-commercialize Verve’s base editing programs for cardiovascular disease (see discussion below related to the Verve Agreement). The Company granted Lilly an exclusive sublicense to the Verve technology originally licensed to the Company under the Verve Agreement. Lilly also acquired the right to receive any future milestone or royalty payments payable by Verve under the Verve Agreement and the rights and obligations to designate representatives and participate on the joint steering committee with Verve. The Company received a $200.0 million nonrefundable upfront payment and is eligible to receive up to $350.0 million in potential future development-stage payments upon the completion of certain clinical, regulatory and alliance events. If Lilly does not opt-in to co-develop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0" w:name="page161"/>
    <w:bookmarkEnd w:id="160"/>
    <w:p>
      <w:pPr>
        <w:jc w:val="both"/>
        <w:spacing w:after="0" w:line="282" w:lineRule="auto"/>
        <w:rPr>
          <w:sz w:val="20"/>
          <w:szCs w:val="20"/>
          <w:color w:val="auto"/>
        </w:rPr>
      </w:pPr>
      <w:r>
        <w:rPr>
          <w:rFonts w:ascii="Times New Roman" w:cs="Times New Roman" w:eastAsia="Times New Roman" w:hAnsi="Times New Roman"/>
          <w:sz w:val="18"/>
          <w:szCs w:val="18"/>
          <w:color w:val="auto"/>
        </w:rPr>
        <w:t>co-commercialize a licensed product, Lilly is obligated to pay the Company a percentage of any royalties received from Verve for sales of such product, subject to certain caps on a licensed product-by-licensed product basis.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period of six years from the effective date of the Lilly Agreement, Lilly has the right to request the Company to perform any critical research and development services, if Lilly reasonably determines that the Company is uniquely able to provide such services and other conditions are met, including that no other third parties can provide such services. The parties will negotiate an agreement governing the Company’s performance of such activity, if any, and the Company will be compensated for any services at approximately cost plus a margin. The Company has not been requested to perform any services and believes it is remote that Beam would be requested to provide any services.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Lilly Agreement, the Company and Lilly entered into a Stock Purchase Agreement providing for the sale and issuance of 2,004,811 shares of the Company’s common stock to Lilly for an aggregate purchase price of $50.0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received the consideration under the Stock Purchase Agreement of $50.0 million in October and the upfront payment of $200.0 million in November 2023.</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Lilly Agreement and Stock Purchase Agreement were negotiated at the same time as a package and have been accounted for as one combined contract. The Company accounts for the component of the arrangement to transfer common stock to Lilly under ASC 505,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the revenue component under ASC 606, as it includes a customer-vendor relationship as defined under ASC 606 and meets the criteria to be considered a contract. The Company first applied the guidance in ASC 505 to measure the fair value of the common stock issued and allocated the remaining consideration to the ASC 606 component of the arrangement.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ASC 606 transaction price as of the inception of the contract was determined to be $216.4 million, which is comprised of the upfront payment of $200.0 million and the residual value of the proceeds received in excess of the fair value of the common stock sold to Lilly of $16.4 million. The fair value of the common stock issued to Lilly was $33.6 million, as determined by management with the assistance of a third-party valuation specialist. There is no variable consideration included in the transaction price at inception. The Company will re-evaluate the transaction price at each reporting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that the collaboration rights and licenses to intellectual property have the same pattern and timing of transfer and are transferred as of the effective date of the Lilly Agreement. Lilly’s right to request research and development services represents an optional purchase in the agreement that does not constitute a material right. All other items promised to Lilly are immaterial in the context of the agreement.</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recognized revenue for the performance obligation at a point-in-time in October 2023 as all requirements related to the performance obligation have been completed. Any consideration received related to Lilly’s optional purchase of the Company’s research and development services will be accounted for as a separate contract if and when the option is exercised in accordance with ASC 606. During the year ended December 31, 2024 the Company recognized $25.0 million in revenue related to the achievement of certain clinical, regulatory and alliance events. During the year ended 2023 the Company recognized $216.4 million of revenue related to the Lilly Agreement. As of December 31, 2024, there was no deferred revenue related to the Lilly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2022, the Company entered into a License and Research Collaboration Agreement, or the Orbital Agreement, with Orbital Therapeutics, Inc., or Orbital. Under the terms of the Orbital Agreement, the Company will collaborate with Orbital to advance nonviral delivery and ribonucleic acid, or RNA, technology by providing Orbital with certain proprietary materials, a non-exclusive research license to certain RNA technology and nonviral delivery technology controlled by the Company, and by performing research and development support services as outlined in a research plan. The Company also granted Orbital an exploitation license to certain RNA technology and nonviral delivery technology controlled by the Company. The exploitation license is exclusive in the fields of vaccines and certain protein therapeutics and nonexclusive in all other fields other than gene editing and conditioning. The collaboration is managed on an overall basis by a Joint Steering Committee, or JSC, comprised of an equal number of representatives from the Company and Orbital.</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exchange for the licenses and services provided by the Company under the Orbital Agreement, the Company received a non-exclusive research license to certain RNA technology and nonviral delivery technology controlled by Orbital, and research and development support services as outlined in a research plan. Orbital also granted the Company an exploitation license to certain RNA technology and nonviral delivery technology controlled by Orbital. The exploitation license is exclusive in the fields of gene editing and conditioning and nonexclusive in all other fields other than vaccines and certain protein therapeutics. The Company also received 75 million shares of Orbital’s common stock at closing.</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research plan has a term of three years and can be extended for unspecified periods upon mutual agreement between the Company and Orbital. The exploitation licenses are exclusive for an initial research term of three years, which may be extended for up to two successive one-year periods by mutual agreement between the Company and Orbital. Either party may terminate the licenses granted to it under the Orbital Agreement for convenience on a product-by-product basis at any time by providing 90 days’ prior written notice.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1" w:name="page162"/>
    <w:bookmarkEnd w:id="161"/>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consideration received under the Orbital Agreement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as it includes a customer-vendor relationship as defined under ASC 606 and meets the criteria to be considered a contract. The overall transaction price as of the inception of the contract was determined to be $25.5 million, which represents the fair value of the Company’s equity interest in Orbital’s common stock at inception. There is no variable consideration included in the transaction price.</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concluded that the research and exploitation licenses are not distinct from the other promises in the Orbital Agreement, and as such the Company determined that the licenses combined with the research and development services, know-how transfers, committee participation and materials transfer represent a performance obligation. The Company recognizes revenue associated with the Orbital performance obligation over time as it is satisfied during the term of the agreement, which is three years. The Company recognized $8.5 million of revenue during the years ended December 31, 2024 and 2023, respectively, and $2.1 million of revenue during the year ended December 31, 2022. As of December 31, 2024, there was $6.4 million of current deferred revenue related to the Orbital Agreement.</w:t>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Beam does not have a controlling financial interest in Orbital as Beam does not have the power to direct the activities of Orbital. The Company has significant influence over Orbital through its noncontrolling representation on Orbital’s board of directors and the Company’s equity interest in Orbital. Accordingly, the Company does not consolidate the financial statements of Orbital and accounts for its investment using the equity method of accounting. As of the closing date in September 2022, the fair value of the Company’s investment in Orbital was $25.5 million. The fair value of the Orbital common stock was determined by management with the assistance of a third-party valuation specialist. In determining the fair value of the Company’s investment, the valuation specialist used an option pricing model backsolve approach based on Orbital's most recent funding of preferred stock. The valuation requires the input of certain subjective assumptions. The key assumptions used in the option pricing model, which are level 3 inputs, include the anticipated holding period to an exit and liquidity event, the volatility of market participants (68%) and the discount for lack of marketability (43%). At the date of the investment, a basis difference was identified as the carrying value of the Company’s investment in Orbital exceeded the Company’s proportionate share of the underlying net assets in Orbital. The Company concluded that the basis difference was primarily attributable to Orbital’s IPR&amp;D assets. As Orbital did not meet the definition of a business due to substantially all of the estimated fair value of the gross assets being concentrated in the group of similar IPR&amp;D assets, the basis difference attributable to the IPR&amp;D with no alternative future use was immediately expensed as of the date of the investment. The Company’s proportionate share of the basis difference exceeded its carrying value of the equity method investment in Orbital and the equity investment balance was reduced to zero. There is no commitment for the Company to provide financial support to Orbital. The Company recognized a loss of $25.5 million in association with the basis difference charge in the Company’s consolidated statements of operations for the year ended December 31, 2022 and did not recognize a gain or loss from the equity method investment for the years ended December 31, 2024 and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2021, the Company entered into a research collaboration agreement, or the Pfizer Agreement, with Pfizer Inc., or Pfizer, focused on the use of certain of the Company’s base editing technology to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rare genetic diseases of the liver, muscle, and central nervous system. Under the terms of the Pfizer Agreement, the Company will conduct all research activities through development candidate selection for three base editing programs that target specific genes corresponding to specific diseases that are the subject of such programs. Pfizer will have exclusive rights to license each of the three programs at no additional cost, each an Opt-In Right, and will assume responsibility for subsequent development and commercialization. At the end of the Phase 1/2 clinical trials, the Company may elect to enter into a global co-development and co-commercialization agreement with Pfizer with respect to one program licensed under the collaboration for an option exercise fee equal to a percentage of the applicable development costs incurred by Pfizer, or the Participation Election. In the event the Company elects to exercise its Participation Election, upon the payment of its option exercise fee, Pfizer and the Company would share net profits as well as development and commercialization costs in a 65%/35% (Pfizer/Company) split for such program. The research collaboration is managed on an overall basis by a Joint Research Committee, or JRC, formed by an equal number of representatives from the Company and Pfizer.</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inception of the Pfizer Agreement, the Company was entitled to receive a nonrefundable upfront payment of $300.0 million in consideration for the rights granted to Pfizer under the collaboration. Should Pfizer exercise its Opt-In Right for any of the three programs, the Company would be eligible to receive development, regulatory, and commercial milestones of up to $350.0 million per program, for potential total consideration of up to $1.35 billion, plus royalty payments on global net sales for each licensed program, if any. If Pfizer does not exercise its Opt-In Right for a program, the Company’s rights in such program revert to the Company and the Company will be required to pay Pfizer earn-out payments equal to a low single digit percentage of net sales earned on such program for a ten-year period, if any. As the $300.0 million upfront fee was not received by the Company as of December 31, 2021, the Company recorded a collaboration receivable for $300.0 million with a corresponding deferred revenue liability. The Company received the $300.0 million upfront payment in January 2022.</w:t>
      </w:r>
    </w:p>
    <w:p>
      <w:pPr>
        <w:spacing w:after="0" w:line="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collaboration term, Pfizer has a one-time option to substitute a disease that is the subject of a specific program with one pre-defined substitute disease. The collaboration has an initial term of four years and may be extended for an additional year on a program-by-program basis. Pfizer may terminate the Pfizer Agreement for convenience on any or all of the programs by providing 90 days’ prior written notice.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62" w:name="page163"/>
    <w:bookmarkEnd w:id="162"/>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accounts for the Pfizer Agreement under ASC 606, as it includes a customer-vendor relationship as defined under ASC 606 and meets the criteria to be considered a contract.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$300.0 million, which is comprised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7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 licenses to its base editing technology, including the exclusive development and commercialization rights, are not capable of being distinct from the other performance obligations, and as such the Company has determined that the licenses combined with the other research and development services represent performance obligations and no up-front revenue was recognized for the licenses.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estimated standalone selling price, or the ESSP. The Company developed the ESSP for all of the performance obligations included in the Pfizer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during the term of the agreement using an input method. The Company allocated the transaction price of $300.0 million to each of the three performance obligations, which includes each of the three base editing programs combined with the research and development services, licenses, and exclusive development and commercialization rights. Revenue is recognized using an input method based on the actual costs incurred as a percentage of total estimated costs towards satisfying the performance obligation as this method provides the most faithful depiction of the entity’s performance in transferring control of the goods and services promised to Pfizer and represents the Company’s best estimate of the period of the obligation.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 The Company recognized $8.4 million, $134.3 million and $48.2 million of revenue under the Pfizer Agreement, during the years ended December 31, 2024, 2023 and 2022, respectively. As of December 31, 2024, there was $88.5 million and $20.6 million of current and long-term deferred revenue, respectively, related to the Pfizer Agreement.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Sana Biotechnology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2021, the Company entered into an option and license agreement, or the Sana Agreement, with Sana Biotechnology, Inc., or Sana, under which the Company granted Sana a license for non-exclusive rights to its CRISPR Cas12b nuclease system for the development and commercialization of certain engineered cellular therapy programs. In addition to the license, the Company performed an initial technology transfer following the effective date of the Sana Agreement providing Sana with certain know-how, as required under the Sana Agreement. This technology transfer occurred in 2021. Following the license transfer and completion of the initial technology transfer, Sana is responsible, at its sole expense, for the development and commercialization of therapeutic products which must contain either specified CAR antigen targets or pluripotent stem cell, or PSC, product types.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consideration for the license, the Company received an upfront payment of $50.0 million from Sana in October 2021. In addition, the Company may be eligible to receive development, regulatory, and commercial milestones of up to $65.0 million from Sana on any product candidate or product. The Company will also be entitled to receive royalties equal to a low single digit percentage of net sales on any product.</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up to forty-two months following the effective date of the Sana Agreement, Sana has the option to select up to a cumulative total of two additional CAR antigen targets or PSC product types for an additional fee of $15.0 million per additional CAR antigen target and additional PSC product type, or the Option Rights, for an aggregate potential additional consideration of $30.0 million. Further, for up to thirty months following the effective date of the Sana Agreement, Sana has a one-time right to substitute, in the aggregate, either one CAR antigen target or one PSC product type at no additional cost, or the Replacement Right. Sana may also select a specified number of additional or replacement genetic targets for each PSC product type at any time prior to the third anniversary of the effective date at no additional cost, or the Genetic Target Nomination Rights. Sana may terminate the Sana Agreement for convenience prior to the first commercial sale of any licensed product by providing 90 days’ prior written notice or upon 180 days’ prior written notice after first commercial sale.</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the Sana Agreement under ASC 606 as it includes a customer-vendor relationship as defined under ASC 606 and meets the criteria to be considered a contract. The overall transaction price as of the inception of the contract was determined to be $50.0 million, which is composed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3" w:name="page164"/>
    <w:bookmarkEnd w:id="163"/>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identified a single performance obligation, which includes (i) the non-exclusive license granted to Sana under the Company’s patent rights and know-how and (ii) the initial technology transfer following the effective date, which occurred in 2021. The Company further concluded that the Option Rights, Replacement Right, and Genetic Target Nomination Rights did not grant Sana a material right. As the Company only identified one performance obligation, no allocation of the transaction price is required.</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recognized $2.0 million of revenue under the Sana Agreement during the year ended December 31, 2024 and $1.8 million of revenue under the Sana Agreement during the year ended December 31, 2023. The Company did not recognize any revenue under the Sana Agreement for the year ended December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will conduct preclinical research on up to six base editing programs that target specific genes within the complement system in various organs, including the eye, liver, and brain. Apellis has an exclusive option to license any or all of the six programs, or in each case, an Opt-In Right, and will assume responsibility for subsequent development. The Company may elect to enter into a 50-50 U.S. co-development and co-commercialization agreement with Apellis with respect to one program instead of a license. The collaboration is managed on an overall basis by an alliance steering committee formed by an equal number of representatives from the Company and Apellis.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the collaboration, the Company is eligible to receive a total of $75.0 million in upfront and near-term milestones from Apellis, which is comprised of $50.0 million received upon signing and an additional $25.0 million payment on June 30, 2022, the one-year anniversary of the effective date of the Apellis Agreement, or the First Anniversary Payment. Following any exercise of an Opt-In Right for any of the six programs, the Company will be eligible to receive development, regulatory, and sales milestones from Apellis, as well as royalty payments on sales. The collaboration has an initial term of five years and may be extended up to two years on a per year and program-by-program basis. During the collaboration term, Apellis may, subject to certain limitations, substitute a specific complement gene and/or organ for any of the initial base editing programs. Apellis may terminate the Apellis Agreement for convenience on any or all of the programs by providing prior written notice. The Company received the $50.0 million upfront payment from Apellis in July 2021 and the $25.0 million First Anniversary Payment in June 2022.</w:t>
      </w:r>
    </w:p>
    <w:p>
      <w:pPr>
        <w:spacing w:after="0" w:line="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accounts for the Apellis Agreement under ASC 606 as it includes a customer-vendor relationship as defined under ASC 606 and meets the criteria to be considered a contract.</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$75.0 million, which is composed of the upfront payment of $50.0 million and the First Anniversary Payment of $25.0 million. The Company will re-evaluate the transaction price in each reporting period.</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Therefore, the Company did not recognize any upfront revenue related to the license.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estimated standalone selling price, or the ESSP. The Company developed the ESSP for all of the performance obligations included in the Apellis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over the five-year term using an input method. The Company allocated the transaction price of $75.0 million to each of the six performance obligations, which includes each of the six base editing programs combined with the research and development service, licenses, substitution rights and governance participation, and is being recognized using an input method based on the actual costs incurred as a percentage of total budgeted costs towards satisfying the performance obligation as this method provides the most faithful depiction of the entity’s performance in transferring control of the goods and services promised to Apellis and represents the Company’s best estimate of the period of the obligation. For the years ended December 31, 2024, 2023, and 2022, the Company recognized $19.7 million, $16.4 million and $10.6 million of revenue, respectively, related to the Apellis Agreement. As of December 31, 2024, there is $14.0 million and $12.6 million of current and long-term deferred revenue, respectively, related to the Apellis Agreement.</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i w:val="1"/>
          <w:iCs w:val="1"/>
          <w:color w:val="auto"/>
        </w:rPr>
        <w:t>Verve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a collaboration and license agreement with Verve, or the Verve Agreement, to investigate gene editing strategies to modify genes associated with an increased risk of coronary diseases and in July 2022, the Company and Verve amended the Verve Agreement. Under the terms of the Verve Agreement, as amended, the Company granted Verve an exclusive license to certain base editor technology and improvements and Verve granted the Company a non-exclusive license under certain know-how and patents controlled by Verve, an interest in joint collaboration technology and a non-exclusive license under certain delivery technology.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Verve Agreement, Verve issued the Company 2.6 million shares of its common stock as partial consideration for the licenses granted, having a fair value of $0.5 million. The fair value of the Verve common stock was determined by management with the assistance of a third-party valuation specialist. In addition, to the extent certain clinical, regulatory, and commercial milestones were met with respect to licensed products, Verve was required to pay to the Company certain amounts, as defined in the agreement. Lastly, to the extent there were sales of a licensed product, Verve was obligated to pay the Company royalties, as defined in the agreement.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purchased shares of Verve's Series A preferred stock during the year ended December 31, 2020. During June 2021, Verve completed an initial public offering of its common stock. In connection with Verve’s initial public offering, Verve effected a one-for-9.2592 reverse stock split and also converted all shares of its preferred stock into shares of common stock. As of December 31, 2024, the Company owned 546,970 shares of Verve's common stock valued at $3.1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that the performance obligations associated with the Verve Agreement were the combined licenses and improvements related to the licensed technology. All other items promised to Verve were immaterial in the context of the agreement. The fair value of the shares issued by Verve to the Company were considered a fixed upfront payment of $0.5 million in the form of non-cash consideration.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Verve, and Lilly entered into a Side Letter Agreement whereby the Company agreed to delegate to Lilly certain rights and obligations existing under the Verve Agreement, including the Company’s rights and obligations to co-develop and co-commercialize opt-in products, the financial rights to milestone and royalty payments, and the right to participate on certain joint decision-making committees. The Company determined that the transfer and delegation of rights represents a modification of the Verve Agreement to be accounted for as if it were part of the existing contract in accordance with ASC 606. Prior to the modification, the Company determined that its performance obligations associated with the Verve Agreement at contract inception and subsequent modifications were not distinct and represented a single performance obligation, and that the obligation would be completed over the performance period of the agreement. Accordingly, the upfront payment was being recognized as revenue using a time-based proportional performance model over the contract term (April 2019 through 2038) of the collaboration, as license revenue. The milestone payments and royalties were considered variable consideration and were constrained up until the modification date as no milestones or royalties were achieved. Subsequent to the modification, management concluded that the Company does not have material ongoing obligations to Verve in the arrangement and that the remaining revenue under the agreement should be recognized at a point-in-time upon modification. Therefore, the Company recognized the remaining $0.3 of unrecognized revenue in October 2023.</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revenue under the Verve Agreement during the year ended December 31, 2024 and has no remaining deferred revenue related to the Verve Agreement as of December 31, 2024. For each of the years ended December 31, 2023 and 2022, the Company recognized approximately $0.4 million and less than $0.1 million of license revenue,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entered into the Sales Agreement with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As of December 31, 2024, the Company has sold 13,769,001 shares of its common stock under the Sales Agreement at an average price of $62.75 per share for aggregate gross proceeds of $864.0 million, before deducting commissions and offering expenses payable by it.</w:t>
      </w:r>
    </w:p>
    <w:p>
      <w:pPr>
        <w:spacing w:after="0" w:line="7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for each share of common stock. The holders of the Company’s common stock shall be entitled to receive ratably dividends out of funds legally available. In the event of any voluntary or involuntary liquidation, dissolution, or winding up of the Company, after the payment or provision for payment of all debts and liabilities of the Company, the holders of common stock shall be entitled to share ratably in the remaining assets of the Company available for distribution.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12. Stock option and grant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June 2017, the Company’s board of directors adopted the Beam Therapeutics Inc. 2017 Stock Option and Grant Plan, or the 2017 Plan, which provided for the grant of qualified incentive stock options and nonqualified stock options, restricted stock or other awards to the Company’s employees, officers, directors, advisors, and outside consultants for the issuance or purchase of shares of the Company’s common stock.</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2017 Plan is administered by the board of directors. Stock options awarded under the 2017 Plan expire 10 years after the grant date. Certain options provide for accelerated vesting if there is a change in control, as defined in the 2017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plan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October 2019, the Company’s board of directors adopted the Beam Therapeutics Inc. 2019 Equity Incentive Plan, or the 2019 Plan, and, following the IPO, all equity-based awards are granted under the 2019 Plan. The 2019 Plan provides for the grant of qualified and nonqualified stock options, stock appreciation rights, restricted and unrestricted stock and stock units, performance awards, and other share-based awards to the Company’s employees, officers, directors, advisors, and outside consultants.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the Company’s common stock that may be issued under the 2019 Plan was initially 3,700,000 shares, or the Share Pool, plus the number of shares of the Company’s common stock underlying awards under the 2017 Plan, not to exceed 5,639,818 shares, that become available again for grant under the 2017 Plan in accordance with its terms. The Share Pool will automatically increase on January 1st of each year from 2021 to 2029 by the lesser of (i) four percent of the number of shares of the Company’s common stock outstanding as of the close of business on the immediately preceding December 31st and (ii) the number of shares determined by the Company’s board of directors on or prior to such date for such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13,773,507 shares reserved and 1,591,110 shares available for future issuance under the 2019 Plan.</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consolidated statements of operations and other comprehensive loss is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174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60" w:type="dxa"/>
            <w:vAlign w:val="bottom"/>
            <w:gridSpan w:val="5"/>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73,523</w:t>
            </w:r>
          </w:p>
        </w:tc>
        <w:tc>
          <w:tcPr>
            <w:tcW w:w="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57,812</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52,004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40,835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760" w:type="dxa"/>
            <w:vAlign w:val="bottom"/>
            <w:gridSpan w:val="5"/>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120,662</w:t>
            </w:r>
          </w:p>
        </w:tc>
        <w:tc>
          <w:tcPr>
            <w:tcW w:w="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98,647</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84,321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4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8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were: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15"/>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5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7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76.2%-78.5%</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76.3-78.8%</w:t>
            </w: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74.8-77.3%</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23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4.02 %</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3.73 %</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w w:val="97"/>
              </w:rPr>
              <w:t>2.27 %</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80" w:type="dxa"/>
            <w:vAlign w:val="bottom"/>
            <w:gridSpan w:val="3"/>
            <w:shd w:val="clear" w:color="auto" w:fill="CFF0FC"/>
          </w:tcPr>
          <w:p>
            <w:pPr>
              <w:ind w:left="1700"/>
              <w:spacing w:after="0"/>
              <w:rPr>
                <w:sz w:val="20"/>
                <w:szCs w:val="20"/>
                <w:color w:val="auto"/>
              </w:rPr>
            </w:pPr>
            <w:r>
              <w:rPr>
                <w:rFonts w:ascii="Times New Roman" w:cs="Times New Roman" w:eastAsia="Times New Roman" w:hAnsi="Times New Roman"/>
                <w:sz w:val="18"/>
                <w:szCs w:val="18"/>
                <w:color w:val="auto"/>
              </w:rPr>
              <w:t>0.00 %</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0.00 %</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7"/>
              </w:rPr>
              <w:t>0.00 %</w:t>
            </w: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5"/>
              </w:rPr>
              <w:t>6.03</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option activity under the Company’s equity award plans: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gridSpan w:val="5"/>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(1)</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8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8,276,033</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4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2,678,145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88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(563,349 )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spacing w:after="0"/>
              <w:rPr>
                <w:sz w:val="18"/>
                <w:szCs w:val="18"/>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(785,287 )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9,605,542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420" w:type="dxa"/>
            <w:vAlign w:val="bottom"/>
            <w:tcBorders>
              <w:bottom w:val="single" w:sz="8" w:color="CFF0FC"/>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1580" w:type="dxa"/>
            <w:vAlign w:val="bottom"/>
            <w:tcBorders>
              <w:top w:val="single" w:sz="8" w:color="CFF0FC"/>
            </w:tcBorders>
          </w:tcPr>
          <w:p>
            <w:pPr>
              <w:spacing w:after="0"/>
              <w:rPr>
                <w:sz w:val="17"/>
                <w:szCs w:val="17"/>
                <w:color w:val="auto"/>
              </w:rPr>
            </w:pPr>
          </w:p>
        </w:tc>
        <w:tc>
          <w:tcPr>
            <w:tcW w:w="118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5,896,483</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40.70</w:t>
            </w:r>
          </w:p>
        </w:tc>
        <w:tc>
          <w:tcPr>
            <w:tcW w:w="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CFF0FC"/>
            </w:tcBorders>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36,102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-2965450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-2948305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-2965450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-2948305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-2965450</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left="520" w:right="660" w:hanging="512"/>
        <w:spacing w:after="0" w:line="261"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closing price of the common stock for the options that were in the money as of December 31, 2024 and 2023.</w:t>
      </w: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6" w:name="page167"/>
    <w:bookmarkEnd w:id="166"/>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granted stock options to certain employees to purchase shares of common stock that contain certain performance-based vesting criteria, primarily related to the achievement of certain development milestones related to editing applications, and the closing price of the Company’s common stock following an IPO.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 expense related to performance-based options was immaterial for the years ended December 31, 2024, 2023 and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per share of stock options granted during the years ended December 31, 2024, 2023 and 2022, was $17.13,</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$27.88 and $40.86, respectively. The aggregate intrinsic value of stock options exercised during the years ended December 31, 2024, 2023 and 2022 was $10.7 million, $20.0 million and $23.4 million, respectively. The weighted-average exercise price of stock options exercised for the years ended December 31, 2024, 2023 and 2022 was $9.94, $7.69 and $5.64, respectively.</w:t>
      </w:r>
    </w:p>
    <w:p>
      <w:pPr>
        <w:spacing w:after="0" w:line="7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$86.8 million of unrecognized compensation cost related to unvested stock options, which is expected to be recognized over a weighted-average period of approximately 2.4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issued shares of restricted common stock during the years ended December 31, 2024, 2023 and 2022, which consisted only of restricted stock units. Restricted common stock issued generally vests over a period of two to four years.</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Generally, if the holders of restricted stock units cease to have a business relationship with the Company, any unvested restricted stock units will be cancelled.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restricted stock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2,927,152</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(1,302,037 )</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(281,948 )</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2,576,855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shares that vested during the years ended December 31, 2024, 2023 and 2022 was $35.6 million, $13.8 million and $53.1 million, respectively.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December 31, 2024, there was approximately $68.4 million of unrecognized stock-based compensation expense related to restricted stock that is expected to vest. These costs are expected to be recognized over a weighted-average remaining vesting period of approximately 2.4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2020, the Company’s board of directors adopted the Beam Therapeutics Inc. 2019 Employee Stock Purchase Plan, or ESPP, which was approved by the Company’s stockholders. Pursuant to the ESPP, certain employees of the Company, excluding consultants and non-employee directors, are eligible to purchase common stock of the Company at a reduced rate during offering periods. The ESPP permits participants to purchase common stock using funds contributed through payroll deductions, subject to a calendar year limit of $25,000 and at a purchase price of 85% of the lower of the fair market value of the Company’s common stock on the first trading day of the offering period or on the applicable purchase date, which will be the final trading day of the applicable purchase period.</w:t>
      </w:r>
    </w:p>
    <w:p>
      <w:pPr>
        <w:spacing w:after="0" w:line="29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used the Black-Scholes option valuation model to estimate the fair value of the purchase right under the ESPP on the date of grant. The expected volatility is based on the historical volatility of the Company's common stock for a period of years corresponding with the expected life of the option. The risk-free interest rate is based on the U.S. Treasury yield curve at the time of grant for securities with a maturity period similar to the expected life of the option. The expected life is based on the term of the purchase period for the grants made under the ESPP.</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uses the straight-line attribution approach to record the expense over the offering period. Stock-based compensation expense related to the ESPP for the years ended December 31, 2024, 2023 and 2022 was $1.3 million, $1.3 million and $1.5 million, respectively.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issued 135,187, 130,403 and 70,073 shares under the ESPP during the years ended December 31, 2024, 2023 and 2022 respectively. As of December 31, 2024, the Company had 2,928,706 shares available for issuance under the ESPP.</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8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vMerge w:val="restart"/>
          </w:tcPr>
          <w:p>
            <w:pPr>
              <w:spacing w:after="0"/>
              <w:rPr>
                <w:sz w:val="13"/>
                <w:szCs w:val="13"/>
                <w:color w:val="auto"/>
              </w:rPr>
            </w:pPr>
          </w:p>
        </w:tc>
        <w:tc>
          <w:tcPr>
            <w:tcW w:w="138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2,576,855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2,927,152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9,605,542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8,276,033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7,548,392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73,399</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73,415</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12,255,796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11,276,600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9,287,117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19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3"/>
                <w:szCs w:val="13"/>
                <w:color w:val="auto"/>
              </w:rPr>
            </w:pPr>
          </w:p>
        </w:tc>
        <w:tc>
          <w:tcPr>
            <w:tcW w:w="118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(376,742 )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(132,527 )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(289,088 )</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82,313,008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77,151,771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70,015,305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(4.58 )</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income tax expense computed using the federal statutory income tax rate to the Company’s effective income tax rate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vMerge w:val="restart"/>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7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21.0 %</w:t>
            </w: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Nondeductible/ nontaxable permanent items</w:t>
            </w:r>
          </w:p>
        </w:tc>
        <w:tc>
          <w:tcPr>
            <w:tcW w:w="7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(1.6 )</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(31.1 )</w:t>
            </w:r>
          </w:p>
        </w:tc>
        <w:tc>
          <w:tcPr>
            <w:tcW w:w="1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(50.9 )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18"/>
                <w:szCs w:val="18"/>
                <w:color w:val="auto"/>
              </w:rPr>
            </w:pP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0.0 %</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taxes are as follows (in thousands):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48,792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compensation</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468,738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ROU asset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(28,649 )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(30,830 )</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(649 )</w:t>
            </w:r>
          </w:p>
        </w:tc>
        <w:tc>
          <w:tcPr>
            <w:tcW w:w="0" w:type="dxa"/>
            <w:vAlign w:val="bottom"/>
          </w:tcPr>
          <w:p>
            <w:pPr>
              <w:spacing w:after="0"/>
              <w:rPr>
                <w:sz w:val="1"/>
                <w:szCs w:val="1"/>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(5,415 )</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(438,259 )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(329,357 )</w:t>
            </w:r>
          </w:p>
        </w:tc>
        <w:tc>
          <w:tcPr>
            <w:tcW w:w="0" w:type="dxa"/>
            <w:vAlign w:val="bottom"/>
          </w:tcPr>
          <w:p>
            <w:pPr>
              <w:spacing w:after="0"/>
              <w:rPr>
                <w:sz w:val="1"/>
                <w:szCs w:val="1"/>
                <w:color w:val="auto"/>
              </w:rPr>
            </w:pPr>
          </w:p>
        </w:tc>
      </w:tr>
      <w:tr>
        <w:trPr>
          <w:trHeight w:val="210"/>
        </w:trPr>
        <w:tc>
          <w:tcPr>
            <w:tcW w:w="73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F-34</w:t>
            </w: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-3659505</wp:posOffset>
            </wp:positionV>
            <wp:extent cx="1200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-3659505</wp:posOffset>
            </wp:positionV>
            <wp:extent cx="1200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-3659505</wp:posOffset>
            </wp:positionV>
            <wp:extent cx="1200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-942340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8" w:name="page169"/>
    <w:bookmarkEnd w:id="168"/>
    <w:p>
      <w:pPr>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recorded a current tax provision of less than $0.1 million, $1.4 million and $3.4 million of income tax expense, respectively, which reflects that Company generated taxable income that was not fully offset by the use of net operating loss carryforwards and tax credits. Management has evaluated the positive and negative evidence bearing upon the realizability of the Company’s deferred tax assets and has determined that it is not more likely than not that the Company will recognize the benefits of the deferred tax assets. As a result, the Company has recorded a full valuation allowance at December 31, 2024 and 2023. The valuation allowance increased by $108.9 million in 2024 due to the increase in deferred tax assets, primarily due to increased capitalization of research and development expenditures in 2024. The valuation allowance increased by $75.0 million in 2023.</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Sections 382 and 383 of the Internal Revenue Code of 1986, as amended, limit a corporation’s ability to utilize tax attributes to the extent the corporation experiences an “ownership change,” generally defined as a greater than 50 percentage point change in ownership, measured by value, among 5% or greater shareholders over a rolling three-year testing period. To the extent a corporation experiences an ownership change, utilization of pre-ownership change tax attributes (e.g., net operating losses and general business tax credits) to offset post-ownership change taxable income or taxes, is subject to an annual limitation, generally calculated as the pre-ownership change equity value of the corporation, subject to certain prescribed adjustments, multiplied by the long-term tax exempt rate published monthly by the Internal Revenue Service. The Company completed a Section 382 study as of December 31, 2024, and determined that no historical ownership changes occurred since December 2021. The Company may experience ownership changes in the future as a result of shifts in stock ownership.</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$181.5 million of federal net operating loss carryforwards compared to $16.6 million as of December 31, 2023. Additionally, as of December 31, 2024, the Company had $61.7 million of federal and $32.7 million of Massachusetts tax credits that expire starting in 2043 and 2038, respectively. As of December 31, 2023, the Company had $41.3 million of federal and $19.5 million of Massachusetts tax credits that expire starting in 2042 and 2037.</w:t>
      </w:r>
    </w:p>
    <w:p>
      <w:pPr>
        <w:spacing w:after="0" w:line="7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no uncertain tax positions. The Company recognizes both interest and penalties associated with unrecognized tax benefits as a component of income tax expense. The Company has not recorded any interest or penalties for unrecognized tax benefits since its inception.</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filed income tax returns in the United States and the Commonwealth of Massachusetts in all tax years since inception. Tax years beginning in 2021 remain open to examination in these jurisdictions, as carryforward attributes generated in past years may be adjusted in a future period. The IRS has not made any assessments as of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described in Note 10, the Company has significant influence over, but does not control, Orbital through its noncontrolling representation on Orbital's board of directors and the Company’s equity interest in Orbital. The Company and Orbital are also parties to a collaboration and license agreement and have multiple common board members.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made payments of $0.3 million, $0.4 million and $0.4 million, respectively, to its three founder shareholders for scientific consulting and other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2018, the Company established a defined-contribution plan under Section 401(k) of the Internal Revenue Code, or the 401(k) Plan. The 401(k) Plan covers all employees who meet defined minimum age and service requirements and allows participants to defer a portion of their annual compensation on a pre-tax basis. Beginning January 1, 2020, the Company made matching contributions equal to 50% of the employee’s contributions, subject to a maximum of 6% of eligible compensation. The Company made matching contributions of $2.3 million, $2.5 million, and $2.0 million for the years ended December 31, 2024, 2023, and 2022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defines its segments on the basis of the way in which internally reported financial information is regularly reviewed by the chief operating decision maker, or CODM, to analyze financial performance, make decisions, and allocate resources. The Company’s CODM is John Evans, its Chief Executive Officer. The Company manages its operations as a single operating and reportable segment and the measure of segment profit or loss is consolidated net income (loss). The CODM uses net income (loss) in the budget and forecasting process and considers budget-to-actual variances on a quarterly basis when making decisions about the allocation of operating and capital resources.</w:t>
      </w:r>
    </w:p>
    <w:p>
      <w:pPr>
        <w:spacing w:after="0" w:line="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The internal reporting of significant segment expenses is based on the functional classification. External expenses include costs from external manufacturing, clinical and research organizations, supply chain and logistics costs, consultants, and other vendors. Employee related expenses include, employee salaries and benefits costs, employee meal, travel and entertainment spend, along with payroll related taxes and other similar items. These functional costs exclude stock-based compensation, facility and information technology costs, depreciation and amortization, and other segment items.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9" w:name="page170"/>
    <w:bookmarkEnd w:id="169"/>
    <w:p>
      <w:pPr>
        <w:ind w:right="10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the Company’s segment, including significant expenses, other segment items, certain other segment expenses, and a reconciliation to net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3"/>
                <w:szCs w:val="13"/>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377,709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External general and administrative expenses*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Facility and information technology related expenses*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(49,094 )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(46,676 )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(15,297 )</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(33,938 )</w:t>
            </w:r>
          </w:p>
        </w:tc>
        <w:tc>
          <w:tcPr>
            <w:tcW w:w="0" w:type="dxa"/>
            <w:vAlign w:val="bottom"/>
          </w:tcPr>
          <w:p>
            <w:pPr>
              <w:spacing w:after="0"/>
              <w:rPr>
                <w:sz w:val="1"/>
                <w:szCs w:val="1"/>
                <w:color w:val="auto"/>
              </w:rPr>
            </w:pPr>
          </w:p>
        </w:tc>
      </w:tr>
      <w:tr>
        <w:trPr>
          <w:trHeight w:val="20"/>
        </w:trPr>
        <w:tc>
          <w:tcPr>
            <w:tcW w:w="800" w:type="dxa"/>
            <w:vAlign w:val="bottom"/>
            <w:shd w:val="clear" w:color="auto" w:fill="CFF0FC"/>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(376,742 )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(132,527 )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(289,088 )</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Denotes significant segment expense</w:t>
            </w: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Items includes: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Milestone expense</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and Sublicenses fees</w:t>
            </w:r>
          </w:p>
        </w:tc>
        <w:tc>
          <w:tcPr>
            <w:tcW w:w="1600" w:type="dxa"/>
            <w:vAlign w:val="bottom"/>
            <w:gridSpan w:val="2"/>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F-36</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-2451100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-2451100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-2451100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1345565</wp:posOffset>
            </wp:positionV>
            <wp:extent cx="1379855" cy="6000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0">
                      <a:extLst>
                        <a:ext uri="{28A0092B-C50C-407E-A947-70E740481C1C}"/>
                      </a:extLst>
                    </a:blip>
                    <a:srcRect/>
                    <a:stretch>
                      <a:fillRect/>
                    </a:stretch>
                  </pic:blipFill>
                  <pic:spPr bwMode="auto">
                    <a:xfrm>
                      <a:off x="0" y="0"/>
                      <a:ext cx="13798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November 25, 2024</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Mr. Sravan K. Emany 811 Cedar Terrace</w:t>
      </w:r>
    </w:p>
    <w:p>
      <w:pPr>
        <w:spacing w:after="0" w:line="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Westfield N.J. 07090</w:t>
      </w: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i w:val="1"/>
          <w:iCs w:val="1"/>
          <w:color w:val="auto"/>
        </w:rPr>
        <w:t>Offer of Employment</w:t>
      </w:r>
    </w:p>
    <w:p>
      <w:pPr>
        <w:spacing w:after="0" w:line="2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Dear Sravan,</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Beam Therapeutics,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pleased to offer you employment on the following terms:</w:t>
      </w:r>
    </w:p>
    <w:p>
      <w:pPr>
        <w:spacing w:after="0" w:line="212" w:lineRule="exact"/>
        <w:rPr>
          <w:sz w:val="20"/>
          <w:szCs w:val="20"/>
          <w:color w:val="auto"/>
        </w:rPr>
      </w:pPr>
    </w:p>
    <w:p>
      <w:pPr>
        <w:jc w:val="both"/>
        <w:ind w:left="2" w:right="200" w:hanging="2"/>
        <w:spacing w:after="0" w:line="256" w:lineRule="auto"/>
        <w:tabs>
          <w:tab w:leader="none" w:pos="355"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Start Date. </w:t>
      </w:r>
      <w:r>
        <w:rPr>
          <w:rFonts w:ascii="Times New Roman" w:cs="Times New Roman" w:eastAsia="Times New Roman" w:hAnsi="Times New Roman"/>
          <w:sz w:val="20"/>
          <w:szCs w:val="20"/>
          <w:color w:val="auto"/>
        </w:rPr>
        <w:t>Provided that you satisfy the conditions described at the end of this letter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your first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employment with the Company will be no later than December 19, 2024, or another date mutually agreed upon in writing between you and the Company. The actual day you begin employment will be referred to as the “</w:t>
      </w:r>
      <w:r>
        <w:rPr>
          <w:rFonts w:ascii="Times New Roman" w:cs="Times New Roman" w:eastAsia="Times New Roman" w:hAnsi="Times New Roman"/>
          <w:sz w:val="20"/>
          <w:szCs w:val="20"/>
          <w:u w:val="single" w:color="auto"/>
          <w:color w:val="auto"/>
        </w:rPr>
        <w:t>Start Date</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b w:val="1"/>
          <w:bCs w:val="1"/>
          <w:color w:val="auto"/>
        </w:rPr>
      </w:pPr>
    </w:p>
    <w:p>
      <w:pPr>
        <w:jc w:val="both"/>
        <w:ind w:left="2" w:right="200" w:hanging="2"/>
        <w:spacing w:after="0" w:line="243" w:lineRule="auto"/>
        <w:tabs>
          <w:tab w:leader="none" w:pos="355"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Position. </w:t>
      </w:r>
      <w:r>
        <w:rPr>
          <w:rFonts w:ascii="Times New Roman" w:cs="Times New Roman" w:eastAsia="Times New Roman" w:hAnsi="Times New Roman"/>
          <w:sz w:val="20"/>
          <w:szCs w:val="20"/>
          <w:color w:val="auto"/>
        </w:rPr>
        <w:t>Your initial title with the Company will be Chief Financial Officer. You will report to John Evans,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You will be expected to devote your full business time and your best professional efforts to the performance of your duties and responsibilities for the Company and its affiliates and to abide by all policies, practices and procedures of the Company and all codes of ethics or business conduct applicable to your position, as in effect from time to time. As this is a full-time role, it is understood and agreed that you will not engage in additional employment, consulting, or other business activities (whether full-time or part-time) without prior written consent from the Chief Executive Officer. Notwithstanding anything to the contrary in this paragraph, the Company provides consent for you to continue your current commitments as described on Exhibit A hereto. By signing this Agreement, you confirm to the Company that you have no contractual commitments or other legal obligations that would prohibit you from performing your duties for the Company.</w:t>
      </w:r>
    </w:p>
    <w:p>
      <w:pPr>
        <w:spacing w:after="0" w:line="185" w:lineRule="exact"/>
        <w:rPr>
          <w:rFonts w:ascii="Times New Roman" w:cs="Times New Roman" w:eastAsia="Times New Roman" w:hAnsi="Times New Roman"/>
          <w:sz w:val="20"/>
          <w:szCs w:val="20"/>
          <w:b w:val="1"/>
          <w:bCs w:val="1"/>
          <w:color w:val="auto"/>
        </w:rPr>
      </w:pPr>
    </w:p>
    <w:p>
      <w:pPr>
        <w:jc w:val="both"/>
        <w:ind w:left="2" w:right="220" w:hanging="2"/>
        <w:spacing w:after="0" w:line="246" w:lineRule="auto"/>
        <w:tabs>
          <w:tab w:leader="none" w:pos="355"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Location. </w:t>
      </w:r>
      <w:r>
        <w:rPr>
          <w:rFonts w:ascii="Times New Roman" w:cs="Times New Roman" w:eastAsia="Times New Roman" w:hAnsi="Times New Roman"/>
          <w:sz w:val="20"/>
          <w:szCs w:val="20"/>
          <w:color w:val="auto"/>
        </w:rPr>
        <w:t>It is understood that the Company will not require you to relocate permanently to the Cambridge, Massachusetts area.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agree to perform the duties of your position and such other duties as may be assigned to you from time to time by the Company. You are generally expected to work from the Company’s Massachusetts office, currently located in Cambridge, MA, two to three days per week on a consistent schedule. If there are important meetings in the office on days that you are not routinely on site, you are expected to be in the office on those days as well. While working remotely, you agree to only work from locations that allow you proper internet access to be able to do your job.</w:t>
      </w:r>
    </w:p>
    <w:p>
      <w:pPr>
        <w:spacing w:after="0" w:line="200" w:lineRule="exact"/>
        <w:rPr>
          <w:rFonts w:ascii="Times New Roman" w:cs="Times New Roman" w:eastAsia="Times New Roman" w:hAnsi="Times New Roman"/>
          <w:sz w:val="20"/>
          <w:szCs w:val="20"/>
          <w:b w:val="1"/>
          <w:bCs w:val="1"/>
          <w:color w:val="auto"/>
        </w:rPr>
      </w:pPr>
    </w:p>
    <w:p>
      <w:pPr>
        <w:spacing w:after="0" w:line="275" w:lineRule="exact"/>
        <w:rPr>
          <w:rFonts w:ascii="Times New Roman" w:cs="Times New Roman" w:eastAsia="Times New Roman" w:hAnsi="Times New Roman"/>
          <w:sz w:val="20"/>
          <w:szCs w:val="20"/>
          <w:b w:val="1"/>
          <w:bCs w:val="1"/>
          <w:color w:val="auto"/>
        </w:rPr>
      </w:pPr>
    </w:p>
    <w:p>
      <w:pPr>
        <w:jc w:val="both"/>
        <w:ind w:left="2" w:right="200" w:hanging="2"/>
        <w:spacing w:after="0" w:line="256" w:lineRule="auto"/>
        <w:tabs>
          <w:tab w:leader="none" w:pos="355"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The Company will pay you a base salary at the rate of $575,000 per year, payable in accordance with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standard payroll schedule. This salary will be subject to periodic review and adjustments at the discretion of the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582930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275"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20"/>
          <w:szCs w:val="20"/>
          <w:color w:val="auto"/>
        </w:rPr>
        <w:t>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 base salary in effect at any given time is referred to herein as the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2" w:right="220" w:hanging="2"/>
        <w:spacing w:after="0" w:line="248" w:lineRule="auto"/>
        <w:tabs>
          <w:tab w:leader="none" w:pos="355"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Incentive Bonus</w:t>
      </w:r>
      <w:r>
        <w:rPr>
          <w:rFonts w:ascii="Times New Roman" w:cs="Times New Roman" w:eastAsia="Times New Roman" w:hAnsi="Times New Roman"/>
          <w:sz w:val="20"/>
          <w:szCs w:val="20"/>
          <w:color w:val="auto"/>
        </w:rPr>
        <w:t>. For each calendar year of your employment with the Company, you may be eligible to earn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discretionary annual incentive bonus. Your initial target annual bonus will be 50 percent of your base salary. To earn an annual performance bonus for any particular calendar year of employment,</w:t>
      </w:r>
    </w:p>
    <w:p>
      <w:pPr>
        <w:spacing w:after="0" w:line="1" w:lineRule="exact"/>
        <w:rPr>
          <w:rFonts w:ascii="Times New Roman" w:cs="Times New Roman" w:eastAsia="Times New Roman" w:hAnsi="Times New Roman"/>
          <w:sz w:val="20"/>
          <w:szCs w:val="20"/>
          <w:b w:val="1"/>
          <w:bCs w:val="1"/>
          <w:color w:val="auto"/>
        </w:rPr>
      </w:pPr>
    </w:p>
    <w:p>
      <w:pPr>
        <w:jc w:val="both"/>
        <w:ind w:left="2" w:right="20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 the Company and/or you must achieve applicable performance metrics, to be established, determined, and measured by the Board in its sole discretion, and (ii) you must remain employed by the Company on the date the bonus is paid. Nothing in this offer letter requires the Company to pay an annual bonus in any particular year. For your first year of your employment with the Company, if you remain employed by the Company through the date the Company pays an annual incentive bonus, your annual incentive bonus will be guaranteed to be an amount equal to your target annual bonus, without pro-ration.</w:t>
      </w:r>
    </w:p>
    <w:p>
      <w:pPr>
        <w:spacing w:after="0" w:line="182" w:lineRule="exact"/>
        <w:rPr>
          <w:rFonts w:ascii="Times New Roman" w:cs="Times New Roman" w:eastAsia="Times New Roman" w:hAnsi="Times New Roman"/>
          <w:sz w:val="20"/>
          <w:szCs w:val="20"/>
          <w:b w:val="1"/>
          <w:bCs w:val="1"/>
          <w:color w:val="auto"/>
        </w:rPr>
      </w:pPr>
    </w:p>
    <w:p>
      <w:pPr>
        <w:jc w:val="both"/>
        <w:ind w:left="2" w:right="220" w:hanging="2"/>
        <w:spacing w:after="0" w:line="247" w:lineRule="auto"/>
        <w:tabs>
          <w:tab w:leader="none" w:pos="355"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Sign-on Bonus. </w:t>
      </w:r>
      <w:r>
        <w:rPr>
          <w:rFonts w:ascii="Times New Roman" w:cs="Times New Roman" w:eastAsia="Times New Roman" w:hAnsi="Times New Roman"/>
          <w:sz w:val="20"/>
          <w:szCs w:val="20"/>
          <w:color w:val="auto"/>
        </w:rPr>
        <w:t>The Company will pay you a one-time sign-on bonus in the gross amount of $325,000 which will be paid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month of employment, subject to your continued employment on the payment date. This payment will be subject to customary deductions and withholdings as required by law. You acknowledge and agree that, if your employment is terminated with Cause (as defined below) or if you resign other than for Good Reason (as defined below), in either case before the first anniversary of the Start Date, you will repay the gross amount of the sign-on bonus within thirty (30) days following the last day of your employment.</w:t>
      </w:r>
    </w:p>
    <w:p>
      <w:pPr>
        <w:spacing w:after="0" w:line="180" w:lineRule="exact"/>
        <w:rPr>
          <w:rFonts w:ascii="Times New Roman" w:cs="Times New Roman" w:eastAsia="Times New Roman" w:hAnsi="Times New Roman"/>
          <w:sz w:val="20"/>
          <w:szCs w:val="20"/>
          <w:b w:val="1"/>
          <w:bCs w:val="1"/>
          <w:color w:val="auto"/>
        </w:rPr>
      </w:pPr>
    </w:p>
    <w:p>
      <w:pPr>
        <w:ind w:left="2" w:right="220" w:hanging="2"/>
        <w:spacing w:after="0" w:line="273" w:lineRule="auto"/>
        <w:tabs>
          <w:tab w:leader="none" w:pos="355"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Equity Awards. </w:t>
      </w:r>
      <w:r>
        <w:rPr>
          <w:rFonts w:ascii="Times New Roman" w:cs="Times New Roman" w:eastAsia="Times New Roman" w:hAnsi="Times New Roman"/>
          <w:sz w:val="20"/>
          <w:szCs w:val="20"/>
          <w:color w:val="auto"/>
        </w:rPr>
        <w:t>Subject to approval of the Board or the Committee, following your Start Date you will be granted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awards (subject to your remaining employed on the date such awards are granted):</w:t>
      </w:r>
    </w:p>
    <w:p>
      <w:pPr>
        <w:spacing w:after="0" w:line="155" w:lineRule="exact"/>
        <w:rPr>
          <w:rFonts w:ascii="Times New Roman" w:cs="Times New Roman" w:eastAsia="Times New Roman" w:hAnsi="Times New Roman"/>
          <w:sz w:val="20"/>
          <w:szCs w:val="20"/>
          <w:b w:val="1"/>
          <w:bCs w:val="1"/>
          <w:color w:val="auto"/>
        </w:rPr>
      </w:pPr>
    </w:p>
    <w:p>
      <w:pPr>
        <w:jc w:val="both"/>
        <w:ind w:left="742" w:right="200" w:hanging="368"/>
        <w:spacing w:after="0" w:line="243" w:lineRule="auto"/>
        <w:tabs>
          <w:tab w:leader="none" w:pos="74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option (the “</w:t>
      </w:r>
      <w:r>
        <w:rPr>
          <w:rFonts w:ascii="Times New Roman" w:cs="Times New Roman" w:eastAsia="Times New Roman" w:hAnsi="Times New Roman"/>
          <w:sz w:val="20"/>
          <w:szCs w:val="20"/>
          <w:u w:val="single" w:color="auto"/>
          <w:color w:val="auto"/>
        </w:rPr>
        <w:t>Option Award</w:t>
      </w:r>
      <w:r>
        <w:rPr>
          <w:rFonts w:ascii="Times New Roman" w:cs="Times New Roman" w:eastAsia="Times New Roman" w:hAnsi="Times New Roman"/>
          <w:sz w:val="20"/>
          <w:szCs w:val="20"/>
          <w:color w:val="auto"/>
        </w:rPr>
        <w:t>”) to purchase 160,000 shares of the Company’s common stock (the “Common Stock”). The Option Award will have an exercise price per share equal to the closing price of the Common Stock on The Nasdaq Global Select Market on the last day of the first month of your employment. The shares underlying the Option Award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will vest and become exercisable, subject to your continued employment on each applicable vesting date, as follows: 25% of the Option Shares will vest on the first anniversary of the vesting start date associated with the Option Award and the remainder shall vest thereafter in equal monthly installments each month following such date for the subsequent thirty-six (36) months such that the options would be fully vested with respect to the Option Shares on the four-year anniversary of the vesting start date.</w:t>
      </w:r>
    </w:p>
    <w:p>
      <w:pPr>
        <w:spacing w:after="0" w:line="189" w:lineRule="exact"/>
        <w:rPr>
          <w:rFonts w:ascii="Times New Roman" w:cs="Times New Roman" w:eastAsia="Times New Roman" w:hAnsi="Times New Roman"/>
          <w:sz w:val="20"/>
          <w:szCs w:val="20"/>
          <w:color w:val="auto"/>
        </w:rPr>
      </w:pPr>
    </w:p>
    <w:p>
      <w:pPr>
        <w:jc w:val="both"/>
        <w:ind w:left="742" w:right="220" w:hanging="368"/>
        <w:spacing w:after="0" w:line="254" w:lineRule="auto"/>
        <w:tabs>
          <w:tab w:leader="none" w:pos="74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of 80,000 restricted stock units (the “</w:t>
      </w:r>
      <w:r>
        <w:rPr>
          <w:rFonts w:ascii="Times New Roman" w:cs="Times New Roman" w:eastAsia="Times New Roman" w:hAnsi="Times New Roman"/>
          <w:sz w:val="20"/>
          <w:szCs w:val="20"/>
          <w:u w:val="single" w:color="auto"/>
          <w:color w:val="auto"/>
        </w:rPr>
        <w:t>RSU Award</w:t>
      </w:r>
      <w:r>
        <w:rPr>
          <w:rFonts w:ascii="Times New Roman" w:cs="Times New Roman" w:eastAsia="Times New Roman" w:hAnsi="Times New Roman"/>
          <w:sz w:val="20"/>
          <w:szCs w:val="20"/>
          <w:color w:val="auto"/>
        </w:rPr>
        <w:t>”). The RSU Award will be granted on the last day of the first quarter of your employment and will vest in four (4) equal installments on the anniversary of the grant date, subject to your continued employment such that the RSU Award would be fully vested on the four-year anniversary of the grant date.</w:t>
      </w:r>
    </w:p>
    <w:p>
      <w:pPr>
        <w:spacing w:after="0" w:line="174" w:lineRule="exact"/>
        <w:rPr>
          <w:rFonts w:ascii="Times New Roman" w:cs="Times New Roman" w:eastAsia="Times New Roman" w:hAnsi="Times New Roman"/>
          <w:sz w:val="20"/>
          <w:szCs w:val="20"/>
          <w:color w:val="auto"/>
        </w:rPr>
      </w:pPr>
    </w:p>
    <w:p>
      <w:pPr>
        <w:ind w:left="742" w:right="220" w:hanging="368"/>
        <w:spacing w:after="0" w:line="269" w:lineRule="auto"/>
        <w:tabs>
          <w:tab w:leader="none" w:pos="74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Award and the RSU Award will be subject to the terms and conditions of the Beam Therapeutics Inc. 2019 Equity Incentive Plan (as it may be amended from time to time, or any</w:t>
      </w:r>
    </w:p>
    <w:p>
      <w:pPr>
        <w:spacing w:after="0" w:line="200" w:lineRule="exact"/>
        <w:rPr>
          <w:rFonts w:ascii="Times New Roman" w:cs="Times New Roman" w:eastAsia="Times New Roman" w:hAnsi="Times New Roman"/>
          <w:sz w:val="20"/>
          <w:szCs w:val="20"/>
          <w:color w:val="auto"/>
        </w:rPr>
      </w:pPr>
    </w:p>
    <w:p>
      <w:pPr>
        <w:spacing w:after="0" w:line="242" w:lineRule="exact"/>
        <w:rPr>
          <w:rFonts w:ascii="Times New Roman" w:cs="Times New Roman" w:eastAsia="Times New Roman" w:hAnsi="Times New Roman"/>
          <w:sz w:val="20"/>
          <w:szCs w:val="20"/>
          <w:color w:val="auto"/>
        </w:rPr>
      </w:pPr>
    </w:p>
    <w:p>
      <w:pPr>
        <w:jc w:val="both"/>
        <w:ind w:left="742" w:right="20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successor to such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well as the agreement evidencing the applicable award. In the event of any conflict between the terms of this Agreement and the terms of the Plan or the applicable award agreement, the Plan or award agreement will control.</w:t>
      </w:r>
    </w:p>
    <w:p>
      <w:pPr>
        <w:spacing w:after="0" w:line="170" w:lineRule="exact"/>
        <w:rPr>
          <w:rFonts w:ascii="Times New Roman" w:cs="Times New Roman" w:eastAsia="Times New Roman" w:hAnsi="Times New Roman"/>
          <w:sz w:val="20"/>
          <w:szCs w:val="20"/>
          <w:color w:val="auto"/>
        </w:rPr>
      </w:pPr>
    </w:p>
    <w:p>
      <w:pPr>
        <w:ind w:left="382" w:hanging="382"/>
        <w:spacing w:after="0"/>
        <w:tabs>
          <w:tab w:leader="none" w:pos="382"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Benefits;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612775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275"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742" w:right="200" w:hanging="368"/>
        <w:spacing w:after="0" w:line="254" w:lineRule="auto"/>
        <w:tabs>
          <w:tab w:leader="none" w:pos="74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eligible to participate in such benefits programs as the Company shall maintain from time to time in accordance with the terms of such plans to the same extent as, and subject to the same terms, conditions and limitations applicable to, other employees of the Company of similar rank and tenure.</w:t>
      </w:r>
    </w:p>
    <w:p>
      <w:pPr>
        <w:spacing w:after="0" w:line="174" w:lineRule="exact"/>
        <w:rPr>
          <w:rFonts w:ascii="Times New Roman" w:cs="Times New Roman" w:eastAsia="Times New Roman" w:hAnsi="Times New Roman"/>
          <w:sz w:val="20"/>
          <w:szCs w:val="20"/>
          <w:color w:val="auto"/>
        </w:rPr>
      </w:pPr>
    </w:p>
    <w:p>
      <w:pPr>
        <w:jc w:val="both"/>
        <w:ind w:left="742" w:right="200" w:hanging="368"/>
        <w:spacing w:after="0" w:line="243" w:lineRule="auto"/>
        <w:tabs>
          <w:tab w:leader="none" w:pos="74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Company’s policies and procedures, you will be entitled to reimbursement of all reasonable and properly documented expenses incurred by you in the performance of your duties that are approved by the Company, including with respect to reasonable expenses related to travel to Cambridge, Massachusetts to work from the Company’s offices. Your right to payment or reimbursement for business expenses and other amounts hereunder shall be subject to the following additional rules: (a) the amount of expenses eligible for payment or reimbursement during any calendar year shall not affect the expenses eligible for payment or reimbursement in any other calendar year, (b) payment or reimbursement shall be made not later than December 31 of the calendar year following the calendar year in which the expense or payment was incurred, and (c) the right to payment or reimbursement shall not be subject to liquidation or exchange for any other benefit.</w:t>
      </w:r>
    </w:p>
    <w:p>
      <w:pPr>
        <w:spacing w:after="0" w:line="185" w:lineRule="exact"/>
        <w:rPr>
          <w:rFonts w:ascii="Times New Roman" w:cs="Times New Roman" w:eastAsia="Times New Roman" w:hAnsi="Times New Roman"/>
          <w:sz w:val="20"/>
          <w:szCs w:val="20"/>
          <w:color w:val="auto"/>
        </w:rPr>
      </w:pPr>
    </w:p>
    <w:p>
      <w:pPr>
        <w:jc w:val="both"/>
        <w:ind w:left="2" w:right="220" w:hanging="2"/>
        <w:spacing w:after="0" w:line="258" w:lineRule="auto"/>
        <w:tabs>
          <w:tab w:leader="none" w:pos="355"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Representation Regarding Other Obligations. </w:t>
      </w:r>
      <w:r>
        <w:rPr>
          <w:rFonts w:ascii="Times New Roman" w:cs="Times New Roman" w:eastAsia="Times New Roman" w:hAnsi="Times New Roman"/>
          <w:sz w:val="19"/>
          <w:szCs w:val="19"/>
          <w:color w:val="auto"/>
        </w:rPr>
        <w:t>As a condition of your employment, you will enter into an Employee Non-Solicitation, Confidentiality and Assignment Agreement between you and the Company (the “</w:t>
      </w:r>
      <w:r>
        <w:rPr>
          <w:rFonts w:ascii="Times New Roman" w:cs="Times New Roman" w:eastAsia="Times New Roman" w:hAnsi="Times New Roman"/>
          <w:sz w:val="19"/>
          <w:szCs w:val="19"/>
          <w:u w:val="single" w:color="auto"/>
          <w:color w:val="auto"/>
        </w:rPr>
        <w:t>the Employee Non-Solicitation,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Confidentiality and Assignment Agreement</w:t>
      </w:r>
      <w:r>
        <w:rPr>
          <w:rFonts w:ascii="Times New Roman" w:cs="Times New Roman" w:eastAsia="Times New Roman" w:hAnsi="Times New Roman"/>
          <w:sz w:val="19"/>
          <w:szCs w:val="19"/>
          <w:color w:val="auto"/>
        </w:rPr>
        <w:t>”). You represent that if you are subject to any confidentiality, non-competition or other agreement that restricts your employment activities or that may affect the performance of your obligations to the Company under this Agreement, you have provided the Company with a copy of that agreement. You further represent that you have not used and agree that you will not use or disclose on behalf of the Company any trade secret or other confidential or proprietary information of any previous employer or any other party without that party’s consent. The terms of the Employee Non-Solicitation, Confidentiality and Assignment Agreement will continue to apply regardless of any change of duties, position or compensation or benefits during your employment.</w:t>
      </w:r>
    </w:p>
    <w:p>
      <w:pPr>
        <w:spacing w:after="0" w:line="173" w:lineRule="exact"/>
        <w:rPr>
          <w:rFonts w:ascii="Times New Roman" w:cs="Times New Roman" w:eastAsia="Times New Roman" w:hAnsi="Times New Roman"/>
          <w:sz w:val="19"/>
          <w:szCs w:val="19"/>
          <w:b w:val="1"/>
          <w:bCs w:val="1"/>
          <w:color w:val="auto"/>
        </w:rPr>
      </w:pPr>
    </w:p>
    <w:p>
      <w:pPr>
        <w:jc w:val="both"/>
        <w:ind w:left="2" w:right="220" w:hanging="2"/>
        <w:spacing w:after="0" w:line="250" w:lineRule="auto"/>
        <w:tabs>
          <w:tab w:leader="none" w:pos="355"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Taxes. </w:t>
      </w:r>
      <w:r>
        <w:rPr>
          <w:rFonts w:ascii="Times New Roman" w:cs="Times New Roman" w:eastAsia="Times New Roman" w:hAnsi="Times New Roman"/>
          <w:sz w:val="20"/>
          <w:szCs w:val="20"/>
          <w:color w:val="auto"/>
        </w:rPr>
        <w:t>All forms of compensation referred to in this Agreement are subject to reduction to reflect applicable withholding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75" w:lineRule="exact"/>
        <w:rPr>
          <w:rFonts w:ascii="Times New Roman" w:cs="Times New Roman" w:eastAsia="Times New Roman" w:hAnsi="Times New Roman"/>
          <w:sz w:val="20"/>
          <w:szCs w:val="20"/>
          <w:b w:val="1"/>
          <w:bCs w:val="1"/>
          <w:color w:val="auto"/>
        </w:rPr>
      </w:pPr>
    </w:p>
    <w:p>
      <w:pPr>
        <w:jc w:val="both"/>
        <w:ind w:left="2" w:right="220" w:hanging="2"/>
        <w:spacing w:after="0" w:line="250" w:lineRule="auto"/>
        <w:tabs>
          <w:tab w:leader="none" w:pos="355"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Interpretation, Enforcement and Amendment. </w:t>
      </w:r>
      <w:r>
        <w:rPr>
          <w:rFonts w:ascii="Times New Roman" w:cs="Times New Roman" w:eastAsia="Times New Roman" w:hAnsi="Times New Roman"/>
          <w:sz w:val="20"/>
          <w:szCs w:val="20"/>
          <w:color w:val="auto"/>
        </w:rPr>
        <w:t>This Agreement, the Equity Documents and the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Non-Solicitation, Confidentiality and Assignment Agreement constitute the complete agreement between you and the Company, contain all the terms of your employment with the Company and supersede any prior agreements, representations, or understandings (whether written, oral, or implied) between you and the Company related to the subject matter of this Agreement. Except with</w:t>
      </w:r>
    </w:p>
    <w:p>
      <w:pPr>
        <w:spacing w:after="0" w:line="200" w:lineRule="exact"/>
        <w:rPr>
          <w:sz w:val="20"/>
          <w:szCs w:val="20"/>
          <w:color w:val="auto"/>
        </w:rPr>
      </w:pPr>
    </w:p>
    <w:p>
      <w:pPr>
        <w:spacing w:after="0" w:line="263" w:lineRule="exact"/>
        <w:rPr>
          <w:sz w:val="20"/>
          <w:szCs w:val="20"/>
          <w:color w:val="auto"/>
        </w:rPr>
      </w:pPr>
    </w:p>
    <w:p>
      <w:pPr>
        <w:jc w:val="both"/>
        <w:ind w:left="2" w:right="200"/>
        <w:spacing w:after="0" w:line="244" w:lineRule="auto"/>
        <w:rPr>
          <w:sz w:val="20"/>
          <w:szCs w:val="20"/>
          <w:color w:val="auto"/>
        </w:rPr>
      </w:pPr>
      <w:r>
        <w:rPr>
          <w:rFonts w:ascii="Times New Roman" w:cs="Times New Roman" w:eastAsia="Times New Roman" w:hAnsi="Times New Roman"/>
          <w:sz w:val="20"/>
          <w:szCs w:val="20"/>
          <w:color w:val="auto"/>
        </w:rPr>
        <w:t>respect to any Disputes arising under the Equity Documents, which will be governed by the governing law set forth therein,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will be governed by laws of the Commonwealth of Massachusetts, excluding laws relating to conflicts or choice of law. You and the Company submit to the exclusive personal jurisdiction of the federal and state courts located in the Commonwealth of Massachusetts regarding any Dispute or any claim related to any Dispute. This Agreement may be amended or modified only by a written instrument signed by you and by a duly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591185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275"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 w:right="200" w:hanging="2"/>
        <w:spacing w:after="0" w:line="256" w:lineRule="auto"/>
        <w:tabs>
          <w:tab w:leader="none" w:pos="355"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Severance Benefits. </w:t>
      </w:r>
      <w:r>
        <w:rPr>
          <w:rFonts w:ascii="Times New Roman" w:cs="Times New Roman" w:eastAsia="Times New Roman" w:hAnsi="Times New Roman"/>
          <w:sz w:val="20"/>
          <w:szCs w:val="20"/>
          <w:color w:val="auto"/>
        </w:rPr>
        <w:t>It is understood that you are an “at-will” employee. Either you or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terminate the employment relationship at any time and for any reason, with or without Cause or prior notice and without additional compensation to you, subject to the following:</w:t>
      </w:r>
    </w:p>
    <w:p>
      <w:pPr>
        <w:spacing w:after="0" w:line="172" w:lineRule="exact"/>
        <w:rPr>
          <w:rFonts w:ascii="Times New Roman" w:cs="Times New Roman" w:eastAsia="Times New Roman" w:hAnsi="Times New Roman"/>
          <w:sz w:val="20"/>
          <w:szCs w:val="20"/>
          <w:b w:val="1"/>
          <w:bCs w:val="1"/>
          <w:color w:val="auto"/>
        </w:rPr>
      </w:pPr>
    </w:p>
    <w:p>
      <w:pPr>
        <w:ind w:left="742" w:right="220" w:hanging="368"/>
        <w:spacing w:after="0" w:line="269" w:lineRule="auto"/>
        <w:tabs>
          <w:tab w:leader="none" w:pos="74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your employment with Cause upon written notice to you effective immediately, in which case you will not be entitled to receive any form of payment other than your earned salary (“</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42" w:right="200" w:hanging="368"/>
        <w:spacing w:after="0" w:line="249" w:lineRule="auto"/>
        <w:tabs>
          <w:tab w:leader="none" w:pos="74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terminate your employment upon at least thirty (30) days’ prior written notice to the Company, in which case you will not be entitled to receive any form of payment other than the Accrued Obligations. In the event you provide the Company with the written notice contemplated by the prior sentence, the Company may unilaterally accelerate the date of termination and such acceleration shall not result in a termination by the Company for purposes of this Agreement;</w:t>
      </w:r>
    </w:p>
    <w:p>
      <w:pPr>
        <w:spacing w:after="0" w:line="179" w:lineRule="exact"/>
        <w:rPr>
          <w:rFonts w:ascii="Times New Roman" w:cs="Times New Roman" w:eastAsia="Times New Roman" w:hAnsi="Times New Roman"/>
          <w:sz w:val="20"/>
          <w:szCs w:val="20"/>
          <w:color w:val="auto"/>
        </w:rPr>
      </w:pPr>
    </w:p>
    <w:p>
      <w:pPr>
        <w:jc w:val="both"/>
        <w:ind w:left="742" w:right="200" w:hanging="368"/>
        <w:spacing w:after="0" w:line="241" w:lineRule="auto"/>
        <w:tabs>
          <w:tab w:leader="none" w:pos="74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your employment without Cause upon written notice to you effective immediately, in which case you will receive the Accrued Obligations. In addition, subject to your entering into and complying with a separation agreement and general release in a form provided by the Company (the “</w:t>
      </w:r>
      <w:r>
        <w:rPr>
          <w:rFonts w:ascii="Times New Roman" w:cs="Times New Roman" w:eastAsia="Times New Roman" w:hAnsi="Times New Roman"/>
          <w:sz w:val="20"/>
          <w:szCs w:val="20"/>
          <w:u w:val="single" w:color="auto"/>
          <w:color w:val="auto"/>
        </w:rPr>
        <w:t>Separation Agreement</w:t>
      </w:r>
      <w:r>
        <w:rPr>
          <w:rFonts w:ascii="Times New Roman" w:cs="Times New Roman" w:eastAsia="Times New Roman" w:hAnsi="Times New Roman"/>
          <w:sz w:val="20"/>
          <w:szCs w:val="20"/>
          <w:color w:val="auto"/>
        </w:rPr>
        <w:t>”) that becomes fully effective (due to its timely execution and non-revocation) within sixty (60) days of the termination of your employment, or such shorter period of time set forth therein (such requirements, the “</w:t>
      </w:r>
      <w:r>
        <w:rPr>
          <w:rFonts w:ascii="Times New Roman" w:cs="Times New Roman" w:eastAsia="Times New Roman" w:hAnsi="Times New Roman"/>
          <w:sz w:val="20"/>
          <w:szCs w:val="20"/>
          <w:u w:val="single" w:color="auto"/>
          <w:color w:val="auto"/>
        </w:rPr>
        <w:t>Release Requirements</w:t>
      </w:r>
      <w:r>
        <w:rPr>
          <w:rFonts w:ascii="Times New Roman" w:cs="Times New Roman" w:eastAsia="Times New Roman" w:hAnsi="Times New Roman"/>
          <w:sz w:val="20"/>
          <w:szCs w:val="20"/>
          <w:color w:val="auto"/>
        </w:rPr>
        <w:t>”), which may, in the Company’s discretion, include a one year post-employment noncompetition provision, then in addition to the Accrued Obligations, you will be entitled to: (i) payment of an amount equal to twelve (12) months of your then Base Salary as of the date of termination, such amount to be paid in equal installments over a twelve (12) month period after the date of your termination in accordance with the Company’s usual payroll practices and periods, and (ii) provided you timely elect and remain eligible for coverage pursuant to Part 6 of Title I of ERISA, or similar state law (collectively,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payment or reimbursement to you of an amount equal to monthly COBRA premiums at the same rate as the Company pays for active employees for you and your eligible dependents until the earliest of (A) twelve (12) months following the date of termination, (B) the date you become eligible for coverage under a subsequent employer’s medical plan or (C) the date you become ineligible for COBRA, all subject to applicable COBRA terms and in compliance with applicable non-discrimination or other requirements under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Patient Protection and Affordable Care Act, and the Health Care and Education Reconciliation Act (collectively the “</w:t>
      </w:r>
      <w:r>
        <w:rPr>
          <w:rFonts w:ascii="Times New Roman" w:cs="Times New Roman" w:eastAsia="Times New Roman" w:hAnsi="Times New Roman"/>
          <w:sz w:val="20"/>
          <w:szCs w:val="20"/>
          <w:u w:val="single" w:color="auto"/>
          <w:color w:val="auto"/>
        </w:rPr>
        <w:t>Severance Payments</w:t>
      </w:r>
      <w:r>
        <w:rPr>
          <w:rFonts w:ascii="Times New Roman" w:cs="Times New Roman" w:eastAsia="Times New Roman" w:hAnsi="Times New Roman"/>
          <w:sz w:val="20"/>
          <w:szCs w:val="20"/>
          <w:color w:val="auto"/>
        </w:rPr>
        <w:t>”); and</w:t>
      </w:r>
    </w:p>
    <w:p>
      <w:pPr>
        <w:spacing w:after="0" w:line="200" w:lineRule="exact"/>
        <w:rPr>
          <w:rFonts w:ascii="Times New Roman" w:cs="Times New Roman" w:eastAsia="Times New Roman" w:hAnsi="Times New Roman"/>
          <w:sz w:val="20"/>
          <w:szCs w:val="20"/>
          <w:color w:val="auto"/>
        </w:rPr>
      </w:pPr>
    </w:p>
    <w:p>
      <w:pPr>
        <w:spacing w:after="0" w:line="276" w:lineRule="exact"/>
        <w:rPr>
          <w:rFonts w:ascii="Times New Roman" w:cs="Times New Roman" w:eastAsia="Times New Roman" w:hAnsi="Times New Roman"/>
          <w:sz w:val="20"/>
          <w:szCs w:val="20"/>
          <w:color w:val="auto"/>
        </w:rPr>
      </w:pPr>
    </w:p>
    <w:p>
      <w:pPr>
        <w:jc w:val="both"/>
        <w:ind w:left="742" w:right="200" w:hanging="368"/>
        <w:spacing w:after="0" w:line="260" w:lineRule="auto"/>
        <w:tabs>
          <w:tab w:leader="none" w:pos="742"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within the Change in Control Period (as defined below), your employment with the Company is terminated by the Company without Cause or as a result of your resignation for Good Reason, then in addition to the Accrued Obligations, and subject to your compliance with the Release Requirements and in lieu of the Severance Payments, you will be entitled to:</w:t>
      </w:r>
    </w:p>
    <w:p>
      <w:pPr>
        <w:jc w:val="both"/>
        <w:ind w:left="742" w:right="20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 amount equal to twelve (12) months of your then Base Salary as of the date of termination, such amount to be paid in equal installments over a twelve (12) month period after the date of termination in accordance with the Company’s usual payroll practices and periods; (ii) an amount equal to your target annual performance bonus amount for the year your employment terminates, payable within sixty (60) days following the date of termination; (iii) provided you timely elect and remain eligible for COBRA coverage, payment or reimbursement to you of an amount equal to monthly COBRA premiums at the same rate as the Company pays for active employees for you and your eligible dependents until the earliest of (A) twelve (12) months following the date of termination, (B) the date you become eligible for coverage under a subsequent employer’s medical plan or (C) the date you become ineligible for COBRA, all subject to applicable COBRA terms and in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588010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275"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68" w:right="200"/>
        <w:spacing w:after="0" w:line="241" w:lineRule="auto"/>
        <w:rPr>
          <w:sz w:val="20"/>
          <w:szCs w:val="20"/>
          <w:color w:val="auto"/>
        </w:rPr>
      </w:pPr>
      <w:r>
        <w:rPr>
          <w:rFonts w:ascii="Times New Roman" w:cs="Times New Roman" w:eastAsia="Times New Roman" w:hAnsi="Times New Roman"/>
          <w:sz w:val="20"/>
          <w:szCs w:val="20"/>
          <w:color w:val="auto"/>
        </w:rPr>
        <w:t>applicable non-discrimination or other requirements under the Code, the Patient Protection and Affordable Care Act, and the Health Care and Education Reconciliation Act (collectively, the “</w:t>
      </w:r>
      <w:r>
        <w:rPr>
          <w:rFonts w:ascii="Times New Roman" w:cs="Times New Roman" w:eastAsia="Times New Roman" w:hAnsi="Times New Roman"/>
          <w:sz w:val="20"/>
          <w:szCs w:val="20"/>
          <w:u w:val="single" w:color="auto"/>
          <w:color w:val="auto"/>
        </w:rPr>
        <w:t>CIC Severance Payments</w:t>
      </w:r>
      <w:r>
        <w:rPr>
          <w:rFonts w:ascii="Times New Roman" w:cs="Times New Roman" w:eastAsia="Times New Roman" w:hAnsi="Times New Roman"/>
          <w:sz w:val="20"/>
          <w:szCs w:val="20"/>
          <w:color w:val="auto"/>
        </w:rPr>
        <w:t>”) and (iv) immediate vesting of the then unvested portion of any outstanding equity awards then held by you (together with the CIC Severance Payments, the “</w:t>
      </w:r>
      <w:r>
        <w:rPr>
          <w:rFonts w:ascii="Times New Roman" w:cs="Times New Roman" w:eastAsia="Times New Roman" w:hAnsi="Times New Roman"/>
          <w:sz w:val="20"/>
          <w:szCs w:val="20"/>
          <w:u w:val="single" w:color="auto"/>
          <w:color w:val="auto"/>
        </w:rPr>
        <w:t>CIC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In order to effectuate the accelerated vesting contemplated by (iv) in the preceding sentence, the unvested portion of your equity awards that would otherwise terminate or be forfeited on the last day of your employment will be delayed until the earliest of (A) the date on which both a Change in Control and the effective date of the Separation Agreement has occurred (at which time acceleration will occur), (B) the date that the Separation Agreement can no longer become fully effective (at which time the unvested portion of your equity awards will terminate or be forfeited) or (C) if the date of termination occurred prior to a Change in Control and no Change in Control has occurred, the date that is 31 days after the date of termination (at which time the unvested portion of your equity awards will terminate or be forfeited). For the avoidance of doubt, in no event will you be entitled to both Severance Payments and CIC Severance Payments, and if the Company has commenced providing Severance Payments to you prior to the date you become eligible to receive CIC Severance Payments, then the previously paid Severance Payments shall reduce the CIC Severance Payments.</w:t>
      </w:r>
    </w:p>
    <w:p>
      <w:pPr>
        <w:spacing w:after="0" w:line="197" w:lineRule="exact"/>
        <w:rPr>
          <w:sz w:val="20"/>
          <w:szCs w:val="20"/>
          <w:color w:val="auto"/>
        </w:rPr>
      </w:pPr>
    </w:p>
    <w:p>
      <w:pPr>
        <w:ind w:left="368" w:hanging="368"/>
        <w:spacing w:after="0"/>
        <w:tabs>
          <w:tab w:leader="none" w:pos="36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w:t>
      </w:r>
    </w:p>
    <w:p>
      <w:pPr>
        <w:spacing w:after="0" w:line="215" w:lineRule="exact"/>
        <w:rPr>
          <w:rFonts w:ascii="Times New Roman" w:cs="Times New Roman" w:eastAsia="Times New Roman" w:hAnsi="Times New Roman"/>
          <w:sz w:val="20"/>
          <w:szCs w:val="20"/>
          <w:color w:val="auto"/>
        </w:rPr>
      </w:pPr>
    </w:p>
    <w:p>
      <w:pPr>
        <w:jc w:val="both"/>
        <w:ind w:left="368" w:right="20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commission of (A) a felony or (B) any misdemeanor involving moral turpitude, deceit, dishonesty or fraud; (iii) your failure to perform your assigned duties and responsibilities to the reasonable satisfaction of the Company which failure continues, in the reasonable judgment of the Company, for thirty (30) days after written notice is given to you by the Company describing such failure in reasonable detail; (iv) your gross negligence, willful misconduct or insubordination with respect to the Company that results in or is reasonably anticipated to result in harm to the Company; or (v) your material violation of any provision of any agreement between you and the Company, including this Agreement or any agreement relating to noncompetition, non-solicitation, nondisclosure and/or assignment of inventions.</w:t>
      </w:r>
    </w:p>
    <w:p>
      <w:pPr>
        <w:spacing w:after="0" w:line="200" w:lineRule="exact"/>
        <w:rPr>
          <w:sz w:val="20"/>
          <w:szCs w:val="20"/>
          <w:color w:val="auto"/>
        </w:rPr>
      </w:pPr>
    </w:p>
    <w:p>
      <w:pPr>
        <w:spacing w:after="0" w:line="276" w:lineRule="exact"/>
        <w:rPr>
          <w:sz w:val="20"/>
          <w:szCs w:val="20"/>
          <w:color w:val="auto"/>
        </w:rPr>
      </w:pPr>
    </w:p>
    <w:p>
      <w:pPr>
        <w:jc w:val="both"/>
        <w:ind w:left="368" w:right="20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“Covered Transaction” as defined in the 2019 Equity Incentive Plan: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89" w:lineRule="exact"/>
        <w:rPr>
          <w:sz w:val="20"/>
          <w:szCs w:val="20"/>
          <w:color w:val="auto"/>
        </w:rPr>
      </w:pPr>
    </w:p>
    <w:p>
      <w:pPr>
        <w:jc w:val="both"/>
        <w:ind w:left="368" w:right="20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 Period</w:t>
      </w:r>
      <w:r>
        <w:rPr>
          <w:rFonts w:ascii="Times New Roman" w:cs="Times New Roman" w:eastAsia="Times New Roman" w:hAnsi="Times New Roman"/>
          <w:sz w:val="20"/>
          <w:szCs w:val="20"/>
          <w:color w:val="auto"/>
        </w:rPr>
        <w:t>” means the period beginning on the date that is 30 days immediately before the date of the first event constituting a Change in Control and ending on the 12 month anniversary of the first event constituting a Change in Control.</w:t>
      </w:r>
    </w:p>
    <w:p>
      <w:pPr>
        <w:spacing w:after="0" w:line="174" w:lineRule="exact"/>
        <w:rPr>
          <w:sz w:val="20"/>
          <w:szCs w:val="20"/>
          <w:color w:val="auto"/>
        </w:rPr>
      </w:pPr>
    </w:p>
    <w:p>
      <w:pPr>
        <w:ind w:left="368" w:right="2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that you have complied with the Good Reason Process (hereinafter defined) following the occurrence of any of the following events: (i) a material diminution in your responsibilities, authority or duties; or (ii) a material diminution in your Base Salary;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584200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8"/>
          </w:cols>
          <w:pgMar w:left="852" w:top="275"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42" w:right="360"/>
        <w:spacing w:after="0" w:line="242"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Good Reason Condition</w:t>
      </w:r>
      <w:r>
        <w:rPr>
          <w:rFonts w:ascii="Times New Roman" w:cs="Times New Roman" w:eastAsia="Times New Roman" w:hAnsi="Times New Roman"/>
          <w:sz w:val="20"/>
          <w:szCs w:val="20"/>
          <w:color w:val="auto"/>
        </w:rPr>
        <w:t>”). Notwithstanding the foregoing, a suspension of your responsibilities, authority and/or duties for the Company during any portion of a bona fide internal investigation or an investigation by regulatory or law enforcement authorities shall not be a Good Reason Condition. “</w:t>
      </w:r>
      <w:r>
        <w:rPr>
          <w:rFonts w:ascii="Times New Roman" w:cs="Times New Roman" w:eastAsia="Times New Roman" w:hAnsi="Times New Roman"/>
          <w:sz w:val="20"/>
          <w:szCs w:val="20"/>
          <w:u w:val="single" w:color="auto"/>
          <w:color w:val="auto"/>
        </w:rPr>
        <w:t>Good Reason Process</w:t>
      </w:r>
      <w:r>
        <w:rPr>
          <w:rFonts w:ascii="Times New Roman" w:cs="Times New Roman" w:eastAsia="Times New Roman" w:hAnsi="Times New Roman"/>
          <w:sz w:val="20"/>
          <w:szCs w:val="20"/>
          <w:color w:val="auto"/>
        </w:rPr>
        <w:t>” shall mean that (i) you reasonably determine in good faith that a Good Reason Condition has occurred; (ii) you notify the Company in writing of the occurrence of the Good Reason Condition within thirty (30) days of the occurrence of such condition; (iii) you cooperate in good faith with the Company’s efforts, for a period not less than thirty (30) days following such notice (the “</w:t>
      </w:r>
      <w:r>
        <w:rPr>
          <w:rFonts w:ascii="Times New Roman" w:cs="Times New Roman" w:eastAsia="Times New Roman" w:hAnsi="Times New Roman"/>
          <w:sz w:val="20"/>
          <w:szCs w:val="20"/>
          <w:u w:val="single" w:color="auto"/>
          <w:color w:val="auto"/>
        </w:rPr>
        <w:t>Cure Period</w:t>
      </w:r>
      <w:r>
        <w:rPr>
          <w:rFonts w:ascii="Times New Roman" w:cs="Times New Roman" w:eastAsia="Times New Roman" w:hAnsi="Times New Roman"/>
          <w:sz w:val="20"/>
          <w:szCs w:val="20"/>
          <w:color w:val="auto"/>
        </w:rPr>
        <w:t>”), to remedy the Good Reason Condition; (iv) notwithstanding such efforts, the Good Reason condition continues to exist; and</w:t>
      </w:r>
    </w:p>
    <w:p>
      <w:pPr>
        <w:spacing w:after="0" w:line="5" w:lineRule="exact"/>
        <w:rPr>
          <w:sz w:val="20"/>
          <w:szCs w:val="20"/>
          <w:color w:val="auto"/>
        </w:rPr>
      </w:pPr>
    </w:p>
    <w:p>
      <w:pPr>
        <w:ind w:left="742" w:right="340"/>
        <w:spacing w:after="0" w:line="246" w:lineRule="auto"/>
        <w:rPr>
          <w:sz w:val="20"/>
          <w:szCs w:val="20"/>
          <w:color w:val="auto"/>
        </w:rPr>
      </w:pPr>
      <w:r>
        <w:rPr>
          <w:rFonts w:ascii="Times New Roman" w:cs="Times New Roman" w:eastAsia="Times New Roman" w:hAnsi="Times New Roman"/>
          <w:sz w:val="20"/>
          <w:szCs w:val="20"/>
          <w:color w:val="auto"/>
        </w:rPr>
        <w:t>(v) you terminate employment within thirty (30) days after the end of the Cure Period. If the Company cures the Good Reason Condition during the Cure Period, Good Reason shall be deemed not to have occurred.</w:t>
      </w:r>
    </w:p>
    <w:p>
      <w:pPr>
        <w:spacing w:after="0" w:line="195" w:lineRule="exact"/>
        <w:rPr>
          <w:sz w:val="20"/>
          <w:szCs w:val="20"/>
          <w:color w:val="auto"/>
        </w:rPr>
      </w:pPr>
    </w:p>
    <w:p>
      <w:pPr>
        <w:ind w:left="742" w:hanging="368"/>
        <w:spacing w:after="0"/>
        <w:tabs>
          <w:tab w:leader="none" w:pos="74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Severance Payments or CIC Severance Payments, as applicable, shall commence within sixty</w:t>
      </w:r>
    </w:p>
    <w:p>
      <w:pPr>
        <w:spacing w:after="0" w:line="21" w:lineRule="exact"/>
        <w:rPr>
          <w:rFonts w:ascii="Times New Roman" w:cs="Times New Roman" w:eastAsia="Times New Roman" w:hAnsi="Times New Roman"/>
          <w:sz w:val="20"/>
          <w:szCs w:val="20"/>
          <w:color w:val="auto"/>
        </w:rPr>
      </w:pPr>
    </w:p>
    <w:p>
      <w:pPr>
        <w:jc w:val="both"/>
        <w:ind w:left="742" w:righ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(60) days after the date of termination of your employment hereunder or, if later, the Change in Control, and shall be made on the Company’s regular payroll dates;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sixty- (60-) day period begins in one calendar year and ends in a second calendar year, the Severance Payments or CIC Severance Payments, as applicable, to the extent they qualify as “non- qualified deferred compensation” within the meaning of Section 409A (as defined below), shall begin to be paid in the second calendar year. In the event a regular payroll period is missed between the date of the termination of your employment hereunder and first payment date, the first payment shall include a “catch up” payment.</w:t>
      </w:r>
    </w:p>
    <w:p>
      <w:pPr>
        <w:spacing w:after="0" w:line="191" w:lineRule="exact"/>
        <w:rPr>
          <w:rFonts w:ascii="Times New Roman" w:cs="Times New Roman" w:eastAsia="Times New Roman" w:hAnsi="Times New Roman"/>
          <w:sz w:val="20"/>
          <w:szCs w:val="20"/>
          <w:color w:val="auto"/>
        </w:rPr>
      </w:pPr>
    </w:p>
    <w:p>
      <w:pPr>
        <w:jc w:val="both"/>
        <w:ind w:left="742" w:right="200" w:hanging="368"/>
        <w:spacing w:after="0" w:line="246" w:lineRule="auto"/>
        <w:tabs>
          <w:tab w:leader="none" w:pos="74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interest of clarity, in the event your employment with the Company is terminated as a result of your (1) death, (2) disability, (3) resignation outside of the Change in Control Period, (4) resignation other than for Good Reason within the Change in Control Period or (5) termination by the Company with Cause, you will be entitled to the Accrued Obligations, but you will not be entitled to the Severance Payments, CIC Severance Benefits or any other compensation or benefits. Notwithstanding anything to the contrary in this Agreement, all severance pay and benefits</w:t>
      </w:r>
    </w:p>
    <w:p>
      <w:pPr>
        <w:spacing w:after="0" w:line="200" w:lineRule="exact"/>
        <w:rPr>
          <w:rFonts w:ascii="Times New Roman" w:cs="Times New Roman" w:eastAsia="Times New Roman" w:hAnsi="Times New Roman"/>
          <w:sz w:val="20"/>
          <w:szCs w:val="20"/>
          <w:color w:val="auto"/>
        </w:rPr>
      </w:pPr>
    </w:p>
    <w:p>
      <w:pPr>
        <w:spacing w:after="0" w:line="268" w:lineRule="exact"/>
        <w:rPr>
          <w:rFonts w:ascii="Times New Roman" w:cs="Times New Roman" w:eastAsia="Times New Roman" w:hAnsi="Times New Roman"/>
          <w:sz w:val="20"/>
          <w:szCs w:val="20"/>
          <w:color w:val="auto"/>
        </w:rPr>
      </w:pPr>
    </w:p>
    <w:p>
      <w:pPr>
        <w:jc w:val="both"/>
        <w:ind w:left="742" w:right="200" w:hanging="1"/>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to you pursuant to Section 12(c) or (d) of this Agreement (as applicable) shall be reduced and/or offset by any amounts or benefits paid to you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w:t>
      </w:r>
    </w:p>
    <w:p>
      <w:pPr>
        <w:spacing w:after="0" w:line="179" w:lineRule="exact"/>
        <w:rPr>
          <w:rFonts w:ascii="Times New Roman" w:cs="Times New Roman" w:eastAsia="Times New Roman" w:hAnsi="Times New Roman"/>
          <w:sz w:val="20"/>
          <w:szCs w:val="20"/>
          <w:color w:val="auto"/>
        </w:rPr>
      </w:pPr>
    </w:p>
    <w:p>
      <w:pPr>
        <w:jc w:val="both"/>
        <w:ind w:left="742" w:right="220" w:hanging="368"/>
        <w:spacing w:after="0" w:line="254" w:lineRule="auto"/>
        <w:tabs>
          <w:tab w:leader="none" w:pos="74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70" w:lineRule="exact"/>
        <w:rPr>
          <w:rFonts w:ascii="Times New Roman" w:cs="Times New Roman" w:eastAsia="Times New Roman" w:hAnsi="Times New Roman"/>
          <w:sz w:val="20"/>
          <w:szCs w:val="20"/>
          <w:color w:val="auto"/>
        </w:rPr>
      </w:pPr>
    </w:p>
    <w:p>
      <w:pPr>
        <w:ind w:left="382" w:hanging="382"/>
        <w:spacing w:after="0"/>
        <w:tabs>
          <w:tab w:leader="none" w:pos="38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Timing of Payments and Section 409A.</w:t>
      </w:r>
    </w:p>
    <w:p>
      <w:pPr>
        <w:spacing w:after="0" w:line="219" w:lineRule="exact"/>
        <w:rPr>
          <w:rFonts w:ascii="Times New Roman" w:cs="Times New Roman" w:eastAsia="Times New Roman" w:hAnsi="Times New Roman"/>
          <w:sz w:val="20"/>
          <w:szCs w:val="20"/>
          <w:b w:val="1"/>
          <w:bCs w:val="1"/>
          <w:color w:val="auto"/>
        </w:rPr>
      </w:pPr>
    </w:p>
    <w:p>
      <w:pPr>
        <w:jc w:val="both"/>
        <w:ind w:left="742" w:right="220" w:hanging="368"/>
        <w:spacing w:after="0" w:line="245" w:lineRule="auto"/>
        <w:tabs>
          <w:tab w:leader="none" w:pos="74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if at the time your employment terminates, you are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(6)-month period or, if earlier, upon your death; except (A) to the extent of amounts that do not constitute a deferral of compensation within the meaning of Treasury regulation Section 1.409A-1(b) (including without limitation by reason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590550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275"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742" w:right="220"/>
        <w:spacing w:after="0" w:line="254" w:lineRule="auto"/>
        <w:rPr>
          <w:sz w:val="20"/>
          <w:szCs w:val="20"/>
          <w:color w:val="auto"/>
        </w:rPr>
      </w:pPr>
      <w:r>
        <w:rPr>
          <w:rFonts w:ascii="Times New Roman" w:cs="Times New Roman" w:eastAsia="Times New Roman" w:hAnsi="Times New Roman"/>
          <w:sz w:val="20"/>
          <w:szCs w:val="20"/>
          <w:color w:val="auto"/>
        </w:rPr>
        <w:t>safe harbor set forth in Section 1.409A-1 (b)(9)(iii), as determined by the Company in its reasonable good faith discretion); (B) benefits which qualify as excepted welfare benefits pursuant to Treasury regulation Section 1.409A-1(a)(5); or (C) other amounts or benefits that are not subject to the requirements of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42" w:right="220" w:hanging="368"/>
        <w:spacing w:after="0" w:line="249" w:lineRule="auto"/>
        <w:tabs>
          <w:tab w:leader="none" w:pos="74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all references to “termination of employment” and correlative phrases shall be construed to require a “separation from service” (as defined in Section 1.409A- 1(h) of the Treasury regulations after giving effect to the presumptions contained therein), and the term “specified employee” means an individual determined by the Company to be a specified employee under Treasury regulation Section 1.409A-l(i).</w:t>
      </w:r>
    </w:p>
    <w:p>
      <w:pPr>
        <w:spacing w:after="0" w:line="179" w:lineRule="exact"/>
        <w:rPr>
          <w:rFonts w:ascii="Times New Roman" w:cs="Times New Roman" w:eastAsia="Times New Roman" w:hAnsi="Times New Roman"/>
          <w:sz w:val="20"/>
          <w:szCs w:val="20"/>
          <w:color w:val="auto"/>
        </w:rPr>
      </w:pPr>
    </w:p>
    <w:p>
      <w:pPr>
        <w:ind w:left="742" w:right="220" w:hanging="368"/>
        <w:spacing w:after="0" w:line="269" w:lineRule="auto"/>
        <w:tabs>
          <w:tab w:leader="none" w:pos="74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made under this Agreement shall be treated as a separate payment and the right to a series of installment payments under this Agreement is to be treated as a right to a series of separate payments.</w:t>
      </w:r>
    </w:p>
    <w:p>
      <w:pPr>
        <w:spacing w:after="0" w:line="159" w:lineRule="exact"/>
        <w:rPr>
          <w:rFonts w:ascii="Times New Roman" w:cs="Times New Roman" w:eastAsia="Times New Roman" w:hAnsi="Times New Roman"/>
          <w:sz w:val="20"/>
          <w:szCs w:val="20"/>
          <w:color w:val="auto"/>
        </w:rPr>
      </w:pPr>
    </w:p>
    <w:p>
      <w:pPr>
        <w:ind w:left="742" w:right="220" w:hanging="368"/>
        <w:spacing w:after="0" w:line="269" w:lineRule="auto"/>
        <w:tabs>
          <w:tab w:leader="none" w:pos="74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Company have any liability relating to the failure or alleged failure of any payment or benefit under this Agreement to comply with, or be exempt from, the requirements of Section 409A.</w:t>
      </w:r>
    </w:p>
    <w:p>
      <w:pPr>
        <w:spacing w:after="0" w:line="141" w:lineRule="exact"/>
        <w:rPr>
          <w:rFonts w:ascii="Times New Roman" w:cs="Times New Roman" w:eastAsia="Times New Roman" w:hAnsi="Times New Roman"/>
          <w:sz w:val="20"/>
          <w:szCs w:val="20"/>
          <w:color w:val="auto"/>
        </w:rPr>
      </w:pPr>
    </w:p>
    <w:p>
      <w:pPr>
        <w:ind w:left="382" w:hanging="382"/>
        <w:spacing w:after="0"/>
        <w:tabs>
          <w:tab w:leader="none" w:pos="382"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280G</w:t>
      </w:r>
    </w:p>
    <w:p>
      <w:pPr>
        <w:spacing w:after="0" w:line="220" w:lineRule="exact"/>
        <w:rPr>
          <w:sz w:val="20"/>
          <w:szCs w:val="20"/>
          <w:color w:val="auto"/>
        </w:rPr>
      </w:pPr>
    </w:p>
    <w:p>
      <w:pPr>
        <w:ind w:left="742" w:right="380" w:hanging="368"/>
        <w:spacing w:after="0" w:line="246" w:lineRule="auto"/>
        <w:tabs>
          <w:tab w:leader="none" w:pos="74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to the extent that any of the payments and benefits provided for under this Agreement or any other agreement or arrangement between the Company and you (collectively, the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(i) constitute a "parachute payment" within the meaning of Section 280G of the Code and (ii) but for this paragraph, would be subject to the excise tax imposed by Section 4999 of the Code, then the Payments shall be reduced to the extent necessary so that no portion of such Payments retained by</w:t>
      </w:r>
    </w:p>
    <w:p>
      <w:pPr>
        <w:spacing w:after="0" w:line="200" w:lineRule="exact"/>
        <w:rPr>
          <w:rFonts w:ascii="Times New Roman" w:cs="Times New Roman" w:eastAsia="Times New Roman" w:hAnsi="Times New Roman"/>
          <w:sz w:val="20"/>
          <w:szCs w:val="20"/>
          <w:color w:val="auto"/>
        </w:rPr>
      </w:pPr>
    </w:p>
    <w:p>
      <w:pPr>
        <w:spacing w:after="0" w:line="268" w:lineRule="exact"/>
        <w:rPr>
          <w:rFonts w:ascii="Times New Roman" w:cs="Times New Roman" w:eastAsia="Times New Roman" w:hAnsi="Times New Roman"/>
          <w:sz w:val="20"/>
          <w:szCs w:val="20"/>
          <w:color w:val="auto"/>
        </w:rPr>
      </w:pPr>
    </w:p>
    <w:p>
      <w:pPr>
        <w:ind w:left="742" w:right="28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be subject to excise tax under Section 4999 of the Code; provided, however, such reduction shall only occur if after taking into account the applicable federal, state and local income taxes and the excise tax imposed by Section 4999, such reduction results in your receipt on an after-tax basis, of the greatest amount of benefits under this Agreement, notwithstanding that all or some portion of such benefits may be taxable under Section 4999 of the Code. In the event of a determination that such reduction is to take place, reduction shall occur in the following order: first, reduction of cash payments, which shall occur in reverse chronological order such that the cash payment owed on the latest date following the occurrence of the event triggering such excise tax will be the first cash payment to be reduced; second, cancellation of accelerated vesting of equity awards, which shall occur in the reverse order of the date of grant for such stock awards (i.e., the vesting of the most recently granted stock awards will be reduced first); and third, reduction of employee benefits, which shall occur in reverse chronological order such that the benefit owed on the latest date following the occurrence of the event triggering such excise tax will be the first benefit to be reduced. If two or more equity awards are granted on the same date, each award will be reduced on a pro-rata basis.</w:t>
      </w:r>
    </w:p>
    <w:p>
      <w:pPr>
        <w:spacing w:after="0" w:line="200" w:lineRule="exact"/>
        <w:rPr>
          <w:rFonts w:ascii="Times New Roman" w:cs="Times New Roman" w:eastAsia="Times New Roman" w:hAnsi="Times New Roman"/>
          <w:sz w:val="20"/>
          <w:szCs w:val="20"/>
          <w:color w:val="auto"/>
        </w:rPr>
      </w:pPr>
    </w:p>
    <w:p>
      <w:pPr>
        <w:ind w:left="742" w:right="300" w:hanging="368"/>
        <w:spacing w:after="0" w:line="246" w:lineRule="auto"/>
        <w:tabs>
          <w:tab w:leader="none" w:pos="74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you and the Company otherwise agree in writing, any determination required under this Section 14 shall be made in writing by a nationally recognized independent public accounting or consulting firm (the "</w:t>
      </w:r>
      <w:r>
        <w:rPr>
          <w:rFonts w:ascii="Times New Roman" w:cs="Times New Roman" w:eastAsia="Times New Roman" w:hAnsi="Times New Roman"/>
          <w:sz w:val="20"/>
          <w:szCs w:val="20"/>
          <w:u w:val="single" w:color="auto"/>
          <w:color w:val="auto"/>
        </w:rPr>
        <w:t>Accountants</w:t>
      </w:r>
      <w:r>
        <w:rPr>
          <w:rFonts w:ascii="Times New Roman" w:cs="Times New Roman" w:eastAsia="Times New Roman" w:hAnsi="Times New Roman"/>
          <w:sz w:val="20"/>
          <w:szCs w:val="20"/>
          <w:color w:val="auto"/>
        </w:rPr>
        <w:t>"), whose determination shall be conclusive and binding upon you and the Company for all purposes. For purposes of making the calculations required by this Section 14, the Accountants may make reasonable assumptions and approximations concerning applicable taxes and may rely in reasonable, good faith interpretations concerning the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590550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275"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42" w:right="320"/>
        <w:spacing w:after="0" w:line="274" w:lineRule="auto"/>
        <w:rPr>
          <w:sz w:val="20"/>
          <w:szCs w:val="20"/>
          <w:color w:val="auto"/>
        </w:rPr>
      </w:pPr>
      <w:r>
        <w:rPr>
          <w:rFonts w:ascii="Times New Roman" w:cs="Times New Roman" w:eastAsia="Times New Roman" w:hAnsi="Times New Roman"/>
          <w:sz w:val="19"/>
          <w:szCs w:val="19"/>
          <w:color w:val="auto"/>
        </w:rPr>
        <w:t>of Sections 280G and 4999 of the Code. The Company and you shall furnish to the Accountants such information and documents as the Accountants may reasonably request in order to make a determination under this Section 14. The Company shall bear all costs the Accountants may reasonably incur in connection with any calculations contemplated by this Section 14.</w:t>
      </w:r>
    </w:p>
    <w:p>
      <w:pPr>
        <w:spacing w:after="0" w:line="152" w:lineRule="exact"/>
        <w:rPr>
          <w:sz w:val="20"/>
          <w:szCs w:val="20"/>
          <w:color w:val="auto"/>
        </w:rPr>
      </w:pPr>
    </w:p>
    <w:p>
      <w:pPr>
        <w:jc w:val="both"/>
        <w:ind w:left="2" w:right="220" w:hanging="2"/>
        <w:spacing w:after="0" w:line="250" w:lineRule="auto"/>
        <w:tabs>
          <w:tab w:leader="none" w:pos="355"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w:t>
      </w:r>
      <w:r>
        <w:rPr>
          <w:rFonts w:ascii="Times New Roman" w:cs="Times New Roman" w:eastAsia="Times New Roman" w:hAnsi="Times New Roman"/>
          <w:sz w:val="20"/>
          <w:szCs w:val="20"/>
          <w:color w:val="auto"/>
        </w:rPr>
        <w:t>The Company shall indemnify you and hold you harmless to the fullest extent provided under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Incorporation and the By-Laws of the Company against and in respect of any and all actions, suits, proceedings, claims, demands, judgments, costs, expenses (including reasonable attorney’s fees), losses, and damages resulting from your good faith performance of your duties and obligations to the Company, subject to the limitations and conditions set forth therein.</w:t>
      </w:r>
    </w:p>
    <w:p>
      <w:pPr>
        <w:spacing w:after="0" w:line="175" w:lineRule="exact"/>
        <w:rPr>
          <w:rFonts w:ascii="Times New Roman" w:cs="Times New Roman" w:eastAsia="Times New Roman" w:hAnsi="Times New Roman"/>
          <w:sz w:val="20"/>
          <w:szCs w:val="20"/>
          <w:b w:val="1"/>
          <w:bCs w:val="1"/>
          <w:color w:val="auto"/>
        </w:rPr>
      </w:pPr>
    </w:p>
    <w:p>
      <w:pPr>
        <w:jc w:val="both"/>
        <w:ind w:left="2" w:right="220" w:hanging="2"/>
        <w:spacing w:after="0" w:line="246" w:lineRule="auto"/>
        <w:tabs>
          <w:tab w:leader="none" w:pos="355"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Any notices, requests, demands and other communications provided for by this Agreement shall be sufficient if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delivered in person or sent by a nationally recognized overnight courier service or by registered or certified mail, postage prepaid, return receipt requested, to you at the last address you have filed in writing with the Company or, in the case of the Company, at its main offices, attention of the Company’s Chief Executive Officer. Notices, requests, demands and other communications provided for by this Agreement shall also be sufficient if sent by email to your Company email address or, in the case of Company, the Company email address of the Company’s Chief Executive Officer, with confirmation of receipt.</w:t>
      </w:r>
    </w:p>
    <w:p>
      <w:pPr>
        <w:spacing w:after="0" w:line="178" w:lineRule="exact"/>
        <w:rPr>
          <w:rFonts w:ascii="Times New Roman" w:cs="Times New Roman" w:eastAsia="Times New Roman" w:hAnsi="Times New Roman"/>
          <w:sz w:val="20"/>
          <w:szCs w:val="20"/>
          <w:b w:val="1"/>
          <w:bCs w:val="1"/>
          <w:color w:val="auto"/>
        </w:rPr>
      </w:pPr>
    </w:p>
    <w:p>
      <w:pPr>
        <w:jc w:val="both"/>
        <w:ind w:left="2" w:right="220" w:hanging="2"/>
        <w:spacing w:after="0" w:line="250" w:lineRule="auto"/>
        <w:tabs>
          <w:tab w:leader="none" w:pos="355"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0"/>
          <w:szCs w:val="20"/>
          <w:color w:val="auto"/>
        </w:rPr>
        <w:t>. The Company has entered into this Agreement based on your representations (oral and written) regarding your background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experience (including those pertaining to your education, training, qualifications, licensing and prior work experience) on all job applications, resumes or CVs you have submitted to the Company and in any interviews or discussions you have had with the Company. By</w:t>
      </w:r>
    </w:p>
    <w:p>
      <w:pPr>
        <w:spacing w:after="0" w:line="200" w:lineRule="exact"/>
        <w:rPr>
          <w:sz w:val="20"/>
          <w:szCs w:val="20"/>
          <w:color w:val="auto"/>
        </w:rPr>
      </w:pPr>
    </w:p>
    <w:p>
      <w:pPr>
        <w:spacing w:after="0" w:line="277" w:lineRule="exact"/>
        <w:rPr>
          <w:sz w:val="20"/>
          <w:szCs w:val="20"/>
          <w:color w:val="auto"/>
        </w:rPr>
      </w:pPr>
    </w:p>
    <w:p>
      <w:pPr>
        <w:jc w:val="both"/>
        <w:ind w:left="2" w:right="200"/>
        <w:spacing w:after="0" w:line="243" w:lineRule="auto"/>
        <w:rPr>
          <w:sz w:val="20"/>
          <w:szCs w:val="20"/>
          <w:color w:val="auto"/>
        </w:rPr>
      </w:pPr>
      <w:r>
        <w:rPr>
          <w:rFonts w:ascii="Times New Roman" w:cs="Times New Roman" w:eastAsia="Times New Roman" w:hAnsi="Times New Roman"/>
          <w:sz w:val="20"/>
          <w:szCs w:val="20"/>
          <w:color w:val="auto"/>
        </w:rPr>
        <w:t>executing this Agreement, you specifically affirm that all information that you have provided orally and in writing is full, complete and accurate. Notwithstanding anything to the contrary herein, the effectiveness of this Agreement shall be conditioned on (i) your satisfactory completion of reference and background checks, if so requested by the Company, and (ii) your submission of satisfactory proof of legal authorization to work in the United States. You acknowledge and agree that this Agreement and certain payments hereunder may be subject to (i) any clawback, forfeiture or other similar policy adopted by the Board or Committee and as in effect from time to time (the “</w:t>
      </w: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and (ii) applicable law. You shall receive an opportunity to review the Clawback Policy, if any, and agree to take all required action to enable the enforcement of the Clawback Policy. For the avoidance of doubt, any action by the Company to recoup any compensation under the Clawback Policy shall not be deemed to give rise to “Good Reason” hereunder.</w:t>
      </w:r>
    </w:p>
    <w:p>
      <w:pPr>
        <w:spacing w:after="0" w:line="189"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2496185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275"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As of the date first written above, this Agreement will take effect as a binding agreement between you and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BEAM THERAPEUTICS INC.</w:t>
      </w:r>
    </w:p>
    <w:p>
      <w:pPr>
        <w:spacing w:after="0" w:line="2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Evans</w:t>
      </w:r>
      <w:r>
        <w:rPr>
          <w:rFonts w:ascii="Times New Roman" w:cs="Times New Roman" w:eastAsia="Times New Roman" w:hAnsi="Times New Roman"/>
          <w:sz w:val="20"/>
          <w:szCs w:val="20"/>
          <w:color w:val="auto"/>
        </w:rPr>
        <w:t xml:space="preserve"> John Evans</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Sravan K. Emany</w:t>
      </w:r>
    </w:p>
    <w:p>
      <w:pPr>
        <w:spacing w:after="0" w:line="19" w:lineRule="exact"/>
        <w:rPr>
          <w:sz w:val="20"/>
          <w:szCs w:val="20"/>
          <w:color w:val="auto"/>
        </w:rPr>
      </w:pPr>
    </w:p>
    <w:p>
      <w:pPr>
        <w:ind w:left="10260"/>
        <w:spacing w:after="0"/>
        <w:rPr>
          <w:sz w:val="20"/>
          <w:szCs w:val="20"/>
          <w:color w:val="auto"/>
        </w:rPr>
      </w:pPr>
      <w:r>
        <w:rPr>
          <w:rFonts w:ascii="Arial" w:cs="Arial" w:eastAsia="Arial" w:hAnsi="Arial"/>
          <w:sz w:val="20"/>
          <w:szCs w:val="20"/>
          <w:color w:val="auto"/>
        </w:rPr>
        <w:t>12/2/2024</w:t>
      </w:r>
    </w:p>
    <w:p>
      <w:pPr>
        <w:spacing w:after="0" w:line="2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79" w:name="page180"/>
    <w:bookmarkEnd w:id="179"/>
    <w:p>
      <w:pPr>
        <w:ind w:left="10120"/>
        <w:spacing w:after="0"/>
        <w:rPr>
          <w:sz w:val="20"/>
          <w:szCs w:val="20"/>
          <w:color w:val="auto"/>
        </w:rPr>
      </w:pPr>
      <w:r>
        <w:rPr>
          <w:rFonts w:ascii="Times New Roman" w:cs="Times New Roman" w:eastAsia="Times New Roman" w:hAnsi="Times New Roman"/>
          <w:sz w:val="19"/>
          <w:szCs w:val="19"/>
          <w:b w:val="1"/>
          <w:bCs w:val="1"/>
          <w:color w:val="auto"/>
        </w:rPr>
        <w:t>Exhibit 10.42</w:t>
      </w:r>
    </w:p>
    <w:p>
      <w:pPr>
        <w:spacing w:after="0" w:line="24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CONTAINED IN THIS DOCUMENT, MARKED BY [**], HAS BEEN OMITTED BECAUSE IT IS NOT MATERIAL AND WOULD LIKELY CAUSE COMPETITIVE HARM TO BEAM THERAPEUTICS INC. IF PUBLICLY DISCLOSED.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4 TO LICENSE AGREEMENT</w:t>
      </w:r>
    </w:p>
    <w:p>
      <w:pPr>
        <w:spacing w:after="0" w:line="206"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This Amendment (“</w:t>
      </w:r>
      <w:r>
        <w:rPr>
          <w:rFonts w:ascii="Times New Roman" w:cs="Times New Roman" w:eastAsia="Times New Roman" w:hAnsi="Times New Roman"/>
          <w:sz w:val="22"/>
          <w:szCs w:val="22"/>
          <w:b w:val="1"/>
          <w:bCs w:val="1"/>
          <w:color w:val="auto"/>
        </w:rPr>
        <w:t>Amendment No. 4</w:t>
      </w:r>
      <w:r>
        <w:rPr>
          <w:rFonts w:ascii="Times New Roman" w:cs="Times New Roman" w:eastAsia="Times New Roman" w:hAnsi="Times New Roman"/>
          <w:sz w:val="22"/>
          <w:szCs w:val="22"/>
          <w:color w:val="auto"/>
        </w:rPr>
        <w:t>”), effective as of December 11, 2024 (“</w:t>
      </w:r>
      <w:r>
        <w:rPr>
          <w:rFonts w:ascii="Times New Roman" w:cs="Times New Roman" w:eastAsia="Times New Roman" w:hAnsi="Times New Roman"/>
          <w:sz w:val="22"/>
          <w:szCs w:val="22"/>
          <w:b w:val="1"/>
          <w:bCs w:val="1"/>
          <w:color w:val="auto"/>
        </w:rPr>
        <w:t>Amendment No. 4 Effective Date</w:t>
      </w:r>
      <w:r>
        <w:rPr>
          <w:rFonts w:ascii="Times New Roman" w:cs="Times New Roman" w:eastAsia="Times New Roman" w:hAnsi="Times New Roman"/>
          <w:sz w:val="22"/>
          <w:szCs w:val="22"/>
          <w:color w:val="auto"/>
        </w:rPr>
        <w:t xml:space="preserve">”), is entered into by and between </w:t>
      </w:r>
      <w:r>
        <w:rPr>
          <w:rFonts w:ascii="Times New Roman" w:cs="Times New Roman" w:eastAsia="Times New Roman" w:hAnsi="Times New Roman"/>
          <w:sz w:val="22"/>
          <w:szCs w:val="22"/>
          <w:b w:val="1"/>
          <w:bCs w:val="1"/>
          <w:color w:val="auto"/>
        </w:rPr>
        <w:t>Beam Therapeutics Inc.</w:t>
      </w:r>
      <w:r>
        <w:rPr>
          <w:rFonts w:ascii="Times New Roman" w:cs="Times New Roman" w:eastAsia="Times New Roman" w:hAnsi="Times New Roman"/>
          <w:sz w:val="22"/>
          <w:szCs w:val="22"/>
          <w:color w:val="auto"/>
        </w:rPr>
        <w:t>, a corporation existing under the laws of the State of Delaware, having a place of business at 238 Main Street, Cambridge, Massachusetts 02142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President and Fellows of Harvard College</w:t>
      </w:r>
      <w:r>
        <w:rPr>
          <w:rFonts w:ascii="Times New Roman" w:cs="Times New Roman" w:eastAsia="Times New Roman" w:hAnsi="Times New Roman"/>
          <w:sz w:val="22"/>
          <w:szCs w:val="22"/>
          <w:color w:val="auto"/>
        </w:rPr>
        <w:t>, an educational and charitable corporation existing under the laws and the constitution of the Commonwealth of Massachusetts, having a place of business at Richard A. and Susan F. Smith Campus Center, Suite 727, 1350 Massachusetts Avenue, Cambridge, Massachusetts 02138 (“</w:t>
      </w:r>
      <w:r>
        <w:rPr>
          <w:rFonts w:ascii="Times New Roman" w:cs="Times New Roman" w:eastAsia="Times New Roman" w:hAnsi="Times New Roman"/>
          <w:sz w:val="22"/>
          <w:szCs w:val="22"/>
          <w:b w:val="1"/>
          <w:bCs w:val="1"/>
          <w:color w:val="auto"/>
        </w:rPr>
        <w:t>Harvard</w:t>
      </w:r>
      <w:r>
        <w:rPr>
          <w:rFonts w:ascii="Times New Roman" w:cs="Times New Roman" w:eastAsia="Times New Roman" w:hAnsi="Times New Roman"/>
          <w:sz w:val="22"/>
          <w:szCs w:val="22"/>
          <w:color w:val="auto"/>
        </w:rPr>
        <w:t>”). Each of Harvard and Licensee are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hereunder and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left="140" w:right="120" w:firstLine="749"/>
        <w:spacing w:after="0" w:line="239" w:lineRule="auto"/>
        <w:rPr>
          <w:sz w:val="20"/>
          <w:szCs w:val="20"/>
          <w:color w:val="auto"/>
        </w:rPr>
      </w:pPr>
      <w:r>
        <w:rPr>
          <w:rFonts w:ascii="Times New Roman" w:cs="Times New Roman" w:eastAsia="Times New Roman" w:hAnsi="Times New Roman"/>
          <w:sz w:val="22"/>
          <w:szCs w:val="22"/>
          <w:color w:val="auto"/>
        </w:rPr>
        <w:t>WHEREAS, Licensee and Harvard have entered into that certain License Agreement dated as of June 27, 2017, as amended by that certain Amendment No. 1 to License Agreement dated as of December 12, 2017, that certain Amendment No. 2 to License Agreement dated as of March 27, 2020, and that certain Amendment No. 3 to License Agreement dated as of January 7, 2021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w:t>
      </w:r>
    </w:p>
    <w:p>
      <w:pPr>
        <w:spacing w:after="0" w:line="153" w:lineRule="exact"/>
        <w:rPr>
          <w:sz w:val="20"/>
          <w:szCs w:val="20"/>
          <w:color w:val="auto"/>
        </w:rPr>
      </w:pPr>
    </w:p>
    <w:p>
      <w:pPr>
        <w:jc w:val="both"/>
        <w:ind w:left="140" w:right="120" w:firstLine="749"/>
        <w:spacing w:after="0" w:line="244" w:lineRule="auto"/>
        <w:rPr>
          <w:sz w:val="20"/>
          <w:szCs w:val="20"/>
          <w:color w:val="auto"/>
        </w:rPr>
      </w:pPr>
      <w:r>
        <w:rPr>
          <w:rFonts w:ascii="Times New Roman" w:cs="Times New Roman" w:eastAsia="Times New Roman" w:hAnsi="Times New Roman"/>
          <w:sz w:val="22"/>
          <w:szCs w:val="22"/>
          <w:color w:val="auto"/>
        </w:rPr>
        <w:t>WHEREAS, Licensee and Harvard desire to amend the Agreement to clarify the Parties’ respective obligations and rights regarding reporting under Sections 4.3 and 5.1 of the Agreement, and to modify certain terms relating to the Royalty Term and royalty rate for Licensed Products, subject to the terms and conditions of this Amendment No. 4.</w:t>
      </w:r>
    </w:p>
    <w:p>
      <w:pPr>
        <w:spacing w:after="0" w:line="1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for valuable consideration, the receipt and sufficiency of which are hereby acknowledged,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Parties hereby agree as follows: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010000"/>
        </w:rPr>
        <w:t xml:space="preserve">ARTICLE 1. </w:t>
      </w:r>
      <w:r>
        <w:rPr>
          <w:rFonts w:ascii="Times New Roman" w:cs="Times New Roman" w:eastAsia="Times New Roman" w:hAnsi="Times New Roman"/>
          <w:sz w:val="22"/>
          <w:szCs w:val="22"/>
          <w:b w:val="1"/>
          <w:bCs w:val="1"/>
          <w:color w:val="000000"/>
        </w:rPr>
        <w:t>AGREEMENT TO AMEND</w:t>
      </w:r>
    </w:p>
    <w:p>
      <w:pPr>
        <w:spacing w:after="0" w:line="2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010000"/>
        </w:rPr>
        <w:t>1.1</w:t>
      </w:r>
      <w:r>
        <w:rPr>
          <w:rFonts w:ascii="Times New Roman" w:cs="Times New Roman" w:eastAsia="Times New Roman" w:hAnsi="Times New Roman"/>
          <w:sz w:val="21"/>
          <w:szCs w:val="21"/>
          <w:color w:val="000000"/>
        </w:rPr>
        <w:t>Capitalized terms used but not defined herein shall have the meaning given to them in the Agreement.</w:t>
      </w:r>
    </w:p>
    <w:p>
      <w:pPr>
        <w:spacing w:after="0" w:line="218" w:lineRule="exact"/>
        <w:rPr>
          <w:sz w:val="20"/>
          <w:szCs w:val="20"/>
          <w:color w:val="auto"/>
        </w:rPr>
      </w:pPr>
    </w:p>
    <w:p>
      <w:pPr>
        <w:ind w:left="120" w:right="680" w:firstLine="749"/>
        <w:spacing w:after="0" w:line="282" w:lineRule="auto"/>
        <w:rPr>
          <w:sz w:val="20"/>
          <w:szCs w:val="20"/>
          <w:color w:val="auto"/>
        </w:rPr>
      </w:pPr>
      <w:r>
        <w:rPr>
          <w:rFonts w:ascii="Times New Roman" w:cs="Times New Roman" w:eastAsia="Times New Roman" w:hAnsi="Times New Roman"/>
          <w:sz w:val="20"/>
          <w:szCs w:val="20"/>
          <w:color w:val="010000"/>
        </w:rPr>
        <w:t>1.2</w:t>
      </w:r>
      <w:r>
        <w:rPr>
          <w:rFonts w:ascii="Times New Roman" w:cs="Times New Roman" w:eastAsia="Times New Roman" w:hAnsi="Times New Roman"/>
          <w:sz w:val="21"/>
          <w:szCs w:val="21"/>
          <w:color w:val="000000"/>
        </w:rPr>
        <w:t>The Agreement is hereby amended from the Amendment No. 4 Effective Date by adding a new Section 4.3.6</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1"/>
          <w:szCs w:val="21"/>
          <w:color w:val="000000"/>
        </w:rPr>
        <w:t>immediately following the existing Section 4.3.5, to read as follows:</w:t>
      </w:r>
    </w:p>
    <w:p>
      <w:pPr>
        <w:spacing w:after="0" w:line="162" w:lineRule="exact"/>
        <w:rPr>
          <w:sz w:val="20"/>
          <w:szCs w:val="20"/>
          <w:color w:val="auto"/>
        </w:rPr>
      </w:pPr>
    </w:p>
    <w:p>
      <w:pPr>
        <w:jc w:val="both"/>
        <w:ind w:left="880" w:right="860"/>
        <w:spacing w:after="0" w:line="245" w:lineRule="auto"/>
        <w:rPr>
          <w:sz w:val="20"/>
          <w:szCs w:val="20"/>
          <w:color w:val="auto"/>
        </w:rPr>
      </w:pPr>
      <w:r>
        <w:rPr>
          <w:rFonts w:ascii="Times New Roman" w:cs="Times New Roman" w:eastAsia="Times New Roman" w:hAnsi="Times New Roman"/>
          <w:sz w:val="21"/>
          <w:szCs w:val="21"/>
          <w:color w:val="auto"/>
        </w:rPr>
        <w:t xml:space="preserve">“4.3.6. With respect to the achievement of the first milestone under </w:t>
      </w:r>
      <w:r>
        <w:rPr>
          <w:rFonts w:ascii="Times New Roman" w:cs="Times New Roman" w:eastAsia="Times New Roman" w:hAnsi="Times New Roman"/>
          <w:sz w:val="21"/>
          <w:szCs w:val="21"/>
          <w:u w:val="single" w:color="auto"/>
          <w:color w:val="auto"/>
        </w:rPr>
        <w:t>Section 4.3.1</w:t>
      </w:r>
      <w:r>
        <w:rPr>
          <w:rFonts w:ascii="Times New Roman" w:cs="Times New Roman" w:eastAsia="Times New Roman" w:hAnsi="Times New Roman"/>
          <w:sz w:val="21"/>
          <w:szCs w:val="21"/>
          <w:color w:val="auto"/>
        </w:rPr>
        <w:t xml:space="preserve"> with respect to any Licensed Product for which a milestone payment is payable under </w:t>
      </w:r>
      <w:r>
        <w:rPr>
          <w:rFonts w:ascii="Times New Roman" w:cs="Times New Roman" w:eastAsia="Times New Roman" w:hAnsi="Times New Roman"/>
          <w:sz w:val="21"/>
          <w:szCs w:val="21"/>
          <w:u w:val="single" w:color="auto"/>
          <w:color w:val="auto"/>
        </w:rPr>
        <w:t>Section 4.3.1</w:t>
      </w:r>
      <w:r>
        <w:rPr>
          <w:rFonts w:ascii="Times New Roman" w:cs="Times New Roman" w:eastAsia="Times New Roman" w:hAnsi="Times New Roman"/>
          <w:sz w:val="21"/>
          <w:szCs w:val="21"/>
          <w:color w:val="auto"/>
        </w:rPr>
        <w:t xml:space="preserve">, Licensee shall provide to Harvard, together with the notice of achievement of such milestone pursuant to </w:t>
      </w:r>
      <w:r>
        <w:rPr>
          <w:rFonts w:ascii="Times New Roman" w:cs="Times New Roman" w:eastAsia="Times New Roman" w:hAnsi="Times New Roman"/>
          <w:sz w:val="21"/>
          <w:szCs w:val="21"/>
          <w:u w:val="single" w:color="auto"/>
          <w:color w:val="auto"/>
        </w:rPr>
        <w:t>Section 4.3.3</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color w:val="auto"/>
        </w:rPr>
        <w:t>Product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Report</w:t>
      </w:r>
      <w:r>
        <w:rPr>
          <w:rFonts w:ascii="Times New Roman" w:cs="Times New Roman" w:eastAsia="Times New Roman" w:hAnsi="Times New Roman"/>
          <w:sz w:val="21"/>
          <w:szCs w:val="21"/>
          <w:color w:val="auto"/>
        </w:rPr>
        <w:t>” in the form attached hereto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4.3.6</w:t>
      </w:r>
      <w:r>
        <w:rPr>
          <w:rFonts w:ascii="Times New Roman" w:cs="Times New Roman" w:eastAsia="Times New Roman" w:hAnsi="Times New Roman"/>
          <w:sz w:val="21"/>
          <w:szCs w:val="21"/>
          <w:color w:val="auto"/>
        </w:rPr>
        <w:t>, containing the following information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Licensed Product: (a) General Description (Free text) of the Licensed Product, (b) Product/Program name, (c) indication for which the Licensed Product is being developed as of the date of the Product Report,</w:t>
      </w:r>
    </w:p>
    <w:p>
      <w:pPr>
        <w:spacing w:after="0" w:line="3" w:lineRule="exact"/>
        <w:rPr>
          <w:sz w:val="20"/>
          <w:szCs w:val="20"/>
          <w:color w:val="auto"/>
        </w:rPr>
      </w:pPr>
    </w:p>
    <w:p>
      <w:pPr>
        <w:jc w:val="both"/>
        <w:ind w:left="880" w:right="880" w:firstLine="1"/>
        <w:spacing w:after="0" w:line="234" w:lineRule="auto"/>
        <w:tabs>
          <w:tab w:leader="none" w:pos="119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cell type(s), (e) target Gene(s), (f) target base edit(s), (g) guide RNA sequence(s), (h) Base Editor version (for example, [**]), (i) Base Editor amino acid sequence, (j) delivery method (for example, [**]) and composition (specifically identifying whether [**] are used, provided that no chemical structures are required to be disclosed), and (k) nuclease cut profiling (yes/no, based on [**]). Harvard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0" w:name="page181"/>
    <w:bookmarkEnd w:id="180"/>
    <w:p>
      <w:pPr>
        <w:ind w:left="10120"/>
        <w:spacing w:after="0"/>
        <w:rPr>
          <w:sz w:val="20"/>
          <w:szCs w:val="20"/>
          <w:color w:val="auto"/>
        </w:rPr>
      </w:pPr>
      <w:r>
        <w:rPr>
          <w:rFonts w:ascii="Times New Roman" w:cs="Times New Roman" w:eastAsia="Times New Roman" w:hAnsi="Times New Roman"/>
          <w:sz w:val="19"/>
          <w:szCs w:val="19"/>
          <w:b w:val="1"/>
          <w:bCs w:val="1"/>
          <w:color w:val="auto"/>
        </w:rPr>
        <w:t>Exhibit 10.42</w:t>
      </w:r>
    </w:p>
    <w:p>
      <w:pPr>
        <w:spacing w:after="0" w:line="24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CONTAINED IN THIS DOCUMENT, MARKED BY [**], HAS BEEN OMITTED BECAUSE IT IS NOT MATERIAL AND WOULD LIKELY CAUSE COMPETITIVE HARM TO BEAM THERAPEUTICS INC. IF PUBLICLY DISCLOSED.</w:t>
      </w:r>
    </w:p>
    <w:p>
      <w:pPr>
        <w:spacing w:after="0" w:line="195" w:lineRule="exact"/>
        <w:rPr>
          <w:sz w:val="20"/>
          <w:szCs w:val="20"/>
          <w:color w:val="auto"/>
        </w:rPr>
      </w:pPr>
    </w:p>
    <w:p>
      <w:pPr>
        <w:jc w:val="both"/>
        <w:ind w:left="880" w:right="860"/>
        <w:spacing w:after="0" w:line="243" w:lineRule="auto"/>
        <w:rPr>
          <w:sz w:val="20"/>
          <w:szCs w:val="20"/>
          <w:color w:val="auto"/>
        </w:rPr>
      </w:pPr>
      <w:r>
        <w:rPr>
          <w:rFonts w:ascii="Times New Roman" w:cs="Times New Roman" w:eastAsia="Times New Roman" w:hAnsi="Times New Roman"/>
          <w:sz w:val="21"/>
          <w:szCs w:val="21"/>
          <w:color w:val="auto"/>
        </w:rPr>
        <w:t xml:space="preserve">provide notice promptly to Licensee of any deficiency in the contents of the Product Report, and Licensee shall remedy any such deficiency within [**] days after such notice from Harvard. With respect to any Licensed Product that has already met a milestone under </w:t>
      </w:r>
      <w:r>
        <w:rPr>
          <w:rFonts w:ascii="Times New Roman" w:cs="Times New Roman" w:eastAsia="Times New Roman" w:hAnsi="Times New Roman"/>
          <w:sz w:val="21"/>
          <w:szCs w:val="21"/>
          <w:u w:val="single" w:color="auto"/>
          <w:color w:val="auto"/>
        </w:rPr>
        <w:t>Section 4.3.1</w:t>
      </w:r>
      <w:r>
        <w:rPr>
          <w:rFonts w:ascii="Times New Roman" w:cs="Times New Roman" w:eastAsia="Times New Roman" w:hAnsi="Times New Roman"/>
          <w:sz w:val="21"/>
          <w:szCs w:val="21"/>
          <w:color w:val="auto"/>
        </w:rPr>
        <w:t xml:space="preserve"> as of December 11, 2024, Licensee shall provide a retrospective Product Report for such Licensed Product within [**] days after December 11, 2024. For clarity, the information included in any Product Report shall be Licensee Confidential Information for the purpose of this Agreement. Notwithstanding the foregoing, with respect to any Licensed Product exploited pursuant to (i) a Sublicense granted under any of the agreements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any amendments or restatements of the agreements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(ii) further Sublicenses of such Sublicenses, to the extent permitted under this Agreement, or (iii) license agreements entered into pursuant to any agreement in clause (i) or (ii) (collectively, the “</w:t>
      </w:r>
      <w:r>
        <w:rPr>
          <w:rFonts w:ascii="Times New Roman" w:cs="Times New Roman" w:eastAsia="Times New Roman" w:hAnsi="Times New Roman"/>
          <w:sz w:val="21"/>
          <w:szCs w:val="21"/>
          <w:b w:val="1"/>
          <w:bCs w:val="1"/>
          <w:color w:val="auto"/>
        </w:rPr>
        <w:t>Existing Sublicenses</w:t>
      </w:r>
      <w:r>
        <w:rPr>
          <w:rFonts w:ascii="Times New Roman" w:cs="Times New Roman" w:eastAsia="Times New Roman" w:hAnsi="Times New Roman"/>
          <w:sz w:val="21"/>
          <w:szCs w:val="21"/>
          <w:color w:val="auto"/>
        </w:rPr>
        <w:t>”, and each Sublicensee under such Existing Sublicenses, an “</w:t>
      </w:r>
      <w:r>
        <w:rPr>
          <w:rFonts w:ascii="Times New Roman" w:cs="Times New Roman" w:eastAsia="Times New Roman" w:hAnsi="Times New Roman"/>
          <w:sz w:val="21"/>
          <w:szCs w:val="21"/>
          <w:b w:val="1"/>
          <w:bCs w:val="1"/>
          <w:color w:val="auto"/>
        </w:rPr>
        <w:t>Existing Sublicensee</w:t>
      </w:r>
      <w:r>
        <w:rPr>
          <w:rFonts w:ascii="Times New Roman" w:cs="Times New Roman" w:eastAsia="Times New Roman" w:hAnsi="Times New Roman"/>
          <w:sz w:val="21"/>
          <w:szCs w:val="21"/>
          <w:color w:val="auto"/>
        </w:rPr>
        <w:t>”), Licensee will only be obligated to provide information required to be provided in a Product Report to the extent Licensee has access to, and the right to so disclose, such information, provided that Licensee shall use commercially reasonable efforts (but without any obligation to make any payments to such Sublicensees in connection with such request or agree to any concession with such Sublicensees) to obtain access to, and the right to disclose, such information, or to otherwise facilitate the transfer of such information directly between Existing Sublicensees and Harvard. With respect to any Licensed Product exploited by any Sublicensee, Licensee is permitted to facilitate the transfer of Product Reports directly between such Sublicensee and Harvard, which provision of the Product Reports by such Sublicensee shall satisfy Licensee’s obligation hereunder.”</w:t>
      </w:r>
    </w:p>
    <w:p>
      <w:pPr>
        <w:spacing w:after="0" w:line="187" w:lineRule="exact"/>
        <w:rPr>
          <w:sz w:val="20"/>
          <w:szCs w:val="20"/>
          <w:color w:val="auto"/>
        </w:rPr>
      </w:pPr>
    </w:p>
    <w:p>
      <w:pPr>
        <w:ind w:left="120" w:right="1000" w:firstLine="749"/>
        <w:spacing w:after="0" w:line="282" w:lineRule="auto"/>
        <w:rPr>
          <w:sz w:val="20"/>
          <w:szCs w:val="20"/>
          <w:color w:val="auto"/>
        </w:rPr>
      </w:pPr>
      <w:r>
        <w:rPr>
          <w:rFonts w:ascii="Times New Roman" w:cs="Times New Roman" w:eastAsia="Times New Roman" w:hAnsi="Times New Roman"/>
          <w:sz w:val="20"/>
          <w:szCs w:val="20"/>
          <w:color w:val="010000"/>
        </w:rPr>
        <w:t>1.3</w:t>
      </w:r>
      <w:r>
        <w:rPr>
          <w:rFonts w:ascii="Times New Roman" w:cs="Times New Roman" w:eastAsia="Times New Roman" w:hAnsi="Times New Roman"/>
          <w:sz w:val="21"/>
          <w:szCs w:val="21"/>
          <w:color w:val="000000"/>
        </w:rPr>
        <w:t>The Agreement is hereby amended by (a) adding a new Exhibit 4.3.6 thereto, as set forth in Attachment 1</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1"/>
          <w:szCs w:val="21"/>
          <w:color w:val="000000"/>
        </w:rPr>
        <w:t>hereof, and (b) adding a new Appendix A thereto, as set forth in Attachment 2 hereof.</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010000"/>
        </w:rPr>
        <w:t>1.4</w:t>
      </w:r>
      <w:r>
        <w:rPr>
          <w:rFonts w:ascii="Times New Roman" w:cs="Times New Roman" w:eastAsia="Times New Roman" w:hAnsi="Times New Roman"/>
          <w:sz w:val="21"/>
          <w:szCs w:val="21"/>
          <w:color w:val="000000"/>
        </w:rPr>
        <w:t>Section 4.4.2 of the Agreement is hereby amended and restated in its entirety to read as follows:</w:t>
      </w:r>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“4.4.2 </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880" w:right="120" w:firstLine="749"/>
        <w:spacing w:after="0" w:line="235" w:lineRule="auto"/>
        <w:rPr>
          <w:sz w:val="20"/>
          <w:szCs w:val="20"/>
          <w:color w:val="auto"/>
        </w:rPr>
      </w:pPr>
      <w:r>
        <w:rPr>
          <w:rFonts w:ascii="Times New Roman" w:cs="Times New Roman" w:eastAsia="Times New Roman" w:hAnsi="Times New Roman"/>
          <w:sz w:val="22"/>
          <w:szCs w:val="22"/>
          <w:color w:val="auto"/>
        </w:rPr>
        <w:t>4.4.2.1With respect to any Licensed Product exploited pursuant to an Existing Sublicense, on a country-by-country basis, in each country in which such Licensed Product is Covered by a Valid Claim, royalties shall be paid on the sum of Net Sales of such Licensed Product until the latest of: (a) the expiration date of the last to expire Valid Claim within the Patent Rights Covering the applicable Licensed Product (or if the last Covering Valid Claim with respect to such Licensed Product in such country is a pending Valid Claim, the date such pending Valid Claim ceases to be a Valid Claim; provided, however, that subsequent issuance of such Valid Claim shall again extend the Royalty Term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1" w:name="page182"/>
    <w:bookmarkEnd w:id="181"/>
    <w:p>
      <w:pPr>
        <w:ind w:left="10120"/>
        <w:spacing w:after="0"/>
        <w:rPr>
          <w:sz w:val="20"/>
          <w:szCs w:val="20"/>
          <w:color w:val="auto"/>
        </w:rPr>
      </w:pPr>
      <w:r>
        <w:rPr>
          <w:rFonts w:ascii="Times New Roman" w:cs="Times New Roman" w:eastAsia="Times New Roman" w:hAnsi="Times New Roman"/>
          <w:sz w:val="19"/>
          <w:szCs w:val="19"/>
          <w:b w:val="1"/>
          <w:bCs w:val="1"/>
          <w:color w:val="auto"/>
        </w:rPr>
        <w:t>Exhibit 10.42</w:t>
      </w:r>
    </w:p>
    <w:p>
      <w:pPr>
        <w:spacing w:after="0" w:line="24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CONTAINED IN THIS DOCUMENT, MARKED BY [**], HAS BEEN OMITTED BECAUSE IT IS NOT MATERIAL AND WOULD LIKELY CAUSE COMPETITIVE HARM TO BEAM THERAPEUTICS INC. IF PUBLICLY DISCLOSED.</w:t>
      </w:r>
    </w:p>
    <w:p>
      <w:pPr>
        <w:spacing w:after="0" w:line="276" w:lineRule="exact"/>
        <w:rPr>
          <w:sz w:val="20"/>
          <w:szCs w:val="20"/>
          <w:color w:val="auto"/>
        </w:rPr>
      </w:pPr>
    </w:p>
    <w:p>
      <w:pPr>
        <w:jc w:val="both"/>
        <w:ind w:left="880" w:right="120"/>
        <w:spacing w:after="0" w:line="235" w:lineRule="auto"/>
        <w:rPr>
          <w:sz w:val="20"/>
          <w:szCs w:val="20"/>
          <w:color w:val="auto"/>
        </w:rPr>
      </w:pPr>
      <w:r>
        <w:rPr>
          <w:rFonts w:ascii="Times New Roman" w:cs="Times New Roman" w:eastAsia="Times New Roman" w:hAnsi="Times New Roman"/>
          <w:sz w:val="22"/>
          <w:szCs w:val="22"/>
          <w:color w:val="auto"/>
        </w:rPr>
        <w:t xml:space="preserve">the date of such issuance to the expiration date of such Valid Claim); (b) the period of regulatory exclusivity associated with such Licensed Product in such country; and (c) [**] years after the First Commercial Sale of such Licensed Product in such country but only for so long as such Licensed Product is sold (such period, when used with reference to Licensed Products that are subject to this </w:t>
      </w:r>
      <w:r>
        <w:rPr>
          <w:rFonts w:ascii="Times New Roman" w:cs="Times New Roman" w:eastAsia="Times New Roman" w:hAnsi="Times New Roman"/>
          <w:sz w:val="22"/>
          <w:szCs w:val="22"/>
          <w:u w:val="single" w:color="auto"/>
          <w:color w:val="auto"/>
        </w:rPr>
        <w:t>Section 4.4.2.1</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xml:space="preserve">”). During time periods when such Royalty Term is only in effect in a given country for a given Licensed Product due to clause (c) of the definition of Royalty Term in this </w:t>
      </w:r>
      <w:r>
        <w:rPr>
          <w:rFonts w:ascii="Times New Roman" w:cs="Times New Roman" w:eastAsia="Times New Roman" w:hAnsi="Times New Roman"/>
          <w:sz w:val="22"/>
          <w:szCs w:val="22"/>
          <w:u w:val="single" w:color="auto"/>
          <w:color w:val="auto"/>
        </w:rPr>
        <w:t>Section 4.4.2.1</w:t>
      </w:r>
      <w:r>
        <w:rPr>
          <w:rFonts w:ascii="Times New Roman" w:cs="Times New Roman" w:eastAsia="Times New Roman" w:hAnsi="Times New Roman"/>
          <w:sz w:val="22"/>
          <w:szCs w:val="22"/>
          <w:color w:val="auto"/>
        </w:rPr>
        <w:t xml:space="preserve">, then the royalty rate provided for such Licensed Product in such country shall be reduced by [**] percent ([**]%) from that set forth in </w:t>
      </w:r>
      <w:r>
        <w:rPr>
          <w:rFonts w:ascii="Times New Roman" w:cs="Times New Roman" w:eastAsia="Times New Roman" w:hAnsi="Times New Roman"/>
          <w:sz w:val="22"/>
          <w:szCs w:val="22"/>
          <w:u w:val="single" w:color="auto"/>
          <w:color w:val="auto"/>
        </w:rPr>
        <w:t>Section 4.4.1</w:t>
      </w:r>
      <w:r>
        <w:rPr>
          <w:rFonts w:ascii="Times New Roman" w:cs="Times New Roman" w:eastAsia="Times New Roman" w:hAnsi="Times New Roman"/>
          <w:sz w:val="22"/>
          <w:szCs w:val="22"/>
          <w:color w:val="auto"/>
        </w:rPr>
        <w:t xml:space="preserve"> above for such portions of the Royalty Term for such Licensed Product in such country.</w:t>
      </w:r>
    </w:p>
    <w:p>
      <w:pPr>
        <w:spacing w:after="0" w:line="138" w:lineRule="exact"/>
        <w:rPr>
          <w:sz w:val="20"/>
          <w:szCs w:val="20"/>
          <w:color w:val="auto"/>
        </w:rPr>
      </w:pPr>
    </w:p>
    <w:p>
      <w:pPr>
        <w:jc w:val="both"/>
        <w:ind w:left="880" w:right="120" w:firstLine="749"/>
        <w:spacing w:after="0" w:line="236" w:lineRule="auto"/>
        <w:rPr>
          <w:sz w:val="20"/>
          <w:szCs w:val="20"/>
          <w:color w:val="auto"/>
        </w:rPr>
      </w:pPr>
      <w:r>
        <w:rPr>
          <w:rFonts w:ascii="Times New Roman" w:cs="Times New Roman" w:eastAsia="Times New Roman" w:hAnsi="Times New Roman"/>
          <w:sz w:val="22"/>
          <w:szCs w:val="22"/>
          <w:color w:val="auto"/>
        </w:rPr>
        <w:t>4.4.2.2With respect to any Licensed Product exploited by Licensee or its Affiliates or pursuant to a Sublicense other than an Existing Sublicense, on a country-by-country basis, in each country in which such Licensed Product is Covered by a Valid Claim, royalties shall be paid on the sum of Net Sales of such Licensed Product until the later of:</w:t>
      </w:r>
    </w:p>
    <w:p>
      <w:pPr>
        <w:spacing w:after="0" w:line="1" w:lineRule="exact"/>
        <w:rPr>
          <w:sz w:val="20"/>
          <w:szCs w:val="20"/>
          <w:color w:val="auto"/>
        </w:rPr>
      </w:pPr>
    </w:p>
    <w:p>
      <w:pPr>
        <w:jc w:val="both"/>
        <w:ind w:left="880" w:right="120" w:firstLine="1"/>
        <w:spacing w:after="0" w:line="231" w:lineRule="auto"/>
        <w:tabs>
          <w:tab w:leader="none" w:pos="11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date of the last to expire Valid Claim within the Patent Rights Covering the applicable Licensed Product (or if the last Covering Valid Claim with respect to such Licensed Product in such country is a pending Valid Claim, the date such pending Valid Claim ceases to be a Valid Claim; provided, however, that subsequent issuance of such Valid Claim shall again extend the Royalty Term from the date of such issuance to the expiration date of such Valid Claim); and (b) [**] years after the First Commercial Sale of such Licensed Product in such country but only for so long as such Licensed Product is sold (such period, when used with reference to Licensed Products that are subject to this Section 4.4.2.2, the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xml:space="preserve">”). During time periods when the Royalty Term is only in effect in a given country for a given Licensed Product due to clause (b) of the definition of Royalty Term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4.4.2.2</w:t>
      </w:r>
      <w:r>
        <w:rPr>
          <w:rFonts w:ascii="Times New Roman" w:cs="Times New Roman" w:eastAsia="Times New Roman" w:hAnsi="Times New Roman"/>
          <w:sz w:val="22"/>
          <w:szCs w:val="22"/>
          <w:color w:val="auto"/>
        </w:rPr>
        <w:t xml:space="preserve">, then the royalty rate provided for such Licensed Product in such country shall be reduced by [**] percent ([**]%) from that set forth in </w:t>
      </w:r>
      <w:r>
        <w:rPr>
          <w:rFonts w:ascii="Times New Roman" w:cs="Times New Roman" w:eastAsia="Times New Roman" w:hAnsi="Times New Roman"/>
          <w:sz w:val="22"/>
          <w:szCs w:val="22"/>
          <w:u w:val="single" w:color="auto"/>
          <w:color w:val="auto"/>
        </w:rPr>
        <w:t>Section 4.4.1</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 in the absence of any reductions for third party royalties permitted under </w:t>
      </w:r>
      <w:r>
        <w:rPr>
          <w:rFonts w:ascii="Times New Roman" w:cs="Times New Roman" w:eastAsia="Times New Roman" w:hAnsi="Times New Roman"/>
          <w:sz w:val="22"/>
          <w:szCs w:val="22"/>
          <w:u w:val="single" w:color="auto"/>
          <w:color w:val="auto"/>
        </w:rPr>
        <w:t>Section 4.4.3.2</w:t>
      </w:r>
      <w:r>
        <w:rPr>
          <w:rFonts w:ascii="Times New Roman" w:cs="Times New Roman" w:eastAsia="Times New Roman" w:hAnsi="Times New Roman"/>
          <w:sz w:val="22"/>
          <w:szCs w:val="22"/>
          <w:color w:val="auto"/>
        </w:rPr>
        <w:t xml:space="preserve">, and a minimum percentage of [**]% with the application of a full [**]% reduction for third party royalties permitted under </w:t>
      </w:r>
      <w:r>
        <w:rPr>
          <w:rFonts w:ascii="Times New Roman" w:cs="Times New Roman" w:eastAsia="Times New Roman" w:hAnsi="Times New Roman"/>
          <w:sz w:val="22"/>
          <w:szCs w:val="22"/>
          <w:u w:val="single" w:color="auto"/>
          <w:color w:val="auto"/>
        </w:rPr>
        <w:t>Section 4.4.3.2</w:t>
      </w:r>
      <w:r>
        <w:rPr>
          <w:rFonts w:ascii="Times New Roman" w:cs="Times New Roman" w:eastAsia="Times New Roman" w:hAnsi="Times New Roman"/>
          <w:sz w:val="22"/>
          <w:szCs w:val="22"/>
          <w:color w:val="auto"/>
        </w:rPr>
        <w:t>) for such portions of the Royalty Term for such Licensed Product in such country.”</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010000"/>
        </w:rPr>
        <w:t>1.5</w:t>
      </w:r>
      <w:r>
        <w:rPr>
          <w:rFonts w:ascii="Times New Roman" w:cs="Times New Roman" w:eastAsia="Times New Roman" w:hAnsi="Times New Roman"/>
          <w:sz w:val="21"/>
          <w:szCs w:val="21"/>
          <w:color w:val="000000"/>
        </w:rPr>
        <w:t>Section 4.4.3 of the Agreement is hereby amended and restated in its entirety to read as follows:</w:t>
      </w:r>
    </w:p>
    <w:p>
      <w:pPr>
        <w:spacing w:after="0" w:line="2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“4.4.3 </w:t>
      </w:r>
      <w:r>
        <w:rPr>
          <w:rFonts w:ascii="Times New Roman" w:cs="Times New Roman" w:eastAsia="Times New Roman" w:hAnsi="Times New Roman"/>
          <w:sz w:val="22"/>
          <w:szCs w:val="22"/>
          <w:u w:val="single" w:color="auto"/>
          <w:color w:val="auto"/>
        </w:rPr>
        <w:t>Third Party Royalty Set-Off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both"/>
        <w:ind w:left="880" w:right="120" w:firstLine="749"/>
        <w:spacing w:after="0" w:line="239" w:lineRule="auto"/>
        <w:rPr>
          <w:sz w:val="20"/>
          <w:szCs w:val="20"/>
          <w:color w:val="auto"/>
        </w:rPr>
      </w:pPr>
      <w:r>
        <w:rPr>
          <w:rFonts w:ascii="Times New Roman" w:cs="Times New Roman" w:eastAsia="Times New Roman" w:hAnsi="Times New Roman"/>
          <w:sz w:val="22"/>
          <w:szCs w:val="22"/>
          <w:color w:val="auto"/>
        </w:rPr>
        <w:t>4.4.3.1With respect to any Licensed Product exploited pursuant to an Existing Sublicense, if the applicable Sublicensee obtains a license from a third party after arm’s length negotiations to patent application(s) and/or patent(s) that such Sublicensee believes in good faith Cover such Licensed Product, then Licensee may offset [**] percent ([**]%) of any royalty payments due under such third-party license with respect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2" w:name="page183"/>
    <w:bookmarkEnd w:id="182"/>
    <w:p>
      <w:pPr>
        <w:ind w:left="10120"/>
        <w:spacing w:after="0"/>
        <w:rPr>
          <w:sz w:val="20"/>
          <w:szCs w:val="20"/>
          <w:color w:val="auto"/>
        </w:rPr>
      </w:pPr>
      <w:r>
        <w:rPr>
          <w:rFonts w:ascii="Times New Roman" w:cs="Times New Roman" w:eastAsia="Times New Roman" w:hAnsi="Times New Roman"/>
          <w:sz w:val="19"/>
          <w:szCs w:val="19"/>
          <w:b w:val="1"/>
          <w:bCs w:val="1"/>
          <w:color w:val="auto"/>
        </w:rPr>
        <w:t>Exhibit 10.42</w:t>
      </w:r>
    </w:p>
    <w:p>
      <w:pPr>
        <w:spacing w:after="0" w:line="24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CONTAINED IN THIS DOCUMENT, MARKED BY [**], HAS BEEN OMITTED BECAUSE IT IS NOT MATERIAL AND WOULD LIKELY CAUSE COMPETITIVE HARM TO BEAM THERAPEUTICS INC. IF PUBLICLY DISCLOSED.</w:t>
      </w:r>
    </w:p>
    <w:p>
      <w:pPr>
        <w:spacing w:after="0" w:line="276" w:lineRule="exact"/>
        <w:rPr>
          <w:sz w:val="20"/>
          <w:szCs w:val="20"/>
          <w:color w:val="auto"/>
        </w:rPr>
      </w:pPr>
    </w:p>
    <w:p>
      <w:pPr>
        <w:jc w:val="both"/>
        <w:ind w:left="880" w:right="120"/>
        <w:spacing w:after="0" w:line="233" w:lineRule="auto"/>
        <w:rPr>
          <w:sz w:val="20"/>
          <w:szCs w:val="20"/>
          <w:color w:val="auto"/>
        </w:rPr>
      </w:pPr>
      <w:r>
        <w:rPr>
          <w:rFonts w:ascii="Times New Roman" w:cs="Times New Roman" w:eastAsia="Times New Roman" w:hAnsi="Times New Roman"/>
          <w:sz w:val="22"/>
          <w:szCs w:val="22"/>
          <w:color w:val="auto"/>
        </w:rPr>
        <w:t xml:space="preserve">patent application(s) and/or patent(s) with respect to sales of such Licensed Product against the royalty payments that are due to Harvard with respect to Net Sales of such Licensed Products in such country; provided that in no event shall (a) the royalty payments to Harvard with respect to such Licensed Products be reduced by more than [**] percent ([**]%) of the amount otherwise due, (b) with respect to royalties paid to the third party solely on the basis of claims of pending patent applications of the third party (and no issued patent claim of the third party covers the applicable Licensed Product), such amounts shall only be offsettable in accordance with the foregoing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4.4.3.1</w:t>
      </w:r>
      <w:r>
        <w:rPr>
          <w:rFonts w:ascii="Times New Roman" w:cs="Times New Roman" w:eastAsia="Times New Roman" w:hAnsi="Times New Roman"/>
          <w:sz w:val="22"/>
          <w:szCs w:val="22"/>
          <w:color w:val="auto"/>
        </w:rPr>
        <w:t xml:space="preserve"> if the Covering pending claim of the third party’s pending application would meet the definition of Valid Claim set forth in this Agreement were such pending claim within the Patent Rights as of the Effective Date, and (c) the royalty offset provided in this </w:t>
      </w:r>
      <w:r>
        <w:rPr>
          <w:rFonts w:ascii="Times New Roman" w:cs="Times New Roman" w:eastAsia="Times New Roman" w:hAnsi="Times New Roman"/>
          <w:sz w:val="22"/>
          <w:szCs w:val="22"/>
          <w:u w:val="single" w:color="auto"/>
          <w:color w:val="auto"/>
        </w:rPr>
        <w:t>Section 4.4.3.1</w:t>
      </w:r>
      <w:r>
        <w:rPr>
          <w:rFonts w:ascii="Times New Roman" w:cs="Times New Roman" w:eastAsia="Times New Roman" w:hAnsi="Times New Roman"/>
          <w:sz w:val="22"/>
          <w:szCs w:val="22"/>
          <w:color w:val="auto"/>
        </w:rPr>
        <w:t xml:space="preserve"> may be applied to any combination product for which an adjustment to Net Sales has been made in accordance with </w:t>
      </w:r>
      <w:r>
        <w:rPr>
          <w:rFonts w:ascii="Times New Roman" w:cs="Times New Roman" w:eastAsia="Times New Roman" w:hAnsi="Times New Roman"/>
          <w:sz w:val="22"/>
          <w:szCs w:val="22"/>
          <w:u w:val="single" w:color="auto"/>
          <w:color w:val="auto"/>
        </w:rPr>
        <w:t>Section 4.4.5</w:t>
      </w:r>
      <w:r>
        <w:rPr>
          <w:rFonts w:ascii="Times New Roman" w:cs="Times New Roman" w:eastAsia="Times New Roman" w:hAnsi="Times New Roman"/>
          <w:sz w:val="22"/>
          <w:szCs w:val="22"/>
          <w:color w:val="auto"/>
        </w:rPr>
        <w:t>, but to avoid doubt only as relates to royalties on patent applications and patents that would apply in the absence of the Other Active Components (third party patent royalties due solely because of the presence of the Other Active Components shall not be offsettable against adjusted Net Sales of a Combination Product).</w:t>
      </w:r>
    </w:p>
    <w:p>
      <w:pPr>
        <w:spacing w:after="0" w:line="34" w:lineRule="exact"/>
        <w:rPr>
          <w:sz w:val="20"/>
          <w:szCs w:val="20"/>
          <w:color w:val="auto"/>
        </w:rPr>
      </w:pPr>
    </w:p>
    <w:p>
      <w:pPr>
        <w:jc w:val="both"/>
        <w:ind w:left="880" w:right="120" w:firstLine="749"/>
        <w:spacing w:after="0" w:line="232" w:lineRule="auto"/>
        <w:rPr>
          <w:sz w:val="20"/>
          <w:szCs w:val="20"/>
          <w:color w:val="auto"/>
        </w:rPr>
      </w:pPr>
      <w:r>
        <w:rPr>
          <w:rFonts w:ascii="Times New Roman" w:cs="Times New Roman" w:eastAsia="Times New Roman" w:hAnsi="Times New Roman"/>
          <w:sz w:val="22"/>
          <w:szCs w:val="22"/>
          <w:color w:val="auto"/>
        </w:rPr>
        <w:t xml:space="preserve">4.4.3.2With respect to any Licensed Product exploited by Licensee or its Affiliates or pursuant to a Sublicense other than an Existing Sublicense, if Licensee, an Affiliate of Licensee or an applicable Sublicensee obtains a license from a third party after arm’s length negotiations to patent application(s) and/or patent(s) that Licensee, such Affiliate or such Sublicensee believes in good faith Cover such Licensed Product, then Licensee may offset [**] percent ([**]%) of any royalty payments due under such third-party license with respect to such patent application(s) and/or patent(s) with respect to sales of such Licensed Product against the royalty payments that are due to Harvard with respect to Net Sales of such Licensed Products in such country; provided that in no event shall (a) the royalty payments to Harvard with respect to such Licensed Products be reduced by more than [**] percent ([**]%) of the amount otherwise due, (b) with respect to royalties paid to the third party solely on the basis of claims of pending patent applications of the third party (and no issued patent claim of the third party covers the applicable Licensed Product), such amounts shall only be offsettable in accordance with the foregoing in this </w:t>
      </w:r>
      <w:r>
        <w:rPr>
          <w:rFonts w:ascii="Times New Roman" w:cs="Times New Roman" w:eastAsia="Times New Roman" w:hAnsi="Times New Roman"/>
          <w:sz w:val="22"/>
          <w:szCs w:val="22"/>
          <w:u w:val="single" w:color="auto"/>
          <w:color w:val="auto"/>
        </w:rPr>
        <w:t>Section 4.4.3.2</w:t>
      </w:r>
      <w:r>
        <w:rPr>
          <w:rFonts w:ascii="Times New Roman" w:cs="Times New Roman" w:eastAsia="Times New Roman" w:hAnsi="Times New Roman"/>
          <w:sz w:val="22"/>
          <w:szCs w:val="22"/>
          <w:color w:val="auto"/>
        </w:rPr>
        <w:t xml:space="preserve"> if the Covering pending claim of the third party’s pending application would meet the definition of Valid Claim set forth in this Agreement were such pending claim within the Patent Rights as of the Effective Date, and (c) the royalty offset provided in this </w:t>
      </w:r>
      <w:r>
        <w:rPr>
          <w:rFonts w:ascii="Times New Roman" w:cs="Times New Roman" w:eastAsia="Times New Roman" w:hAnsi="Times New Roman"/>
          <w:sz w:val="22"/>
          <w:szCs w:val="22"/>
          <w:u w:val="single" w:color="auto"/>
          <w:color w:val="auto"/>
        </w:rPr>
        <w:t>Section 4.4.3.2</w:t>
      </w:r>
      <w:r>
        <w:rPr>
          <w:rFonts w:ascii="Times New Roman" w:cs="Times New Roman" w:eastAsia="Times New Roman" w:hAnsi="Times New Roman"/>
          <w:sz w:val="22"/>
          <w:szCs w:val="22"/>
          <w:color w:val="auto"/>
        </w:rPr>
        <w:t xml:space="preserve"> may be applied to any combination product for which an adjustment to Net Sales has been made in accordance with </w:t>
      </w:r>
      <w:r>
        <w:rPr>
          <w:rFonts w:ascii="Times New Roman" w:cs="Times New Roman" w:eastAsia="Times New Roman" w:hAnsi="Times New Roman"/>
          <w:sz w:val="22"/>
          <w:szCs w:val="22"/>
          <w:u w:val="single" w:color="auto"/>
          <w:color w:val="auto"/>
        </w:rPr>
        <w:t>Section 4.4.5</w:t>
      </w:r>
      <w:r>
        <w:rPr>
          <w:rFonts w:ascii="Times New Roman" w:cs="Times New Roman" w:eastAsia="Times New Roman" w:hAnsi="Times New Roman"/>
          <w:sz w:val="22"/>
          <w:szCs w:val="22"/>
          <w:color w:val="auto"/>
        </w:rPr>
        <w:t xml:space="preserve">, but to avoid doubt only as relates to royalties on patent applications and patents that would apply in the absence of the Other Active Components (third party patent royalties due solely because of the presence of the Other Active Components shall not be offsettable against adjusted Net Sales of a Combination Product). Notwithstanding the foregoing, during the period in which royalties are payable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4.4.1</w:t>
      </w:r>
      <w:r>
        <w:rPr>
          <w:rFonts w:ascii="Times New Roman" w:cs="Times New Roman" w:eastAsia="Times New Roman" w:hAnsi="Times New Roman"/>
          <w:sz w:val="22"/>
          <w:szCs w:val="22"/>
          <w:color w:val="auto"/>
        </w:rPr>
        <w:t xml:space="preserve"> with respect to Net Sales of a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3" w:name="page184"/>
    <w:bookmarkEnd w:id="183"/>
    <w:p>
      <w:pPr>
        <w:ind w:left="10120"/>
        <w:spacing w:after="0"/>
        <w:rPr>
          <w:sz w:val="20"/>
          <w:szCs w:val="20"/>
          <w:color w:val="auto"/>
        </w:rPr>
      </w:pPr>
      <w:r>
        <w:rPr>
          <w:rFonts w:ascii="Times New Roman" w:cs="Times New Roman" w:eastAsia="Times New Roman" w:hAnsi="Times New Roman"/>
          <w:sz w:val="19"/>
          <w:szCs w:val="19"/>
          <w:b w:val="1"/>
          <w:bCs w:val="1"/>
          <w:color w:val="auto"/>
        </w:rPr>
        <w:t>Exhibit 10.42</w:t>
      </w:r>
    </w:p>
    <w:p>
      <w:pPr>
        <w:spacing w:after="0" w:line="24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CONTAINED IN THIS DOCUMENT, MARKED BY [**], HAS BEEN OMITTED BECAUSE IT IS NOT MATERIAL AND WOULD LIKELY CAUSE COMPETITIVE HARM TO BEAM THERAPEUTICS INC. IF PUBLICLY DISCLOSED.</w:t>
      </w:r>
    </w:p>
    <w:p>
      <w:pPr>
        <w:spacing w:after="0" w:line="276" w:lineRule="exact"/>
        <w:rPr>
          <w:sz w:val="20"/>
          <w:szCs w:val="20"/>
          <w:color w:val="auto"/>
        </w:rPr>
      </w:pPr>
    </w:p>
    <w:p>
      <w:pPr>
        <w:jc w:val="both"/>
        <w:ind w:left="880" w:right="120"/>
        <w:spacing w:after="0" w:line="244" w:lineRule="auto"/>
        <w:rPr>
          <w:sz w:val="20"/>
          <w:szCs w:val="20"/>
          <w:color w:val="auto"/>
        </w:rPr>
      </w:pPr>
      <w:r>
        <w:rPr>
          <w:rFonts w:ascii="Times New Roman" w:cs="Times New Roman" w:eastAsia="Times New Roman" w:hAnsi="Times New Roman"/>
          <w:sz w:val="22"/>
          <w:szCs w:val="22"/>
          <w:color w:val="auto"/>
        </w:rPr>
        <w:t xml:space="preserve">Product solely due to clause (b) of the definition of “Royalty Term” as set forth in </w:t>
      </w:r>
      <w:r>
        <w:rPr>
          <w:rFonts w:ascii="Times New Roman" w:cs="Times New Roman" w:eastAsia="Times New Roman" w:hAnsi="Times New Roman"/>
          <w:sz w:val="22"/>
          <w:szCs w:val="22"/>
          <w:u w:val="single" w:color="auto"/>
          <w:color w:val="auto"/>
        </w:rPr>
        <w:t>Section 4.4.2.2</w:t>
      </w:r>
      <w:r>
        <w:rPr>
          <w:rFonts w:ascii="Times New Roman" w:cs="Times New Roman" w:eastAsia="Times New Roman" w:hAnsi="Times New Roman"/>
          <w:sz w:val="22"/>
          <w:szCs w:val="22"/>
          <w:color w:val="auto"/>
        </w:rPr>
        <w:t>, the royalty payments to Harvard with respect to such Net Sales of such Licensed Product may be reduced by up to [**] percent ([**]%) of the amount otherwise due, to a minimum royalty rate of [**]%.”</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010000"/>
        </w:rPr>
        <w:t>1.6</w:t>
      </w:r>
      <w:r>
        <w:rPr>
          <w:rFonts w:ascii="Times New Roman" w:cs="Times New Roman" w:eastAsia="Times New Roman" w:hAnsi="Times New Roman"/>
          <w:sz w:val="21"/>
          <w:szCs w:val="21"/>
          <w:color w:val="000000"/>
        </w:rPr>
        <w:t>Section 4.4.4 of the Agreement is hereby amended and restated in its entirety to read as follows:</w:t>
      </w:r>
    </w:p>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“4.4.4 </w:t>
      </w:r>
      <w:r>
        <w:rPr>
          <w:rFonts w:ascii="Times New Roman" w:cs="Times New Roman" w:eastAsia="Times New Roman" w:hAnsi="Times New Roman"/>
          <w:sz w:val="22"/>
          <w:szCs w:val="22"/>
          <w:u w:val="single" w:color="auto"/>
          <w:color w:val="auto"/>
        </w:rPr>
        <w:t>Loss of Market Exclusivity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80" w:right="120" w:firstLine="749"/>
        <w:spacing w:after="0" w:line="232" w:lineRule="auto"/>
        <w:rPr>
          <w:sz w:val="20"/>
          <w:szCs w:val="20"/>
          <w:color w:val="auto"/>
        </w:rPr>
      </w:pPr>
      <w:r>
        <w:rPr>
          <w:rFonts w:ascii="Times New Roman" w:cs="Times New Roman" w:eastAsia="Times New Roman" w:hAnsi="Times New Roman"/>
          <w:sz w:val="22"/>
          <w:szCs w:val="22"/>
          <w:color w:val="auto"/>
        </w:rPr>
        <w:t xml:space="preserve">With respect to any Licensed Product exploited pursuant to an Existing Sublicense, if a Loss of Market Exclusivity exists in a country with respect to such a Licensed Product, then the royalty rate for such Licensed Product in such country shall be reduced by [**] percent ([**]%) of the applicable rate determined pursuant to </w:t>
      </w:r>
      <w:r>
        <w:rPr>
          <w:rFonts w:ascii="Times New Roman" w:cs="Times New Roman" w:eastAsia="Times New Roman" w:hAnsi="Times New Roman"/>
          <w:sz w:val="22"/>
          <w:szCs w:val="22"/>
          <w:u w:val="single" w:color="auto"/>
          <w:color w:val="auto"/>
        </w:rPr>
        <w:t>Section 4.4.1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4.4.2.1</w:t>
      </w:r>
      <w:r>
        <w:rPr>
          <w:rFonts w:ascii="Times New Roman" w:cs="Times New Roman" w:eastAsia="Times New Roman" w:hAnsi="Times New Roman"/>
          <w:sz w:val="22"/>
          <w:szCs w:val="22"/>
          <w:color w:val="auto"/>
        </w:rPr>
        <w:t xml:space="preserve">, provided that in no event shall the effective royalty rate applied to Net Sales of such Licensed Product in such country be reduced as a result of the application of the terms of this </w:t>
      </w:r>
      <w:r>
        <w:rPr>
          <w:rFonts w:ascii="Times New Roman" w:cs="Times New Roman" w:eastAsia="Times New Roman" w:hAnsi="Times New Roman"/>
          <w:sz w:val="22"/>
          <w:szCs w:val="22"/>
          <w:u w:val="single" w:color="auto"/>
          <w:color w:val="auto"/>
        </w:rPr>
        <w:t>Section 4.4.4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4.4.3.1</w:t>
      </w:r>
      <w:r>
        <w:rPr>
          <w:rFonts w:ascii="Times New Roman" w:cs="Times New Roman" w:eastAsia="Times New Roman" w:hAnsi="Times New Roman"/>
          <w:sz w:val="22"/>
          <w:szCs w:val="22"/>
          <w:color w:val="auto"/>
        </w:rPr>
        <w:t xml:space="preserve"> to less than [**] percent ([**]%) of the applicable rate determined pursuant to </w:t>
      </w:r>
      <w:r>
        <w:rPr>
          <w:rFonts w:ascii="Times New Roman" w:cs="Times New Roman" w:eastAsia="Times New Roman" w:hAnsi="Times New Roman"/>
          <w:sz w:val="22"/>
          <w:szCs w:val="22"/>
          <w:u w:val="single" w:color="auto"/>
          <w:color w:val="auto"/>
        </w:rPr>
        <w:t>Section 4.4.1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4.4.2.1</w:t>
      </w:r>
      <w:r>
        <w:rPr>
          <w:rFonts w:ascii="Times New Roman" w:cs="Times New Roman" w:eastAsia="Times New Roman" w:hAnsi="Times New Roman"/>
          <w:sz w:val="22"/>
          <w:szCs w:val="22"/>
          <w:color w:val="auto"/>
        </w:rPr>
        <w:t xml:space="preserve">. Once Loss of Market Exclusivity exists with respect to a Licensed Product in a country, it will be deemed to continue to exist thereafter with respect to such Licensed Product in such country unless Harvard requests in writing that Loss of Market Exclusivity with respect to a Licensed Product in a country be re-evaluated (which request may not be made more frequently than [**] in a Calendar Year), in which case the existence of such Loss of Market Exclusivity, and any corresponding reduction pursuant to this </w:t>
      </w:r>
      <w:r>
        <w:rPr>
          <w:rFonts w:ascii="Times New Roman" w:cs="Times New Roman" w:eastAsia="Times New Roman" w:hAnsi="Times New Roman"/>
          <w:sz w:val="22"/>
          <w:szCs w:val="22"/>
          <w:u w:val="single" w:color="auto"/>
          <w:color w:val="auto"/>
        </w:rPr>
        <w:t>Section 4.4.4</w:t>
      </w:r>
      <w:r>
        <w:rPr>
          <w:rFonts w:ascii="Times New Roman" w:cs="Times New Roman" w:eastAsia="Times New Roman" w:hAnsi="Times New Roman"/>
          <w:sz w:val="22"/>
          <w:szCs w:val="22"/>
          <w:color w:val="auto"/>
        </w:rPr>
        <w:t>, shall depend on whether the criteria set forth in the definition of Loss of Market Exclusivity are still met with respect to such Licensed Product in such country. If it is determined that the Loss of Market Exclusivity no longer exists, the termination of the [**] percent ([**]%) reduction in royalty rate due to the absence of Loss of Market Exclusivity shall be effective only on a going-forward basis from the date of such Harvard request, and there shall be no recovery of monies or retroactive increase in rates for time periods prior thereto.”</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010000"/>
        </w:rPr>
        <w:t>1.7</w:t>
      </w:r>
      <w:r>
        <w:rPr>
          <w:rFonts w:ascii="Times New Roman" w:cs="Times New Roman" w:eastAsia="Times New Roman" w:hAnsi="Times New Roman"/>
          <w:sz w:val="21"/>
          <w:szCs w:val="21"/>
          <w:color w:val="000000"/>
        </w:rPr>
        <w:t>Section 5.1.1.6 of the Agreement is hereby amended and restated in its entirety to read as follows:</w:t>
      </w:r>
    </w:p>
    <w:p>
      <w:pPr>
        <w:spacing w:after="0" w:line="245" w:lineRule="exact"/>
        <w:rPr>
          <w:sz w:val="20"/>
          <w:szCs w:val="20"/>
          <w:color w:val="auto"/>
        </w:rPr>
      </w:pPr>
    </w:p>
    <w:p>
      <w:pPr>
        <w:ind w:left="880" w:right="180" w:firstLine="749"/>
        <w:spacing w:after="0" w:line="258" w:lineRule="auto"/>
        <w:rPr>
          <w:sz w:val="20"/>
          <w:szCs w:val="20"/>
          <w:color w:val="auto"/>
        </w:rPr>
      </w:pPr>
      <w:r>
        <w:rPr>
          <w:rFonts w:ascii="Times New Roman" w:cs="Times New Roman" w:eastAsia="Times New Roman" w:hAnsi="Times New Roman"/>
          <w:sz w:val="22"/>
          <w:szCs w:val="22"/>
          <w:color w:val="auto"/>
        </w:rPr>
        <w:t>“5.1.1.6 A Product Report for any Licensed Product for which Net Sales were generated during the applicable Calendar Quarter and for which Licensee has not previously provided a Product Report.”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010000"/>
        </w:rPr>
        <w:t>1.8</w:t>
      </w:r>
      <w:r>
        <w:rPr>
          <w:rFonts w:ascii="Times New Roman" w:cs="Times New Roman" w:eastAsia="Times New Roman" w:hAnsi="Times New Roman"/>
          <w:sz w:val="21"/>
          <w:szCs w:val="21"/>
          <w:color w:val="000000"/>
        </w:rPr>
        <w:t>The Agreement is hereby amended to add a new Section 5.1.1.7, which reads as follows:</w:t>
      </w:r>
    </w:p>
    <w:p>
      <w:pPr>
        <w:spacing w:after="0" w:line="393" w:lineRule="exact"/>
        <w:rPr>
          <w:sz w:val="20"/>
          <w:szCs w:val="20"/>
          <w:color w:val="auto"/>
        </w:rPr>
      </w:pPr>
    </w:p>
    <w:p>
      <w:pPr>
        <w:ind w:left="1620"/>
        <w:spacing w:after="0"/>
        <w:tabs>
          <w:tab w:leader="none" w:pos="2480" w:val="left"/>
        </w:tabs>
        <w:rPr>
          <w:sz w:val="20"/>
          <w:szCs w:val="20"/>
          <w:color w:val="auto"/>
        </w:rPr>
      </w:pPr>
      <w:r>
        <w:rPr>
          <w:rFonts w:ascii="Times New Roman" w:cs="Times New Roman" w:eastAsia="Times New Roman" w:hAnsi="Times New Roman"/>
          <w:sz w:val="22"/>
          <w:szCs w:val="22"/>
          <w:color w:val="auto"/>
        </w:rPr>
        <w:t>“5.1.1.7</w:t>
      </w:r>
      <w:r>
        <w:rPr>
          <w:sz w:val="20"/>
          <w:szCs w:val="20"/>
          <w:color w:val="auto"/>
        </w:rPr>
        <w:tab/>
      </w:r>
      <w:r>
        <w:rPr>
          <w:rFonts w:ascii="Times New Roman" w:cs="Times New Roman" w:eastAsia="Times New Roman" w:hAnsi="Times New Roman"/>
          <w:sz w:val="21"/>
          <w:szCs w:val="21"/>
          <w:color w:val="auto"/>
        </w:rPr>
        <w:t>A description of any substantive changes to the information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4" w:name="page185"/>
    <w:bookmarkEnd w:id="184"/>
    <w:p>
      <w:pPr>
        <w:ind w:left="10120"/>
        <w:spacing w:after="0"/>
        <w:rPr>
          <w:sz w:val="20"/>
          <w:szCs w:val="20"/>
          <w:color w:val="auto"/>
        </w:rPr>
      </w:pPr>
      <w:r>
        <w:rPr>
          <w:rFonts w:ascii="Times New Roman" w:cs="Times New Roman" w:eastAsia="Times New Roman" w:hAnsi="Times New Roman"/>
          <w:sz w:val="19"/>
          <w:szCs w:val="19"/>
          <w:b w:val="1"/>
          <w:bCs w:val="1"/>
          <w:color w:val="auto"/>
        </w:rPr>
        <w:t>Exhibit 10.42</w:t>
      </w:r>
    </w:p>
    <w:p>
      <w:pPr>
        <w:spacing w:after="0" w:line="24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CONTAINED IN THIS DOCUMENT, MARKED BY [**], HAS BEEN OMITTED BECAUSE IT IS NOT MATERIAL AND WOULD LIKELY CAUSE COMPETITIVE HARM TO BEAM THERAPEUTICS INC. IF PUBLICLY DISCLOSED.</w:t>
      </w:r>
    </w:p>
    <w:p>
      <w:pPr>
        <w:spacing w:after="0" w:line="276" w:lineRule="exact"/>
        <w:rPr>
          <w:sz w:val="20"/>
          <w:szCs w:val="20"/>
          <w:color w:val="auto"/>
        </w:rPr>
      </w:pPr>
    </w:p>
    <w:p>
      <w:pPr>
        <w:ind w:left="1620" w:right="140"/>
        <w:spacing w:after="0" w:line="258" w:lineRule="auto"/>
        <w:rPr>
          <w:sz w:val="20"/>
          <w:szCs w:val="20"/>
          <w:color w:val="auto"/>
        </w:rPr>
      </w:pPr>
      <w:r>
        <w:rPr>
          <w:rFonts w:ascii="Times New Roman" w:cs="Times New Roman" w:eastAsia="Times New Roman" w:hAnsi="Times New Roman"/>
          <w:sz w:val="22"/>
          <w:szCs w:val="22"/>
          <w:color w:val="auto"/>
        </w:rPr>
        <w:t xml:space="preserve">applicable Product Report provided to Harvard under </w:t>
      </w:r>
      <w:r>
        <w:rPr>
          <w:rFonts w:ascii="Times New Roman" w:cs="Times New Roman" w:eastAsia="Times New Roman" w:hAnsi="Times New Roman"/>
          <w:sz w:val="22"/>
          <w:szCs w:val="22"/>
          <w:u w:val="single" w:color="auto"/>
          <w:color w:val="auto"/>
        </w:rPr>
        <w:t>Section 4.3.6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5.1.1.6</w:t>
      </w:r>
      <w:r>
        <w:rPr>
          <w:rFonts w:ascii="Times New Roman" w:cs="Times New Roman" w:eastAsia="Times New Roman" w:hAnsi="Times New Roman"/>
          <w:sz w:val="22"/>
          <w:szCs w:val="22"/>
          <w:color w:val="auto"/>
        </w:rPr>
        <w:t xml:space="preserve"> regarding each applicable Licensed Product.”</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010000"/>
        </w:rPr>
        <w:t xml:space="preserve">ARTICLE 2. </w:t>
      </w:r>
      <w:r>
        <w:rPr>
          <w:rFonts w:ascii="Times New Roman" w:cs="Times New Roman" w:eastAsia="Times New Roman" w:hAnsi="Times New Roman"/>
          <w:sz w:val="22"/>
          <w:szCs w:val="22"/>
          <w:b w:val="1"/>
          <w:bCs w:val="1"/>
          <w:color w:val="000000"/>
        </w:rPr>
        <w:t>MISCELLANEOUS</w:t>
      </w:r>
    </w:p>
    <w:p>
      <w:pPr>
        <w:spacing w:after="0" w:line="237" w:lineRule="exact"/>
        <w:rPr>
          <w:sz w:val="20"/>
          <w:szCs w:val="20"/>
          <w:color w:val="auto"/>
        </w:rPr>
      </w:pPr>
    </w:p>
    <w:p>
      <w:pPr>
        <w:jc w:val="both"/>
        <w:ind w:left="120" w:right="120" w:firstLine="741"/>
        <w:spacing w:after="0" w:line="261" w:lineRule="auto"/>
        <w:rPr>
          <w:sz w:val="20"/>
          <w:szCs w:val="20"/>
          <w:color w:val="auto"/>
        </w:rPr>
      </w:pPr>
      <w:r>
        <w:rPr>
          <w:rFonts w:ascii="Times New Roman" w:cs="Times New Roman" w:eastAsia="Times New Roman" w:hAnsi="Times New Roman"/>
          <w:sz w:val="20"/>
          <w:szCs w:val="20"/>
          <w:color w:val="010000"/>
        </w:rPr>
        <w:t>2.1</w:t>
      </w:r>
      <w:r>
        <w:rPr>
          <w:rFonts w:ascii="Times New Roman" w:cs="Times New Roman" w:eastAsia="Times New Roman" w:hAnsi="Times New Roman"/>
          <w:sz w:val="21"/>
          <w:szCs w:val="21"/>
          <w:color w:val="000000"/>
        </w:rPr>
        <w:t>Licensee hereby represents and warrants that, as of the Amendment No. 4 Effective Date, Appendix A as set forth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1"/>
          <w:szCs w:val="21"/>
          <w:color w:val="000000"/>
        </w:rPr>
        <w:t>in Attachment 2 hereof is a true, complete, and correct schedule of all Sublicenses (including amendments thereto) granted by Licensee and any Sublicensee to third parties under the Agreement.</w:t>
      </w:r>
    </w:p>
    <w:p>
      <w:pPr>
        <w:spacing w:after="0" w:line="157" w:lineRule="exact"/>
        <w:rPr>
          <w:sz w:val="20"/>
          <w:szCs w:val="20"/>
          <w:color w:val="auto"/>
        </w:rPr>
      </w:pPr>
    </w:p>
    <w:p>
      <w:pPr>
        <w:jc w:val="both"/>
        <w:ind w:left="120" w:right="120" w:firstLine="741"/>
        <w:spacing w:after="0" w:line="251" w:lineRule="auto"/>
        <w:rPr>
          <w:sz w:val="20"/>
          <w:szCs w:val="20"/>
          <w:color w:val="auto"/>
        </w:rPr>
      </w:pPr>
      <w:r>
        <w:rPr>
          <w:rFonts w:ascii="Times New Roman" w:cs="Times New Roman" w:eastAsia="Times New Roman" w:hAnsi="Times New Roman"/>
          <w:sz w:val="20"/>
          <w:szCs w:val="20"/>
          <w:color w:val="010000"/>
        </w:rPr>
        <w:t>2.2</w:t>
      </w:r>
      <w:r>
        <w:rPr>
          <w:rFonts w:ascii="Times New Roman" w:cs="Times New Roman" w:eastAsia="Times New Roman" w:hAnsi="Times New Roman"/>
          <w:sz w:val="21"/>
          <w:szCs w:val="21"/>
          <w:color w:val="000000"/>
        </w:rPr>
        <w:t>Except as specifically set forth in this Amendment No. 4, the terms and conditions of the Agreement (including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1"/>
          <w:szCs w:val="21"/>
          <w:color w:val="000000"/>
        </w:rPr>
        <w:t xml:space="preserve">exhibits thereto) shall remain unchanged and in full force and effect. Licensee and Harvard hereby agree to be bound by provisions substantially identical to Sections 11.5 through 11.17 of the Agreement with respect to this Amendment No. 4, </w:t>
      </w:r>
      <w:r>
        <w:rPr>
          <w:rFonts w:ascii="Times New Roman" w:cs="Times New Roman" w:eastAsia="Times New Roman" w:hAnsi="Times New Roman"/>
          <w:sz w:val="21"/>
          <w:szCs w:val="21"/>
          <w:i w:val="1"/>
          <w:iCs w:val="1"/>
          <w:color w:val="000000"/>
        </w:rPr>
        <w:t xml:space="preserve">mutatis mutandis </w:t>
      </w:r>
      <w:r>
        <w:rPr>
          <w:rFonts w:ascii="Times New Roman" w:cs="Times New Roman" w:eastAsia="Times New Roman" w:hAnsi="Times New Roman"/>
          <w:sz w:val="21"/>
          <w:szCs w:val="21"/>
          <w:color w:val="000000"/>
        </w:rPr>
        <w:t>(which are incorporated herein by reference as they so apply); provided that references to the Agreement</w:t>
      </w:r>
      <w:r>
        <w:rPr>
          <w:rFonts w:ascii="Times New Roman" w:cs="Times New Roman" w:eastAsia="Times New Roman" w:hAnsi="Times New Roman"/>
          <w:sz w:val="21"/>
          <w:szCs w:val="21"/>
          <w:i w:val="1"/>
          <w:iCs w:val="1"/>
          <w:color w:val="000000"/>
        </w:rPr>
        <w:t xml:space="preserve"> </w:t>
      </w:r>
      <w:r>
        <w:rPr>
          <w:rFonts w:ascii="Times New Roman" w:cs="Times New Roman" w:eastAsia="Times New Roman" w:hAnsi="Times New Roman"/>
          <w:sz w:val="21"/>
          <w:szCs w:val="21"/>
          <w:color w:val="000000"/>
        </w:rPr>
        <w:t>provided in Section 11.5 shall be read to apply to the Agreement as amended by this Amendment No. 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Follow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5" w:name="page186"/>
    <w:bookmarkEnd w:id="185"/>
    <w:p>
      <w:pPr>
        <w:ind w:left="140" w:right="11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Amendment No. 4 to be executed by their duly authorized representatives as of the Amendment No. 4 Effective Date.</w:t>
      </w:r>
    </w:p>
    <w:p>
      <w:pPr>
        <w:spacing w:after="0" w:line="200" w:lineRule="exact"/>
        <w:rPr>
          <w:sz w:val="20"/>
          <w:szCs w:val="20"/>
          <w:color w:val="auto"/>
        </w:rPr>
      </w:pPr>
    </w:p>
    <w:p>
      <w:pPr>
        <w:spacing w:after="0" w:line="350" w:lineRule="exact"/>
        <w:rPr>
          <w:sz w:val="20"/>
          <w:szCs w:val="20"/>
          <w:color w:val="auto"/>
        </w:rPr>
      </w:pPr>
    </w:p>
    <w:p>
      <w:pPr>
        <w:ind w:left="240"/>
        <w:spacing w:after="0"/>
        <w:tabs>
          <w:tab w:leader="none" w:pos="5640" w:val="left"/>
        </w:tabs>
        <w:rPr>
          <w:sz w:val="20"/>
          <w:szCs w:val="20"/>
          <w:color w:val="auto"/>
        </w:rPr>
      </w:pPr>
      <w:r>
        <w:rPr>
          <w:rFonts w:ascii="Times New Roman" w:cs="Times New Roman" w:eastAsia="Times New Roman" w:hAnsi="Times New Roman"/>
          <w:sz w:val="22"/>
          <w:szCs w:val="22"/>
          <w:color w:val="auto"/>
        </w:rPr>
        <w:t>PRESIDENT AND FELLOWS OF HARVARD COLLEGE</w:t>
      </w:r>
      <w:r>
        <w:rPr>
          <w:sz w:val="20"/>
          <w:szCs w:val="20"/>
          <w:color w:val="auto"/>
        </w:rPr>
        <w:tab/>
      </w:r>
      <w:r>
        <w:rPr>
          <w:rFonts w:ascii="Times New Roman" w:cs="Times New Roman" w:eastAsia="Times New Roman" w:hAnsi="Times New Roman"/>
          <w:sz w:val="21"/>
          <w:szCs w:val="21"/>
          <w:color w:val="auto"/>
        </w:rPr>
        <w:t>BEAM THERAPEUTICS INC.</w:t>
      </w:r>
    </w:p>
    <w:tbl>
      <w:tblPr>
        <w:tblLayout w:type="fixed"/>
        <w:tblInd w:w="240" w:type="dxa"/>
        <w:tblCellMar>
          <w:top w:w="0" w:type="dxa"/>
          <w:left w:w="0" w:type="dxa"/>
          <w:bottom w:w="0" w:type="dxa"/>
          <w:right w:w="0" w:type="dxa"/>
        </w:tblCellMar>
      </w:tblP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By:/s/ Jordan B. Grant</w:t>
            </w:r>
          </w:p>
        </w:tc>
        <w:tc>
          <w:tcPr>
            <w:tcW w:w="128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2"/>
                <w:szCs w:val="22"/>
                <w:color w:val="auto"/>
              </w:rPr>
              <w:t>Name:</w:t>
            </w:r>
          </w:p>
        </w:tc>
        <w:tc>
          <w:tcPr>
            <w:tcW w:w="240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2"/>
                <w:szCs w:val="22"/>
                <w:color w:val="auto"/>
              </w:rPr>
              <w:t>Title: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96"/>
        </w:trPr>
        <w:tc>
          <w:tcPr>
            <w:tcW w:w="32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60" w:type="dxa"/>
            <w:vAlign w:val="bottom"/>
          </w:tcPr>
          <w:p>
            <w:pPr>
              <w:ind w:left="1540"/>
              <w:spacing w:after="0" w:line="196" w:lineRule="exact"/>
              <w:rPr>
                <w:sz w:val="20"/>
                <w:szCs w:val="20"/>
                <w:color w:val="auto"/>
              </w:rPr>
            </w:pPr>
            <w:r>
              <w:rPr>
                <w:rFonts w:ascii="Times New Roman" w:cs="Times New Roman" w:eastAsia="Times New Roman" w:hAnsi="Times New Roman"/>
                <w:sz w:val="22"/>
                <w:szCs w:val="22"/>
                <w:color w:val="auto"/>
                <w:w w:val="94"/>
              </w:rPr>
              <w:t>By:</w:t>
            </w:r>
          </w:p>
        </w:tc>
        <w:tc>
          <w:tcPr>
            <w:tcW w:w="540" w:type="dxa"/>
            <w:vAlign w:val="bottom"/>
          </w:tcPr>
          <w:p>
            <w:pPr>
              <w:spacing w:after="0"/>
              <w:rPr>
                <w:sz w:val="17"/>
                <w:szCs w:val="17"/>
                <w:color w:val="auto"/>
              </w:rPr>
            </w:pPr>
          </w:p>
        </w:tc>
        <w:tc>
          <w:tcPr>
            <w:tcW w:w="140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22"/>
                <w:szCs w:val="22"/>
                <w:color w:val="auto"/>
              </w:rPr>
              <w:t>Name:   Title:</w:t>
            </w:r>
          </w:p>
        </w:tc>
      </w:tr>
      <w:tr>
        <w:trPr>
          <w:trHeight w:val="20"/>
        </w:trPr>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w:t>
      </w:r>
      <w:r>
        <w:rPr>
          <w:rFonts w:ascii="Arial" w:cs="Arial" w:eastAsia="Arial" w:hAnsi="Arial"/>
          <w:sz w:val="22"/>
          <w:szCs w:val="22"/>
          <w:color w:val="auto"/>
        </w:rPr>
        <w:t>12/12/2024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5" w:right="1440" w:bottom="1440" w:gutter="0" w:footer="0" w:header="0"/>
        </w:sectPr>
      </w:pPr>
    </w:p>
    <w:bookmarkStart w:id="186" w:name="page187"/>
    <w:bookmarkEnd w:id="186"/>
    <w:p>
      <w:pPr>
        <w:ind w:right="11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Amendment No. 4 to be executed by their duly authorized representatives as of the Amendment No. 4 Effective Date.</w:t>
      </w:r>
    </w:p>
    <w:p>
      <w:pPr>
        <w:spacing w:after="0" w:line="200" w:lineRule="exact"/>
        <w:rPr>
          <w:sz w:val="20"/>
          <w:szCs w:val="20"/>
          <w:color w:val="auto"/>
        </w:rPr>
      </w:pPr>
    </w:p>
    <w:p>
      <w:pPr>
        <w:spacing w:after="0" w:line="350"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53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PRESIDENT AND FELLOWS OF HARVARD COLLEGE</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BEAM THERAPEUTICS INC.</w:t>
            </w:r>
          </w:p>
        </w:tc>
        <w:tc>
          <w:tcPr>
            <w:tcW w:w="0" w:type="dxa"/>
            <w:vAlign w:val="bottom"/>
          </w:tcPr>
          <w:p>
            <w:pPr>
              <w:spacing w:after="0"/>
              <w:rPr>
                <w:sz w:val="1"/>
                <w:szCs w:val="1"/>
                <w:color w:val="auto"/>
              </w:rPr>
            </w:pPr>
          </w:p>
        </w:tc>
      </w:tr>
      <w:tr>
        <w:trPr>
          <w:trHeight w:val="636"/>
        </w:trPr>
        <w:tc>
          <w:tcPr>
            <w:tcW w:w="5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Name:</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4"/>
              </w:rPr>
              <w:t>By:</w:t>
            </w:r>
          </w:p>
        </w:tc>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 John Evans</w:t>
            </w: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 xml:space="preserve">Name: </w:t>
            </w:r>
            <w:r>
              <w:rPr>
                <w:rFonts w:ascii="Arial" w:cs="Arial" w:eastAsia="Arial" w:hAnsi="Arial"/>
                <w:sz w:val="22"/>
                <w:szCs w:val="22"/>
                <w:color w:val="auto"/>
                <w:w w:val="97"/>
              </w:rPr>
              <w:t>John Evans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color w:val="auto"/>
                <w:w w:val="87"/>
              </w:rPr>
              <w:t>Title:</w:t>
            </w:r>
          </w:p>
        </w:tc>
        <w:tc>
          <w:tcPr>
            <w:tcW w:w="48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 xml:space="preserve">Title: </w:t>
            </w: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12/13/2024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1078230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408"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eam</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3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color w:val="auto"/>
        </w:rPr>
        <w:t>as amended and restated as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ecember</w:t>
      </w:r>
      <w:r>
        <w:rPr>
          <w:rFonts w:ascii="Times New Roman" w:cs="Times New Roman" w:eastAsia="Times New Roman" w:hAnsi="Times New Roman"/>
          <w:sz w:val="22"/>
          <w:szCs w:val="22"/>
          <w:color w:val="auto"/>
        </w:rPr>
        <w:t xml:space="preserve"> 5, 2024)</w:t>
      </w:r>
    </w:p>
    <w:p>
      <w:pPr>
        <w:spacing w:after="0" w:line="220" w:lineRule="exact"/>
        <w:rPr>
          <w:sz w:val="20"/>
          <w:szCs w:val="20"/>
          <w:color w:val="auto"/>
        </w:rPr>
      </w:pPr>
    </w:p>
    <w:p>
      <w:pPr>
        <w:ind w:right="400" w:firstLine="741"/>
        <w:spacing w:after="0" w:line="236" w:lineRule="auto"/>
        <w:tabs>
          <w:tab w:leader="none" w:pos="129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This Insider Trading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provides guidelines with respect to transactions in the securities of, and handling confidential information about, Beam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Applicable Other Companies (as defined below).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adopted this Policy to promote compliance with U.S. federal and state securities laws that prohibit certain persons who are aware of material nonpublic information about a company from: (i) trading in securities of that company; or (ii) providing such material nonpublic information to other persons who may trade on the basis of that information, commonly known as “tipping.”</w:t>
      </w:r>
    </w:p>
    <w:p>
      <w:pPr>
        <w:spacing w:after="0" w:line="181" w:lineRule="exact"/>
        <w:rPr>
          <w:rFonts w:ascii="Times New Roman" w:cs="Times New Roman" w:eastAsia="Times New Roman" w:hAnsi="Times New Roman"/>
          <w:sz w:val="22"/>
          <w:szCs w:val="22"/>
          <w:color w:val="auto"/>
        </w:rPr>
      </w:pPr>
    </w:p>
    <w:p>
      <w:pPr>
        <w:ind w:left="1280" w:hanging="539"/>
        <w:spacing w:after="0"/>
        <w:tabs>
          <w:tab w:leader="none" w:pos="12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Subject to this Policy</w:t>
      </w:r>
      <w:r>
        <w:rPr>
          <w:rFonts w:ascii="Times New Roman" w:cs="Times New Roman" w:eastAsia="Times New Roman" w:hAnsi="Times New Roman"/>
          <w:sz w:val="22"/>
          <w:szCs w:val="22"/>
          <w:color w:val="auto"/>
        </w:rPr>
        <w:t>. This Policy applies to transactions in the securities of the Company</w:t>
      </w:r>
    </w:p>
    <w:p>
      <w:pPr>
        <w:spacing w:after="0" w:line="14"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as well as securities of Applicable Other Companies (collectively, with Company Securities, “</w:t>
      </w:r>
      <w:r>
        <w:rPr>
          <w:rFonts w:ascii="Times New Roman" w:cs="Times New Roman" w:eastAsia="Times New Roman" w:hAnsi="Times New Roman"/>
          <w:sz w:val="22"/>
          <w:szCs w:val="22"/>
          <w:u w:val="single" w:color="auto"/>
          <w:color w:val="auto"/>
        </w:rPr>
        <w:t>Subject Securities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Applicable Other Companies</w:t>
      </w:r>
      <w:r>
        <w:rPr>
          <w:rFonts w:ascii="Times New Roman" w:cs="Times New Roman" w:eastAsia="Times New Roman" w:hAnsi="Times New Roman"/>
          <w:sz w:val="22"/>
          <w:szCs w:val="22"/>
          <w:color w:val="auto"/>
        </w:rPr>
        <w:t>” are Partner Companies or Competitor Companies about which a person subject to this Policy possesses material non-public information that was learned in the course of providing services to the Company. “</w:t>
      </w:r>
      <w:r>
        <w:rPr>
          <w:rFonts w:ascii="Times New Roman" w:cs="Times New Roman" w:eastAsia="Times New Roman" w:hAnsi="Times New Roman"/>
          <w:sz w:val="22"/>
          <w:szCs w:val="22"/>
          <w:u w:val="single" w:color="auto"/>
          <w:color w:val="auto"/>
        </w:rPr>
        <w:t>Partner Companies</w:t>
      </w:r>
      <w:r>
        <w:rPr>
          <w:rFonts w:ascii="Times New Roman" w:cs="Times New Roman" w:eastAsia="Times New Roman" w:hAnsi="Times New Roman"/>
          <w:sz w:val="22"/>
          <w:szCs w:val="22"/>
          <w:color w:val="auto"/>
        </w:rPr>
        <w:t>” are companies with which the Company does business, or is evaluating doing business, including a supplier or a development or commercialization partner of the Company or any of its subsidiaries. “</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Companies</w:t>
      </w:r>
      <w:r>
        <w:rPr>
          <w:rFonts w:ascii="Times New Roman" w:cs="Times New Roman" w:eastAsia="Times New Roman" w:hAnsi="Times New Roman"/>
          <w:sz w:val="22"/>
          <w:szCs w:val="22"/>
          <w:color w:val="auto"/>
        </w:rPr>
        <w:t>” are companies listed in the “Competition” section of the Company’s most recent Annual Report on Form 10-K filed with the Securities and Exchange Commission.</w:t>
      </w:r>
    </w:p>
    <w:p>
      <w:pPr>
        <w:spacing w:after="0" w:line="181" w:lineRule="exact"/>
        <w:rPr>
          <w:sz w:val="20"/>
          <w:szCs w:val="20"/>
          <w:color w:val="auto"/>
        </w:rPr>
      </w:pPr>
    </w:p>
    <w:p>
      <w:pPr>
        <w:ind w:right="240" w:firstLine="644"/>
        <w:spacing w:after="0" w:line="258" w:lineRule="auto"/>
        <w:rPr>
          <w:sz w:val="20"/>
          <w:szCs w:val="20"/>
          <w:color w:val="auto"/>
        </w:rPr>
      </w:pPr>
      <w:r>
        <w:rPr>
          <w:rFonts w:ascii="Times New Roman" w:cs="Times New Roman" w:eastAsia="Times New Roman" w:hAnsi="Times New Roman"/>
          <w:sz w:val="22"/>
          <w:szCs w:val="22"/>
          <w:color w:val="auto"/>
        </w:rPr>
        <w:t>Importantly, non-public information about one entity can be material to another entity. By way of illustration and not limitation:</w:t>
      </w:r>
    </w:p>
    <w:p>
      <w:pPr>
        <w:spacing w:after="0" w:line="158" w:lineRule="exact"/>
        <w:rPr>
          <w:sz w:val="20"/>
          <w:szCs w:val="20"/>
          <w:color w:val="auto"/>
        </w:rPr>
      </w:pPr>
    </w:p>
    <w:p>
      <w:pPr>
        <w:ind w:left="1000" w:right="340" w:hanging="364"/>
        <w:spacing w:after="0" w:line="244" w:lineRule="auto"/>
        <w:tabs>
          <w:tab w:leader="none" w:pos="10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Non-public information about the Company can be material to an Applicable Other Company. For example, the pending sale of Company assets could be material to a Partner Company or a Competitor Company whose prospects could be affected by the Company’s asset sale.</w:t>
      </w:r>
    </w:p>
    <w:p>
      <w:pPr>
        <w:spacing w:after="0" w:line="173" w:lineRule="exact"/>
        <w:rPr>
          <w:rFonts w:ascii="Times New Roman" w:cs="Times New Roman" w:eastAsia="Times New Roman" w:hAnsi="Times New Roman"/>
          <w:sz w:val="22"/>
          <w:szCs w:val="22"/>
          <w:color w:val="auto"/>
        </w:rPr>
      </w:pPr>
    </w:p>
    <w:p>
      <w:pPr>
        <w:ind w:left="1000" w:right="520" w:hanging="364"/>
        <w:spacing w:after="0" w:line="239" w:lineRule="auto"/>
        <w:tabs>
          <w:tab w:leader="none" w:pos="10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Non-public information about an Applicable Other Company can be material to the Company or to another Applicable Other Company. For example, data from one Partner Company’s clinical trial could be material to the Company or to another Partner Company or a Competitor Company with products that target the same indication or that use the same mechanism of action.</w:t>
      </w:r>
    </w:p>
    <w:p>
      <w:pPr>
        <w:spacing w:after="0" w:line="180" w:lineRule="exact"/>
        <w:rPr>
          <w:rFonts w:ascii="Times New Roman" w:cs="Times New Roman" w:eastAsia="Times New Roman" w:hAnsi="Times New Roman"/>
          <w:sz w:val="22"/>
          <w:szCs w:val="22"/>
          <w:color w:val="auto"/>
        </w:rPr>
      </w:pPr>
    </w:p>
    <w:p>
      <w:pPr>
        <w:ind w:right="320" w:firstLine="741"/>
        <w:spacing w:after="0" w:line="238" w:lineRule="auto"/>
        <w:tabs>
          <w:tab w:leader="none" w:pos="129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Subject to the Policy</w:t>
      </w:r>
      <w:r>
        <w:rPr>
          <w:rFonts w:ascii="Times New Roman" w:cs="Times New Roman" w:eastAsia="Times New Roman" w:hAnsi="Times New Roman"/>
          <w:sz w:val="22"/>
          <w:szCs w:val="22"/>
          <w:color w:val="auto"/>
        </w:rPr>
        <w:t>. This Policy applies to all directors, officers and other employees of the Company and its subsidiaries. The Company may also determine that other persons should be subject to this Policy, such as contractors or consultants who have access to material nonpublic information about the Company or Applicable Other Companies. Any such other persons will be notified by the Compliance Officer (as referenced below) of the Board’s determination. Collectively, the foregoing persons are referred to in this Policy as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960" w:firstLine="746"/>
        <w:spacing w:after="0" w:line="256" w:lineRule="auto"/>
        <w:rPr>
          <w:sz w:val="20"/>
          <w:szCs w:val="20"/>
          <w:color w:val="auto"/>
        </w:rPr>
      </w:pPr>
      <w:r>
        <w:rPr>
          <w:rFonts w:ascii="Times New Roman" w:cs="Times New Roman" w:eastAsia="Times New Roman" w:hAnsi="Times New Roman"/>
          <w:sz w:val="22"/>
          <w:szCs w:val="22"/>
          <w:color w:val="auto"/>
        </w:rPr>
        <w:t>This Policy also applies to transactions by Other Covered Persons. “</w:t>
      </w:r>
      <w:r>
        <w:rPr>
          <w:rFonts w:ascii="Times New Roman" w:cs="Times New Roman" w:eastAsia="Times New Roman" w:hAnsi="Times New Roman"/>
          <w:sz w:val="22"/>
          <w:szCs w:val="22"/>
          <w:u w:val="single" w:color="auto"/>
          <w:color w:val="auto"/>
        </w:rPr>
        <w:t>Other Covered Persons</w:t>
      </w:r>
      <w:r>
        <w:rPr>
          <w:rFonts w:ascii="Times New Roman" w:cs="Times New Roman" w:eastAsia="Times New Roman" w:hAnsi="Times New Roman"/>
          <w:sz w:val="22"/>
          <w:szCs w:val="22"/>
          <w:color w:val="auto"/>
        </w:rPr>
        <w:t>” are: (i) family members who reside with Covered Persons (including a spouse, a child,</w:t>
      </w:r>
    </w:p>
    <w:p>
      <w:pPr>
        <w:ind w:right="160"/>
        <w:spacing w:after="0" w:line="244" w:lineRule="auto"/>
        <w:rPr>
          <w:sz w:val="20"/>
          <w:szCs w:val="20"/>
          <w:color w:val="auto"/>
        </w:rPr>
      </w:pPr>
      <w:r>
        <w:rPr>
          <w:rFonts w:ascii="Times New Roman" w:cs="Times New Roman" w:eastAsia="Times New Roman" w:hAnsi="Times New Roman"/>
          <w:sz w:val="22"/>
          <w:szCs w:val="22"/>
          <w:color w:val="auto"/>
        </w:rPr>
        <w:t>a child away at college, stepchildren, grandchildren, parents, stepparents, grandparents, siblings and in-laws), (ii) anyone else who lives in a Covered Person’s household, (iii) any family members who do not live in a Covered Person’s household but whose transactions in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200660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761"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390" w:lineRule="exact"/>
        <w:rPr>
          <w:sz w:val="20"/>
          <w:szCs w:val="20"/>
          <w:color w:val="auto"/>
        </w:rPr>
      </w:pPr>
    </w:p>
    <w:p>
      <w:pPr>
        <w:ind w:left="100" w:right="280"/>
        <w:spacing w:after="0" w:line="249" w:lineRule="auto"/>
        <w:rPr>
          <w:sz w:val="20"/>
          <w:szCs w:val="20"/>
          <w:color w:val="auto"/>
        </w:rPr>
      </w:pPr>
      <w:r>
        <w:rPr>
          <w:rFonts w:ascii="Times New Roman" w:cs="Times New Roman" w:eastAsia="Times New Roman" w:hAnsi="Times New Roman"/>
          <w:sz w:val="21"/>
          <w:szCs w:val="21"/>
          <w:color w:val="auto"/>
        </w:rPr>
        <w:t>Securities are directed by such Covered Person or are subject to such Covered Person’s influence or control, such as parents or children who consult with a Covered Person before they trade in Subject Securities, and (iv) all corporations, limited liability companies, partnerships, trusts or similar entities controlled by a Covered Person or any person described in items</w:t>
      </w:r>
    </w:p>
    <w:p>
      <w:pPr>
        <w:spacing w:after="0" w:line="1" w:lineRule="exact"/>
        <w:rPr>
          <w:sz w:val="20"/>
          <w:szCs w:val="20"/>
          <w:color w:val="auto"/>
        </w:rPr>
      </w:pPr>
    </w:p>
    <w:p>
      <w:pPr>
        <w:ind w:left="100" w:right="340"/>
        <w:spacing w:after="0" w:line="233" w:lineRule="auto"/>
        <w:rPr>
          <w:sz w:val="20"/>
          <w:szCs w:val="20"/>
          <w:color w:val="auto"/>
        </w:rPr>
      </w:pPr>
      <w:r>
        <w:rPr>
          <w:rFonts w:ascii="Times New Roman" w:cs="Times New Roman" w:eastAsia="Times New Roman" w:hAnsi="Times New Roman"/>
          <w:sz w:val="22"/>
          <w:szCs w:val="22"/>
          <w:color w:val="auto"/>
        </w:rPr>
        <w:t>(i)-(iii), unless the entity has implemented policies or procedures designed to ensure that the applicable Covered Person or Other Covered Person cannot influence transactions by the entity involving Subject Securities. Covered Persons are responsible for the transactions of Other Covered Persons and therefore should make them aware of the need to confer with the Covered Person before they trade in Subject Securities. Covered Persons should treat all such transactions for the purposes of this Policy and applicable securities laws as if the transactions were for their own account.</w:t>
      </w:r>
    </w:p>
    <w:p>
      <w:pPr>
        <w:spacing w:after="0" w:line="179" w:lineRule="exact"/>
        <w:rPr>
          <w:sz w:val="20"/>
          <w:szCs w:val="20"/>
          <w:color w:val="auto"/>
        </w:rPr>
      </w:pPr>
    </w:p>
    <w:p>
      <w:pPr>
        <w:ind w:left="100" w:right="400" w:firstLine="746"/>
        <w:spacing w:after="0" w:line="244" w:lineRule="auto"/>
        <w:rPr>
          <w:sz w:val="20"/>
          <w:szCs w:val="20"/>
          <w:color w:val="auto"/>
        </w:rPr>
      </w:pPr>
      <w:r>
        <w:rPr>
          <w:rFonts w:ascii="Times New Roman" w:cs="Times New Roman" w:eastAsia="Times New Roman" w:hAnsi="Times New Roman"/>
          <w:sz w:val="22"/>
          <w:szCs w:val="22"/>
          <w:color w:val="auto"/>
        </w:rPr>
        <w:t>While the provisions in Sections 7 and 12 of this Policy are not applicable to transactions by the Company itself, transactions by the Company will only be made in accordance with applicable U.S. federal securities laws, including those relating to insider trading.</w:t>
      </w:r>
    </w:p>
    <w:p>
      <w:pPr>
        <w:spacing w:after="0" w:line="173" w:lineRule="exact"/>
        <w:rPr>
          <w:sz w:val="20"/>
          <w:szCs w:val="20"/>
          <w:color w:val="auto"/>
        </w:rPr>
      </w:pPr>
    </w:p>
    <w:p>
      <w:pPr>
        <w:ind w:left="100" w:right="280" w:firstLine="741"/>
        <w:spacing w:after="0" w:line="244" w:lineRule="auto"/>
        <w:tabs>
          <w:tab w:leader="none" w:pos="139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Subject to the Policy</w:t>
      </w:r>
      <w:r>
        <w:rPr>
          <w:rFonts w:ascii="Times New Roman" w:cs="Times New Roman" w:eastAsia="Times New Roman" w:hAnsi="Times New Roman"/>
          <w:sz w:val="22"/>
          <w:szCs w:val="22"/>
          <w:color w:val="auto"/>
        </w:rPr>
        <w:t>. This Policy applies to transactions in Subject Securities, including common stock, options to purchase common stock, restricted stock units or any other type of securities that the Company or an Applicable Other Company may issue, including, but not limited to, preferred stock, convertible debt and warrants.</w:t>
      </w:r>
    </w:p>
    <w:p>
      <w:pPr>
        <w:spacing w:after="0" w:line="173" w:lineRule="exact"/>
        <w:rPr>
          <w:sz w:val="20"/>
          <w:szCs w:val="20"/>
          <w:color w:val="auto"/>
        </w:rPr>
      </w:pPr>
    </w:p>
    <w:p>
      <w:pPr>
        <w:ind w:right="340" w:firstLine="1592"/>
        <w:spacing w:after="0" w:line="255" w:lineRule="auto"/>
        <w:rPr>
          <w:sz w:val="20"/>
          <w:szCs w:val="20"/>
          <w:color w:val="auto"/>
        </w:rPr>
      </w:pPr>
      <w:r>
        <w:rPr>
          <w:rFonts w:ascii="Times New Roman" w:cs="Times New Roman" w:eastAsia="Times New Roman" w:hAnsi="Times New Roman"/>
          <w:sz w:val="21"/>
          <w:szCs w:val="21"/>
          <w:color w:val="auto"/>
        </w:rPr>
        <w:t>Nothing in this Policy is intended to limit the ability of a venture capital partnership or other similar entity with which a Director is affiliated to distribute Subject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62" w:lineRule="exact"/>
        <w:rPr>
          <w:sz w:val="20"/>
          <w:szCs w:val="20"/>
          <w:color w:val="auto"/>
        </w:rPr>
      </w:pPr>
    </w:p>
    <w:p>
      <w:pPr>
        <w:ind w:left="100" w:right="160" w:firstLine="741"/>
        <w:spacing w:after="0" w:line="233" w:lineRule="auto"/>
        <w:tabs>
          <w:tab w:leader="none" w:pos="139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Individual Responsibility</w:t>
      </w:r>
      <w:r>
        <w:rPr>
          <w:rFonts w:ascii="Times New Roman" w:cs="Times New Roman" w:eastAsia="Times New Roman" w:hAnsi="Times New Roman"/>
          <w:sz w:val="22"/>
          <w:szCs w:val="22"/>
          <w:color w:val="auto"/>
        </w:rPr>
        <w:t>. Persons subject to this Policy have ethical and legal obligations to maintain the confidentiality of information about the Company and Applicable Other Companies and to refrain from engaging in transactions in Subject Securities while in possession of material nonpublic information about the Company or Applicable Other Companies, as applicable. Each individual is responsible for ensuring that he or she, and each Other Covered Person whose transactions are subject to this Policy, as discussed above, complies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A Covered Person could be subject to severe legal penalties and disciplinary action by the Company for any conduct prohibited by this Policy or applicable securities laws, as described below in more detail under the heading “Consequences of Violations.”</w:t>
      </w:r>
    </w:p>
    <w:p>
      <w:pPr>
        <w:spacing w:after="0" w:line="187" w:lineRule="exact"/>
        <w:rPr>
          <w:rFonts w:ascii="Times New Roman" w:cs="Times New Roman" w:eastAsia="Times New Roman" w:hAnsi="Times New Roman"/>
          <w:sz w:val="22"/>
          <w:szCs w:val="22"/>
          <w:color w:val="auto"/>
        </w:rPr>
      </w:pPr>
    </w:p>
    <w:p>
      <w:pPr>
        <w:jc w:val="both"/>
        <w:ind w:left="100" w:right="380" w:firstLine="741"/>
        <w:spacing w:after="0" w:line="239" w:lineRule="auto"/>
        <w:tabs>
          <w:tab w:leader="none" w:pos="13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Policy</w:t>
      </w:r>
      <w:r>
        <w:rPr>
          <w:rFonts w:ascii="Times New Roman" w:cs="Times New Roman" w:eastAsia="Times New Roman" w:hAnsi="Times New Roman"/>
          <w:sz w:val="22"/>
          <w:szCs w:val="22"/>
          <w:color w:val="auto"/>
        </w:rPr>
        <w:t>. The Company’s Chief Legal Officer or such officer as is designated by the Chief Executive Officer shall serve, in consultation with the Chief Executive Officer, as the Compliance Officer for the purposes of this Policy. In the absence of the Compliance Officer, another employee designated by the Compliance Officer (or, if the</w:t>
      </w:r>
    </w:p>
    <w:p>
      <w:pPr>
        <w:spacing w:after="0" w:line="18" w:lineRule="exact"/>
        <w:rPr>
          <w:sz w:val="20"/>
          <w:szCs w:val="20"/>
          <w:color w:val="auto"/>
        </w:rPr>
      </w:pPr>
    </w:p>
    <w:p>
      <w:pPr>
        <w:ind w:left="100" w:right="240"/>
        <w:spacing w:after="0" w:line="258" w:lineRule="auto"/>
        <w:rPr>
          <w:sz w:val="20"/>
          <w:szCs w:val="20"/>
          <w:color w:val="auto"/>
        </w:rPr>
      </w:pPr>
      <w:r>
        <w:rPr>
          <w:rFonts w:ascii="Times New Roman" w:cs="Times New Roman" w:eastAsia="Times New Roman" w:hAnsi="Times New Roman"/>
          <w:sz w:val="22"/>
          <w:szCs w:val="22"/>
          <w:color w:val="auto"/>
        </w:rPr>
        <w:t>Compliance Officer is unavailable, by the Chief Executive Officer) shall be responsible for administration of this Policy. All determinations and interpretations by the Compliance Officer or his or her delegate shall be final.</w:t>
      </w:r>
    </w:p>
    <w:p>
      <w:pPr>
        <w:spacing w:after="0" w:line="158" w:lineRule="exact"/>
        <w:rPr>
          <w:sz w:val="20"/>
          <w:szCs w:val="20"/>
          <w:color w:val="auto"/>
        </w:rPr>
      </w:pPr>
    </w:p>
    <w:p>
      <w:pPr>
        <w:ind w:left="1360" w:hanging="519"/>
        <w:spacing w:after="0"/>
        <w:tabs>
          <w:tab w:leader="none" w:pos="13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Policy</w:t>
      </w:r>
      <w:r>
        <w:rPr>
          <w:rFonts w:ascii="Times New Roman" w:cs="Times New Roman" w:eastAsia="Times New Roman" w:hAnsi="Times New Roman"/>
          <w:sz w:val="22"/>
          <w:szCs w:val="22"/>
          <w:color w:val="auto"/>
        </w:rPr>
        <w:t>. It is the policy of the Company that a Covered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229870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1"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52"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Other Covered Person who is aware of material nonpublic information relating to the Company or an Applicable Other Company may not:</w:t>
      </w:r>
    </w:p>
    <w:p>
      <w:pPr>
        <w:spacing w:after="0" w:line="145" w:lineRule="exact"/>
        <w:rPr>
          <w:sz w:val="20"/>
          <w:szCs w:val="20"/>
          <w:color w:val="auto"/>
        </w:rPr>
      </w:pPr>
    </w:p>
    <w:p>
      <w:pPr>
        <w:ind w:left="1440" w:right="780" w:hanging="699"/>
        <w:spacing w:after="0" w:line="244" w:lineRule="auto"/>
        <w:tabs>
          <w:tab w:leader="none" w:pos="14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in Subject Securities of such company (including gifts of such securities), except as otherwise specified in this Policy under the headings “Transactions under Company Plans,” “Transactions Not Involving a Purchase or Sale” and “Rule 10b5-1 Plans”;</w:t>
      </w:r>
    </w:p>
    <w:p>
      <w:pPr>
        <w:spacing w:after="0" w:line="173" w:lineRule="exact"/>
        <w:rPr>
          <w:rFonts w:ascii="Times New Roman" w:cs="Times New Roman" w:eastAsia="Times New Roman" w:hAnsi="Times New Roman"/>
          <w:sz w:val="22"/>
          <w:szCs w:val="22"/>
          <w:color w:val="auto"/>
        </w:rPr>
      </w:pPr>
    </w:p>
    <w:p>
      <w:pPr>
        <w:ind w:left="1460" w:right="680" w:hanging="719"/>
        <w:spacing w:after="0" w:line="258" w:lineRule="auto"/>
        <w:tabs>
          <w:tab w:leader="none" w:pos="14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 such material nonpublic information on to others or recommend to anyone the purchase or sale of any securities when such persons are aware of such information;</w:t>
      </w:r>
    </w:p>
    <w:p>
      <w:pPr>
        <w:spacing w:after="0" w:line="158" w:lineRule="exact"/>
        <w:rPr>
          <w:rFonts w:ascii="Times New Roman" w:cs="Times New Roman" w:eastAsia="Times New Roman" w:hAnsi="Times New Roman"/>
          <w:sz w:val="22"/>
          <w:szCs w:val="22"/>
          <w:color w:val="auto"/>
        </w:rPr>
      </w:pPr>
    </w:p>
    <w:p>
      <w:pPr>
        <w:ind w:left="1480" w:right="520" w:hanging="739"/>
        <w:spacing w:after="0" w:line="238" w:lineRule="auto"/>
        <w:tabs>
          <w:tab w:leader="none" w:pos="14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such material nonpublic information to persons within the Company whose jobs do not require them to have that information, or anyone outside of the Company,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6"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 in contravention of this Policy.</w:t>
      </w:r>
    </w:p>
    <w:p>
      <w:pPr>
        <w:spacing w:after="0" w:line="206" w:lineRule="exact"/>
        <w:rPr>
          <w:sz w:val="20"/>
          <w:szCs w:val="20"/>
          <w:color w:val="auto"/>
        </w:rPr>
      </w:pPr>
    </w:p>
    <w:p>
      <w:pPr>
        <w:ind w:right="180" w:firstLine="746"/>
        <w:spacing w:after="0" w:line="238"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7" w:lineRule="exact"/>
        <w:rPr>
          <w:sz w:val="20"/>
          <w:szCs w:val="20"/>
          <w:color w:val="auto"/>
        </w:rPr>
      </w:pPr>
    </w:p>
    <w:p>
      <w:pPr>
        <w:ind w:left="1500" w:hanging="759"/>
        <w:spacing w:after="0"/>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Material Nonpublic Information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40" w:right="640" w:firstLine="749"/>
        <w:spacing w:after="0" w:line="236"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Information is considered “material” if a reasonable investor would consider that information important in making a decision to buy, hold or sell securities. Any information that could be expected to affect the Company’s or an Applicable Other Company’s stock price, whether it is positive or negative, should be considered material to such company. There is no bright-line standard for assessing materiality; rather, materiality is based on an assessment of all of the facts and circumstances, and is often evaluated by enforcement authorities with the benefit of hindsight.</w:t>
      </w:r>
    </w:p>
    <w:p>
      <w:pPr>
        <w:spacing w:after="0" w:line="181" w:lineRule="exact"/>
        <w:rPr>
          <w:sz w:val="20"/>
          <w:szCs w:val="20"/>
          <w:color w:val="auto"/>
        </w:rPr>
      </w:pPr>
    </w:p>
    <w:p>
      <w:pPr>
        <w:ind w:left="740" w:right="300" w:firstLine="749"/>
        <w:spacing w:after="0" w:line="258" w:lineRule="auto"/>
        <w:rPr>
          <w:sz w:val="20"/>
          <w:szCs w:val="20"/>
          <w:color w:val="auto"/>
        </w:rPr>
      </w:pPr>
      <w:r>
        <w:rPr>
          <w:rFonts w:ascii="Times New Roman" w:cs="Times New Roman" w:eastAsia="Times New Roman" w:hAnsi="Times New Roman"/>
          <w:sz w:val="22"/>
          <w:szCs w:val="22"/>
          <w:color w:val="auto"/>
        </w:rPr>
        <w:t>While it is not possible to define all categories of material information, some examples of information that ordinarily would be regarded as material are:</w:t>
      </w:r>
    </w:p>
    <w:p>
      <w:pPr>
        <w:spacing w:after="0" w:line="172" w:lineRule="exact"/>
        <w:rPr>
          <w:sz w:val="20"/>
          <w:szCs w:val="20"/>
          <w:color w:val="auto"/>
        </w:rPr>
      </w:pPr>
    </w:p>
    <w:p>
      <w:pPr>
        <w:ind w:left="1500" w:hanging="759"/>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financial guidance;</w:t>
      </w:r>
    </w:p>
    <w:p>
      <w:pPr>
        <w:spacing w:after="0" w:line="192" w:lineRule="exact"/>
        <w:rPr>
          <w:rFonts w:ascii="Times New Roman" w:cs="Times New Roman" w:eastAsia="Times New Roman" w:hAnsi="Times New Roman"/>
          <w:sz w:val="22"/>
          <w:szCs w:val="22"/>
          <w:color w:val="auto"/>
        </w:rPr>
      </w:pPr>
    </w:p>
    <w:p>
      <w:pPr>
        <w:ind w:left="1500" w:right="2640" w:hanging="759"/>
        <w:spacing w:after="0" w:line="309" w:lineRule="auto"/>
        <w:tabs>
          <w:tab w:leader="none" w:pos="14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previously announced financial guidance, or the decision to suspend financial guidance;</w:t>
      </w:r>
    </w:p>
    <w:p>
      <w:pPr>
        <w:spacing w:after="0" w:line="104"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w:t>
      </w:r>
    </w:p>
    <w:p>
      <w:pPr>
        <w:spacing w:after="0" w:line="206"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spacing w:after="0" w:line="206"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 or licensing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220980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761"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52" w:lineRule="exact"/>
        <w:rPr>
          <w:sz w:val="20"/>
          <w:szCs w:val="20"/>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206" w:lineRule="exact"/>
        <w:rPr>
          <w:rFonts w:ascii="Times New Roman" w:cs="Times New Roman" w:eastAsia="Times New Roman" w:hAnsi="Times New Roman"/>
          <w:sz w:val="22"/>
          <w:szCs w:val="22"/>
          <w:color w:val="auto"/>
        </w:rPr>
      </w:pPr>
    </w:p>
    <w:p>
      <w:pPr>
        <w:ind w:left="700" w:hanging="699"/>
        <w:spacing w:after="0"/>
        <w:tabs>
          <w:tab w:leader="none" w:pos="7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192"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repurchase program for Company Securities;</w:t>
      </w:r>
    </w:p>
    <w:p>
      <w:pPr>
        <w:spacing w:after="0" w:line="219"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Company’s cost structure;</w:t>
      </w:r>
    </w:p>
    <w:p>
      <w:pPr>
        <w:spacing w:after="0" w:line="192"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marketing changes;</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management;</w:t>
      </w:r>
    </w:p>
    <w:p>
      <w:pPr>
        <w:spacing w:after="0" w:line="206" w:lineRule="exact"/>
        <w:rPr>
          <w:rFonts w:ascii="Times New Roman" w:cs="Times New Roman" w:eastAsia="Times New Roman" w:hAnsi="Times New Roman"/>
          <w:sz w:val="22"/>
          <w:szCs w:val="22"/>
          <w:color w:val="auto"/>
        </w:rPr>
      </w:pPr>
    </w:p>
    <w:p>
      <w:pPr>
        <w:ind w:left="680" w:right="920" w:hanging="679"/>
        <w:spacing w:after="0" w:line="258" w:lineRule="auto"/>
        <w:tabs>
          <w:tab w:leader="none" w:pos="6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or dispute with auditors or notification that the auditor’s reports may no longer be relied upon;</w:t>
      </w:r>
    </w:p>
    <w:p>
      <w:pPr>
        <w:spacing w:after="0" w:line="158"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developments;</w:t>
      </w:r>
    </w:p>
    <w:p>
      <w:pPr>
        <w:spacing w:after="0" w:line="57" w:lineRule="exact"/>
        <w:rPr>
          <w:rFonts w:ascii="Times New Roman" w:cs="Times New Roman" w:eastAsia="Times New Roman" w:hAnsi="Times New Roman"/>
          <w:sz w:val="22"/>
          <w:szCs w:val="22"/>
          <w:color w:val="auto"/>
        </w:rPr>
      </w:pPr>
    </w:p>
    <w:p>
      <w:pPr>
        <w:ind w:left="720" w:hanging="719"/>
        <w:spacing w:after="0"/>
        <w:tabs>
          <w:tab w:leader="none" w:pos="7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clinical trials, including the timing of and findings and data from such trials;</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timelines for expected launches of new products or for new indications;</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severe liquidity problems;</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supplier;</w:t>
      </w:r>
    </w:p>
    <w:p>
      <w:pPr>
        <w:spacing w:after="0" w:line="206" w:lineRule="exact"/>
        <w:rPr>
          <w:rFonts w:ascii="Times New Roman" w:cs="Times New Roman" w:eastAsia="Times New Roman" w:hAnsi="Times New Roman"/>
          <w:sz w:val="22"/>
          <w:szCs w:val="22"/>
          <w:color w:val="auto"/>
        </w:rPr>
      </w:pPr>
    </w:p>
    <w:p>
      <w:pPr>
        <w:ind w:left="700" w:hanging="699"/>
        <w:spacing w:after="0"/>
        <w:tabs>
          <w:tab w:leader="none" w:pos="7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ban on trading in Company Securities or the securities of another company; and</w:t>
      </w:r>
    </w:p>
    <w:p>
      <w:pPr>
        <w:spacing w:after="0" w:line="206" w:lineRule="exact"/>
        <w:rPr>
          <w:rFonts w:ascii="Times New Roman" w:cs="Times New Roman" w:eastAsia="Times New Roman" w:hAnsi="Times New Roman"/>
          <w:sz w:val="22"/>
          <w:szCs w:val="22"/>
          <w:color w:val="auto"/>
        </w:rPr>
      </w:pPr>
    </w:p>
    <w:p>
      <w:pPr>
        <w:ind w:left="720" w:hanging="719"/>
        <w:spacing w:after="0"/>
        <w:tabs>
          <w:tab w:leader="none" w:pos="7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breaches or incidents, including investigations of such incidents.</w:t>
      </w:r>
    </w:p>
    <w:p>
      <w:pPr>
        <w:spacing w:after="0" w:line="193" w:lineRule="exact"/>
        <w:rPr>
          <w:sz w:val="20"/>
          <w:szCs w:val="20"/>
          <w:color w:val="auto"/>
        </w:rPr>
      </w:pPr>
    </w:p>
    <w:p>
      <w:pPr>
        <w:ind w:right="400" w:firstLine="749"/>
        <w:spacing w:after="0" w:line="259" w:lineRule="auto"/>
        <w:rPr>
          <w:sz w:val="20"/>
          <w:szCs w:val="20"/>
          <w:color w:val="auto"/>
        </w:rPr>
      </w:pPr>
      <w:r>
        <w:rPr>
          <w:rFonts w:ascii="Times New Roman" w:cs="Times New Roman" w:eastAsia="Times New Roman" w:hAnsi="Times New Roman"/>
          <w:sz w:val="21"/>
          <w:szCs w:val="21"/>
          <w:color w:val="auto"/>
        </w:rPr>
        <w:t>8.2.</w:t>
      </w:r>
      <w:r>
        <w:rPr>
          <w:rFonts w:ascii="Times New Roman" w:cs="Times New Roman" w:eastAsia="Times New Roman" w:hAnsi="Times New Roman"/>
          <w:sz w:val="21"/>
          <w:szCs w:val="21"/>
          <w:u w:val="single" w:color="auto"/>
          <w:color w:val="auto"/>
        </w:rPr>
        <w:t>Nonpublic Information</w:t>
      </w:r>
      <w:r>
        <w:rPr>
          <w:rFonts w:ascii="Times New Roman" w:cs="Times New Roman" w:eastAsia="Times New Roman" w:hAnsi="Times New Roman"/>
          <w:sz w:val="21"/>
          <w:szCs w:val="21"/>
          <w:color w:val="auto"/>
        </w:rPr>
        <w:t>. Generally, information that has not been disclosed to the public is considered to be nonpublic information. In order to establish that the information has been disclosed to the public, it may be necessary to demonstrate that the information has been widely disseminated. Information generally would be</w:t>
      </w:r>
    </w:p>
    <w:p>
      <w:pPr>
        <w:spacing w:after="0" w:line="1"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2"/>
          <w:szCs w:val="22"/>
          <w:color w:val="auto"/>
        </w:rPr>
        <w:t>considered widely disseminated if it has been disclosed through the Dow Jones “broad tape,” newswire services, a broadcast on widely available internet, radio or television programs, publication in a widely available newspaper, magazine or news website, or public disclosure documents filed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that are available on the SEC’s website. By contrast, information would generally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considered widely disseminated if it is available only to the Company’s employees or only to the employees of the Company and an Applicable Other Company.</w:t>
      </w:r>
    </w:p>
    <w:p>
      <w:pPr>
        <w:spacing w:after="0" w:line="18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afford the investing public sufficient time to absorb the information. As a general rule,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199390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76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52" w:lineRule="exact"/>
        <w:rPr>
          <w:sz w:val="20"/>
          <w:szCs w:val="20"/>
          <w:color w:val="auto"/>
        </w:rPr>
      </w:pPr>
    </w:p>
    <w:p>
      <w:pPr>
        <w:ind w:left="740" w:right="160"/>
        <w:spacing w:after="0" w:line="234" w:lineRule="auto"/>
        <w:rPr>
          <w:sz w:val="20"/>
          <w:szCs w:val="20"/>
          <w:color w:val="auto"/>
        </w:rPr>
      </w:pPr>
      <w:r>
        <w:rPr>
          <w:rFonts w:ascii="Times New Roman" w:cs="Times New Roman" w:eastAsia="Times New Roman" w:hAnsi="Times New Roman"/>
          <w:sz w:val="22"/>
          <w:szCs w:val="22"/>
          <w:color w:val="auto"/>
        </w:rPr>
        <w:t>is considered nonpublic until the end of the second full trading day after the information is released. For example, if the Company announces financial results after market close on Monday or before trading begins on a Tuesday, the first time a director, officer or employee can buy or sell Company Securities is the opening of the market on Thursday (assuming he or she is not aware of other material nonpublic information relating to the Company at that time). However, if the Company announces financial results after trading begins on that Tuesday, the first time a director, officer or employee can buy or sell Company Securities is the opening of the market on Friday (again assuming he or she is not aware of other material nonpublic information relating to the Company at that time). Depending on the particular circumstances, the Company may determine that a longer or shorter period should apply to the release of specific material nonpublic information.</w:t>
      </w:r>
    </w:p>
    <w:p>
      <w:pPr>
        <w:spacing w:after="0" w:line="183" w:lineRule="exact"/>
        <w:rPr>
          <w:sz w:val="20"/>
          <w:szCs w:val="20"/>
          <w:color w:val="auto"/>
        </w:rPr>
      </w:pPr>
    </w:p>
    <w:p>
      <w:pPr>
        <w:ind w:right="1140" w:firstLine="741"/>
        <w:spacing w:after="0" w:line="258" w:lineRule="auto"/>
        <w:tabs>
          <w:tab w:leader="none" w:pos="128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under Company Plans</w:t>
      </w:r>
      <w:r>
        <w:rPr>
          <w:rFonts w:ascii="Times New Roman" w:cs="Times New Roman" w:eastAsia="Times New Roman" w:hAnsi="Times New Roman"/>
          <w:sz w:val="22"/>
          <w:szCs w:val="22"/>
          <w:color w:val="auto"/>
        </w:rPr>
        <w:t>. The prohibitions in Section 7 of this Policy do not apply to the following transactions, except as specifically noted:</w:t>
      </w:r>
    </w:p>
    <w:p>
      <w:pPr>
        <w:spacing w:after="0" w:line="158" w:lineRule="exact"/>
        <w:rPr>
          <w:sz w:val="20"/>
          <w:szCs w:val="20"/>
          <w:color w:val="auto"/>
        </w:rPr>
      </w:pPr>
    </w:p>
    <w:p>
      <w:pPr>
        <w:ind w:left="740" w:right="340" w:firstLine="749"/>
        <w:spacing w:after="0" w:line="251" w:lineRule="auto"/>
        <w:rPr>
          <w:sz w:val="20"/>
          <w:szCs w:val="20"/>
          <w:color w:val="auto"/>
        </w:rPr>
      </w:pPr>
      <w:r>
        <w:rPr>
          <w:rFonts w:ascii="Times New Roman" w:cs="Times New Roman" w:eastAsia="Times New Roman" w:hAnsi="Times New Roman"/>
          <w:sz w:val="21"/>
          <w:szCs w:val="21"/>
          <w:color w:val="auto"/>
        </w:rPr>
        <w:t>9.1.</w:t>
      </w:r>
      <w:r>
        <w:rPr>
          <w:rFonts w:ascii="Times New Roman" w:cs="Times New Roman" w:eastAsia="Times New Roman" w:hAnsi="Times New Roman"/>
          <w:sz w:val="21"/>
          <w:szCs w:val="21"/>
          <w:u w:val="single" w:color="auto"/>
          <w:color w:val="auto"/>
        </w:rPr>
        <w:t>Stock Option Exercises</w:t>
      </w:r>
      <w:r>
        <w:rPr>
          <w:rFonts w:ascii="Times New Roman" w:cs="Times New Roman" w:eastAsia="Times New Roman" w:hAnsi="Times New Roman"/>
          <w:sz w:val="21"/>
          <w:szCs w:val="21"/>
          <w:color w:val="auto"/>
        </w:rPr>
        <w:t>. This Policy does not apply to the exercise of a stock option acquired pursuant to a Company equity incentive plan or to a transaction in which a person has elected to have the Company withhold shares subject to an option award to satisfy tax withholding requirements. This Policy does, however, apply to any sale of shares as part of a broker-assisted cashless exercise of an option, or any other market sale for the purpose of generating the cash needed to pay the exercise price of or taxes associated with an option.</w:t>
      </w:r>
    </w:p>
    <w:p>
      <w:pPr>
        <w:spacing w:after="0" w:line="168" w:lineRule="exact"/>
        <w:rPr>
          <w:sz w:val="20"/>
          <w:szCs w:val="20"/>
          <w:color w:val="auto"/>
        </w:rPr>
      </w:pPr>
    </w:p>
    <w:p>
      <w:pPr>
        <w:ind w:left="740" w:right="340" w:firstLine="749"/>
        <w:spacing w:after="0" w:line="238" w:lineRule="auto"/>
        <w:rPr>
          <w:sz w:val="20"/>
          <w:szCs w:val="20"/>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2"/>
          <w:szCs w:val="22"/>
          <w:u w:val="single" w:color="auto"/>
          <w:color w:val="auto"/>
        </w:rPr>
        <w:t>Restricted Stock and Similar Awards</w:t>
      </w:r>
      <w:r>
        <w:rPr>
          <w:rFonts w:ascii="Times New Roman" w:cs="Times New Roman" w:eastAsia="Times New Roman" w:hAnsi="Times New Roman"/>
          <w:sz w:val="22"/>
          <w:szCs w:val="22"/>
          <w:color w:val="auto"/>
        </w:rPr>
        <w:t>. This Policy does not apply to the vesting of restricted stock, the settlement of restricted stock units or similar awards, or to a transaction in which the Company withholds shares to satisfy tax withholding requirements upon the vesting of any restricted stock or the vesting or settlement of any restricted stock unit. The Policy does apply, however, to any market sale of restricted stock or other Company Securities received upon the settlement of any restricted stock unit or similar award.</w:t>
      </w:r>
    </w:p>
    <w:p>
      <w:pPr>
        <w:spacing w:after="0" w:line="177" w:lineRule="exact"/>
        <w:rPr>
          <w:sz w:val="20"/>
          <w:szCs w:val="20"/>
          <w:color w:val="auto"/>
        </w:rPr>
      </w:pPr>
    </w:p>
    <w:p>
      <w:pPr>
        <w:ind w:left="740" w:right="220" w:firstLine="749"/>
        <w:spacing w:after="0" w:line="238" w:lineRule="auto"/>
        <w:rPr>
          <w:sz w:val="20"/>
          <w:szCs w:val="20"/>
          <w:color w:val="auto"/>
        </w:rPr>
      </w:pPr>
      <w:r>
        <w:rPr>
          <w:rFonts w:ascii="Times New Roman" w:cs="Times New Roman" w:eastAsia="Times New Roman" w:hAnsi="Times New Roman"/>
          <w:sz w:val="22"/>
          <w:szCs w:val="22"/>
          <w:color w:val="auto"/>
        </w:rPr>
        <w:t>9.3.</w:t>
      </w:r>
      <w:r>
        <w:rPr>
          <w:rFonts w:ascii="Times New Roman" w:cs="Times New Roman" w:eastAsia="Times New Roman" w:hAnsi="Times New Roman"/>
          <w:sz w:val="22"/>
          <w:szCs w:val="22"/>
          <w:u w:val="single" w:color="auto"/>
          <w:color w:val="auto"/>
        </w:rPr>
        <w:t>Employee Stock Purchase Plan.</w:t>
      </w:r>
      <w:r>
        <w:rPr>
          <w:rFonts w:ascii="Times New Roman" w:cs="Times New Roman" w:eastAsia="Times New Roman" w:hAnsi="Times New Roman"/>
          <w:sz w:val="22"/>
          <w:szCs w:val="22"/>
          <w:color w:val="auto"/>
        </w:rPr>
        <w:t xml:space="preserve"> This Policy does not apply to periodic purchases under a Company employee stock purchase plan, if such plan exists, that are made as the result of an election made at the beginning of the purchase period. This Policy would apply, however, to an initial decision to participate in the plan or a decision to increase the level of contribution in a subsequent purchase period. The Policy also applies to any sales of shares purchased under the plan.</w:t>
      </w:r>
    </w:p>
    <w:p>
      <w:pPr>
        <w:spacing w:after="0" w:line="177"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 xml:space="preserve">401(k) Plan. </w:t>
      </w:r>
      <w:r>
        <w:rPr>
          <w:rFonts w:ascii="Times New Roman" w:cs="Times New Roman" w:eastAsia="Times New Roman" w:hAnsi="Times New Roman"/>
          <w:sz w:val="21"/>
          <w:szCs w:val="21"/>
          <w:color w:val="auto"/>
        </w:rPr>
        <w:t>This Policy does not apply to purchases of Company</w:t>
      </w:r>
    </w:p>
    <w:p>
      <w:pPr>
        <w:spacing w:after="0" w:line="44" w:lineRule="exact"/>
        <w:rPr>
          <w:sz w:val="20"/>
          <w:szCs w:val="20"/>
          <w:color w:val="auto"/>
        </w:rPr>
      </w:pPr>
    </w:p>
    <w:p>
      <w:pPr>
        <w:ind w:left="740" w:right="380"/>
        <w:spacing w:after="0" w:line="239" w:lineRule="auto"/>
        <w:rPr>
          <w:sz w:val="20"/>
          <w:szCs w:val="20"/>
          <w:color w:val="auto"/>
        </w:rPr>
      </w:pPr>
      <w:r>
        <w:rPr>
          <w:rFonts w:ascii="Times New Roman" w:cs="Times New Roman" w:eastAsia="Times New Roman" w:hAnsi="Times New Roman"/>
          <w:sz w:val="22"/>
          <w:szCs w:val="22"/>
          <w:color w:val="auto"/>
        </w:rPr>
        <w:t>Securities in the Company’s or its subsidiaries’ 401(k) plans as a result of periodic contributions made pursuant to payroll deduction. The Policy does apply, however, to initial elections to participate, and increases in the level of participation, in a Company stock fund and transfers in or out of a Company stock fund (including in connection with a plan loan).</w:t>
      </w:r>
    </w:p>
    <w:p>
      <w:pPr>
        <w:spacing w:after="0" w:line="180" w:lineRule="exact"/>
        <w:rPr>
          <w:sz w:val="20"/>
          <w:szCs w:val="20"/>
          <w:color w:val="auto"/>
        </w:rPr>
      </w:pPr>
    </w:p>
    <w:p>
      <w:pPr>
        <w:ind w:right="540" w:firstLine="741"/>
        <w:spacing w:after="0" w:line="238" w:lineRule="auto"/>
        <w:tabs>
          <w:tab w:leader="none" w:pos="128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the Company</w:t>
      </w:r>
      <w:r>
        <w:rPr>
          <w:rFonts w:ascii="Times New Roman" w:cs="Times New Roman" w:eastAsia="Times New Roman" w:hAnsi="Times New Roman"/>
          <w:sz w:val="22"/>
          <w:szCs w:val="22"/>
          <w:color w:val="auto"/>
        </w:rPr>
        <w:t>. Any purchase of Company Securities from the Company or sales of Company Securities to the Company are not subject to the prohibitions in Section 7 of this Policy. In addition, nothing in this Policy is intended to limit the ability of any Covered Person or Other Covered Person to sell Subject Securities as a selling stockholder in an underwritten public offering pursuant to an effective registration statement in accordance with applicable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211455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761"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52" w:lineRule="exact"/>
        <w:rPr>
          <w:sz w:val="20"/>
          <w:szCs w:val="20"/>
          <w:color w:val="auto"/>
        </w:rPr>
      </w:pPr>
    </w:p>
    <w:p>
      <w:pPr>
        <w:ind w:right="680" w:firstLine="741"/>
        <w:spacing w:after="0" w:line="258" w:lineRule="auto"/>
        <w:tabs>
          <w:tab w:leader="none" w:pos="129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Not Involving a Purchase or Sale</w:t>
      </w:r>
      <w:r>
        <w:rPr>
          <w:rFonts w:ascii="Times New Roman" w:cs="Times New Roman" w:eastAsia="Times New Roman" w:hAnsi="Times New Roman"/>
          <w:sz w:val="22"/>
          <w:szCs w:val="22"/>
          <w:color w:val="auto"/>
        </w:rPr>
        <w:t>. Transactions in mutual funds that are invested in Subject Securities are not transactions subject to the prohibitions in Section 7 of this Policy.</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Note that gifts of securities are considered “sales” for purposes of this Policy.</w:t>
      </w:r>
    </w:p>
    <w:p>
      <w:pPr>
        <w:spacing w:after="0" w:line="206" w:lineRule="exact"/>
        <w:rPr>
          <w:sz w:val="20"/>
          <w:szCs w:val="20"/>
          <w:color w:val="auto"/>
        </w:rPr>
      </w:pPr>
    </w:p>
    <w:p>
      <w:pPr>
        <w:ind w:right="400" w:firstLine="741"/>
        <w:spacing w:after="0" w:line="244" w:lineRule="auto"/>
        <w:tabs>
          <w:tab w:leader="none" w:pos="128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and Prohibited Transactions</w:t>
      </w:r>
      <w:r>
        <w:rPr>
          <w:rFonts w:ascii="Times New Roman" w:cs="Times New Roman" w:eastAsia="Times New Roman" w:hAnsi="Times New Roman"/>
          <w:sz w:val="22"/>
          <w:szCs w:val="22"/>
          <w:color w:val="auto"/>
        </w:rPr>
        <w:t>. The Company has determined that the following transactions present a heightened legal risk and the potential appearance of improper or inappropriate conduct. It is therefore the Company’s policy that any person covered by this Policy may not engage in any of the following transactions: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Short sales of Company Securities (i.e., the sale of a security that the seller does not own)</w:t>
      </w:r>
    </w:p>
    <w:p>
      <w:pPr>
        <w:spacing w:after="0" w:line="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may evidence an expectation on the part of the seller that the securities will decline in value and therefore might</w:t>
      </w:r>
    </w:p>
    <w:p>
      <w:pPr>
        <w:ind w:left="740"/>
        <w:spacing w:after="0" w:line="230" w:lineRule="auto"/>
        <w:rPr>
          <w:sz w:val="20"/>
          <w:szCs w:val="20"/>
          <w:color w:val="auto"/>
        </w:rPr>
      </w:pPr>
      <w:r>
        <w:rPr>
          <w:rFonts w:ascii="Times New Roman" w:cs="Times New Roman" w:eastAsia="Times New Roman" w:hAnsi="Times New Roman"/>
          <w:sz w:val="22"/>
          <w:szCs w:val="22"/>
          <w:color w:val="auto"/>
        </w:rPr>
        <w:t>signal to the market that the seller lacks confidence in the Company’s prospects. In addition, short sales may reduce</w:t>
      </w:r>
    </w:p>
    <w:p>
      <w:pPr>
        <w:ind w:left="740"/>
        <w:spacing w:after="0" w:line="231" w:lineRule="auto"/>
        <w:rPr>
          <w:sz w:val="20"/>
          <w:szCs w:val="20"/>
          <w:color w:val="auto"/>
        </w:rPr>
      </w:pPr>
      <w:r>
        <w:rPr>
          <w:rFonts w:ascii="Times New Roman" w:cs="Times New Roman" w:eastAsia="Times New Roman" w:hAnsi="Times New Roman"/>
          <w:sz w:val="22"/>
          <w:szCs w:val="22"/>
          <w:color w:val="auto"/>
        </w:rPr>
        <w:t>a seller’s incentive to seek to improve the Company’s performance. For these reasons, short sales of Company</w:t>
      </w:r>
    </w:p>
    <w:p>
      <w:pPr>
        <w:ind w:left="740"/>
        <w:spacing w:after="0" w:line="230" w:lineRule="auto"/>
        <w:rPr>
          <w:sz w:val="20"/>
          <w:szCs w:val="20"/>
          <w:color w:val="auto"/>
        </w:rPr>
      </w:pPr>
      <w:r>
        <w:rPr>
          <w:rFonts w:ascii="Times New Roman" w:cs="Times New Roman" w:eastAsia="Times New Roman" w:hAnsi="Times New Roman"/>
          <w:sz w:val="22"/>
          <w:szCs w:val="22"/>
          <w:color w:val="auto"/>
        </w:rPr>
        <w:t>Securities are prohibited. In addition, Section 16(c) of the Securities Exchange Act of 1934, as amended (the</w:t>
      </w:r>
    </w:p>
    <w:p>
      <w:pPr>
        <w:ind w:left="740"/>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prohibits executive officers and directors from engaging in short sales. Short sales arising from</w:t>
      </w:r>
    </w:p>
    <w:p>
      <w:pPr>
        <w:ind w:left="740"/>
        <w:spacing w:after="0"/>
        <w:rPr>
          <w:sz w:val="20"/>
          <w:szCs w:val="20"/>
          <w:color w:val="auto"/>
        </w:rPr>
      </w:pPr>
      <w:r>
        <w:rPr>
          <w:rFonts w:ascii="Times New Roman" w:cs="Times New Roman" w:eastAsia="Times New Roman" w:hAnsi="Times New Roman"/>
          <w:sz w:val="22"/>
          <w:szCs w:val="22"/>
          <w:color w:val="auto"/>
        </w:rPr>
        <w:t>certain types of hedging transactions are also governed by the paragraph below captioned “Hedging Transactions.”</w:t>
      </w:r>
    </w:p>
    <w:p>
      <w:pPr>
        <w:spacing w:after="0" w:line="182" w:lineRule="exact"/>
        <w:rPr>
          <w:sz w:val="20"/>
          <w:szCs w:val="20"/>
          <w:color w:val="auto"/>
        </w:rPr>
      </w:pPr>
    </w:p>
    <w:p>
      <w:pPr>
        <w:ind w:left="740" w:right="540" w:firstLine="749"/>
        <w:spacing w:after="0" w:line="251" w:lineRule="auto"/>
        <w:rPr>
          <w:sz w:val="20"/>
          <w:szCs w:val="20"/>
          <w:color w:val="auto"/>
        </w:rPr>
      </w:pPr>
      <w:r>
        <w:rPr>
          <w:rFonts w:ascii="Times New Roman" w:cs="Times New Roman" w:eastAsia="Times New Roman" w:hAnsi="Times New Roman"/>
          <w:sz w:val="21"/>
          <w:szCs w:val="21"/>
          <w:color w:val="auto"/>
        </w:rPr>
        <w:t>12.2.</w:t>
      </w:r>
      <w:r>
        <w:rPr>
          <w:rFonts w:ascii="Times New Roman" w:cs="Times New Roman" w:eastAsia="Times New Roman" w:hAnsi="Times New Roman"/>
          <w:sz w:val="21"/>
          <w:szCs w:val="21"/>
          <w:u w:val="single" w:color="auto"/>
          <w:color w:val="auto"/>
        </w:rPr>
        <w:t>Publicly Traded Options</w:t>
      </w:r>
      <w:r>
        <w:rPr>
          <w:rFonts w:ascii="Times New Roman" w:cs="Times New Roman" w:eastAsia="Times New Roman" w:hAnsi="Times New Roman"/>
          <w:sz w:val="21"/>
          <w:szCs w:val="21"/>
          <w:color w:val="auto"/>
        </w:rPr>
        <w:t>. Given the relatively short term of publicly traded options, transactions in options may create the appearance that a director, officer or employee is trading based on material nonpublic information and focus such person’s attention on short-term performance at the expense of the Company’s long-term objectives. Accordingly, transactions in Company Securities that are put options, call options or other derivative securities on an exchange or in any other organized market, are prohibited by this Policy.</w:t>
      </w:r>
    </w:p>
    <w:p>
      <w:pPr>
        <w:spacing w:after="0" w:line="168" w:lineRule="exact"/>
        <w:rPr>
          <w:sz w:val="20"/>
          <w:szCs w:val="20"/>
          <w:color w:val="auto"/>
        </w:rPr>
      </w:pPr>
    </w:p>
    <w:p>
      <w:pPr>
        <w:ind w:left="740" w:right="360" w:firstLine="749"/>
        <w:spacing w:after="0" w:line="236" w:lineRule="auto"/>
        <w:rPr>
          <w:sz w:val="20"/>
          <w:szCs w:val="20"/>
          <w:color w:val="auto"/>
        </w:rPr>
      </w:pPr>
      <w:r>
        <w:rPr>
          <w:rFonts w:ascii="Times New Roman" w:cs="Times New Roman" w:eastAsia="Times New Roman" w:hAnsi="Times New Roman"/>
          <w:sz w:val="22"/>
          <w:szCs w:val="22"/>
          <w:color w:val="auto"/>
        </w:rPr>
        <w:t>12.3.</w:t>
      </w:r>
      <w:r>
        <w:rPr>
          <w:rFonts w:ascii="Times New Roman" w:cs="Times New Roman" w:eastAsia="Times New Roman" w:hAnsi="Times New Roman"/>
          <w:sz w:val="22"/>
          <w:szCs w:val="22"/>
          <w:u w:val="single" w:color="auto"/>
          <w:color w:val="auto"/>
        </w:rPr>
        <w:t>Hedging Transactions</w:t>
      </w:r>
      <w:r>
        <w:rPr>
          <w:rFonts w:ascii="Times New Roman" w:cs="Times New Roman" w:eastAsia="Times New Roman" w:hAnsi="Times New Roman"/>
          <w:sz w:val="22"/>
          <w:szCs w:val="22"/>
          <w:color w:val="auto"/>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w:t>
      </w:r>
    </w:p>
    <w:p>
      <w:pPr>
        <w:spacing w:after="0" w:line="19" w:lineRule="exact"/>
        <w:rPr>
          <w:sz w:val="20"/>
          <w:szCs w:val="20"/>
          <w:color w:val="auto"/>
        </w:rPr>
      </w:pPr>
    </w:p>
    <w:p>
      <w:pPr>
        <w:ind w:left="740" w:right="1120"/>
        <w:spacing w:after="0" w:line="258" w:lineRule="auto"/>
        <w:rPr>
          <w:sz w:val="20"/>
          <w:szCs w:val="20"/>
          <w:color w:val="auto"/>
        </w:rPr>
      </w:pPr>
      <w:r>
        <w:rPr>
          <w:rFonts w:ascii="Times New Roman" w:cs="Times New Roman" w:eastAsia="Times New Roman" w:hAnsi="Times New Roman"/>
          <w:sz w:val="22"/>
          <w:szCs w:val="22"/>
          <w:color w:val="auto"/>
        </w:rPr>
        <w:t>other shareholders. Therefore, directors, officers and employees are prohibited from engaging in any such transactions.</w:t>
      </w:r>
    </w:p>
    <w:p>
      <w:pPr>
        <w:spacing w:after="0" w:line="158" w:lineRule="exact"/>
        <w:rPr>
          <w:sz w:val="20"/>
          <w:szCs w:val="20"/>
          <w:color w:val="auto"/>
        </w:rPr>
      </w:pPr>
    </w:p>
    <w:p>
      <w:pPr>
        <w:ind w:left="740" w:right="180" w:firstLine="749"/>
        <w:spacing w:after="0" w:line="235" w:lineRule="auto"/>
        <w:rPr>
          <w:sz w:val="20"/>
          <w:szCs w:val="20"/>
          <w:color w:val="auto"/>
        </w:rPr>
      </w:pPr>
      <w:r>
        <w:rPr>
          <w:rFonts w:ascii="Times New Roman" w:cs="Times New Roman" w:eastAsia="Times New Roman" w:hAnsi="Times New Roman"/>
          <w:sz w:val="22"/>
          <w:szCs w:val="22"/>
          <w:color w:val="auto"/>
        </w:rPr>
        <w:t>12.4.</w:t>
      </w:r>
      <w:r>
        <w:rPr>
          <w:rFonts w:ascii="Times New Roman" w:cs="Times New Roman" w:eastAsia="Times New Roman" w:hAnsi="Times New Roman"/>
          <w:sz w:val="22"/>
          <w:szCs w:val="22"/>
          <w:u w:val="single" w:color="auto"/>
          <w:color w:val="auto"/>
        </w:rPr>
        <w:t>Margin Accounts and Pledged Securities</w:t>
      </w:r>
      <w:r>
        <w:rPr>
          <w:rFonts w:ascii="Times New Roman" w:cs="Times New Roman" w:eastAsia="Times New Roman" w:hAnsi="Times New Roman"/>
          <w:sz w:val="22"/>
          <w:szCs w:val="22"/>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Subject Securities, directors, officers and other employees are prohibited from holding Subject Securities in a margin account or otherwise pledging Subject Securities as collateral for a loan.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12.5.</w:t>
      </w:r>
      <w:r>
        <w:rPr>
          <w:rFonts w:ascii="Times New Roman" w:cs="Times New Roman" w:eastAsia="Times New Roman" w:hAnsi="Times New Roman"/>
          <w:sz w:val="22"/>
          <w:szCs w:val="22"/>
          <w:u w:val="single" w:color="auto"/>
          <w:color w:val="auto"/>
        </w:rPr>
        <w:t>Standing and Limit Orders</w:t>
      </w:r>
      <w:r>
        <w:rPr>
          <w:rFonts w:ascii="Times New Roman" w:cs="Times New Roman" w:eastAsia="Times New Roman" w:hAnsi="Times New Roman"/>
          <w:sz w:val="22"/>
          <w:szCs w:val="22"/>
          <w:color w:val="auto"/>
        </w:rPr>
        <w:t>. Standing and limit orders (except standing and limit orders under Rule</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10b5-1 Plans, as described below) create heightened risks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205740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761"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52" w:lineRule="exact"/>
        <w:rPr>
          <w:sz w:val="20"/>
          <w:szCs w:val="20"/>
          <w:color w:val="auto"/>
        </w:rPr>
      </w:pPr>
    </w:p>
    <w:p>
      <w:pPr>
        <w:ind w:left="740" w:right="540"/>
        <w:spacing w:after="0" w:line="236" w:lineRule="auto"/>
        <w:rPr>
          <w:sz w:val="20"/>
          <w:szCs w:val="20"/>
          <w:color w:val="auto"/>
        </w:rPr>
      </w:pPr>
      <w:r>
        <w:rPr>
          <w:rFonts w:ascii="Times New Roman" w:cs="Times New Roman" w:eastAsia="Times New Roman" w:hAnsi="Times New Roman"/>
          <w:sz w:val="22"/>
          <w:szCs w:val="22"/>
          <w:color w:val="auto"/>
        </w:rPr>
        <w:t>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Subject Securities other than pursuant to Rule 10b5-1 Plans. If a person subject to this Policy determines that they must use a standing order or limit order, that person must contact the Compliance Officer for clearance to place the order.</w:t>
      </w:r>
    </w:p>
    <w:p>
      <w:pPr>
        <w:spacing w:after="0" w:line="181" w:lineRule="exact"/>
        <w:rPr>
          <w:sz w:val="20"/>
          <w:szCs w:val="20"/>
          <w:color w:val="auto"/>
        </w:rPr>
      </w:pPr>
    </w:p>
    <w:p>
      <w:pPr>
        <w:ind w:right="200" w:firstLine="741"/>
        <w:spacing w:after="0" w:line="234" w:lineRule="auto"/>
        <w:tabs>
          <w:tab w:leader="none" w:pos="129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Plans</w:t>
      </w:r>
      <w:r>
        <w:rPr>
          <w:rFonts w:ascii="Times New Roman" w:cs="Times New Roman" w:eastAsia="Times New Roman" w:hAnsi="Times New Roman"/>
          <w:sz w:val="22"/>
          <w:szCs w:val="22"/>
          <w:color w:val="auto"/>
        </w:rPr>
        <w:t>. Rule 10b5-1 under the Exchange Act provides a defense from insider trading liability under Rule 10b-5. In order to be eligible to rely on this defense, a person subject to this Policy must enter into a Rule 10b5-1 plan for transactions in Subject Securities that meets certain conditions specified in the rule (a “</w:t>
      </w:r>
      <w:r>
        <w:rPr>
          <w:rFonts w:ascii="Times New Roman" w:cs="Times New Roman" w:eastAsia="Times New Roman" w:hAnsi="Times New Roman"/>
          <w:sz w:val="22"/>
          <w:szCs w:val="22"/>
          <w:u w:val="single" w:color="auto"/>
          <w:color w:val="auto"/>
        </w:rPr>
        <w:t>Rule 10b5-1 Plan</w:t>
      </w:r>
      <w:r>
        <w:rPr>
          <w:rFonts w:ascii="Times New Roman" w:cs="Times New Roman" w:eastAsia="Times New Roman" w:hAnsi="Times New Roman"/>
          <w:sz w:val="22"/>
          <w:szCs w:val="22"/>
          <w:color w:val="auto"/>
        </w:rPr>
        <w:t>”). If the plan meets the requirements of Rule 10b5-1, Subject Securities may be purchased or sold without regard to certain insider trading restrictions. To comply with this Policy, a Rule 10b5-1 Plan must be approved by the Compliance Officer and meet the requirements of Rule 10b5-1.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Rule 10b5-1 Plans will be considered by the Compliance Officer on a case-by-case basis.</w:t>
      </w:r>
    </w:p>
    <w:p>
      <w:pPr>
        <w:spacing w:after="0" w:line="1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1"/>
          <w:szCs w:val="21"/>
          <w:color w:val="auto"/>
        </w:rPr>
        <w:t>Any Rule 10b5-1 Plan must be submitted to the Compliance Officer for approval at least five days prior to the entry into the Rule 10b5-1 Plan. No further pre-approval of transactions conducted pursuant to the Rule 10b5-1 Plan will be required.</w:t>
      </w:r>
    </w:p>
    <w:p>
      <w:pPr>
        <w:spacing w:after="0" w:line="159" w:lineRule="exact"/>
        <w:rPr>
          <w:sz w:val="20"/>
          <w:szCs w:val="20"/>
          <w:color w:val="auto"/>
        </w:rPr>
      </w:pPr>
    </w:p>
    <w:p>
      <w:pPr>
        <w:ind w:right="380" w:firstLine="741"/>
        <w:spacing w:after="0" w:line="239" w:lineRule="auto"/>
        <w:tabs>
          <w:tab w:leader="none" w:pos="128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r>
        <w:rPr>
          <w:rFonts w:ascii="Times New Roman" w:cs="Times New Roman" w:eastAsia="Times New Roman" w:hAnsi="Times New Roman"/>
          <w:sz w:val="22"/>
          <w:szCs w:val="22"/>
          <w:color w:val="auto"/>
        </w:rPr>
        <w:t>. This Policy continues to apply to transactions in Subject Securities even after termination of service to the Company. If an individual is in possession of material nonpublic information related to a company when his or her service terminates, that individual may not trade in Subject Securities of such company until that information has become public or is no longer material.</w:t>
      </w:r>
    </w:p>
    <w:p>
      <w:pPr>
        <w:spacing w:after="0" w:line="180" w:lineRule="exact"/>
        <w:rPr>
          <w:rFonts w:ascii="Times New Roman" w:cs="Times New Roman" w:eastAsia="Times New Roman" w:hAnsi="Times New Roman"/>
          <w:sz w:val="22"/>
          <w:szCs w:val="22"/>
          <w:color w:val="auto"/>
        </w:rPr>
      </w:pPr>
    </w:p>
    <w:p>
      <w:pPr>
        <w:ind w:right="1300" w:firstLine="741"/>
        <w:spacing w:after="0" w:line="256" w:lineRule="auto"/>
        <w:tabs>
          <w:tab w:leader="none" w:pos="127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Consequences of Violations</w:t>
      </w:r>
      <w:r>
        <w:rPr>
          <w:rFonts w:ascii="Times New Roman" w:cs="Times New Roman" w:eastAsia="Times New Roman" w:hAnsi="Times New Roman"/>
          <w:sz w:val="22"/>
          <w:szCs w:val="22"/>
          <w:color w:val="auto"/>
        </w:rPr>
        <w:t>. The purchase or sale of securities while aware of material nonpublic information, or the disclosure of material nonpublic information to others</w:t>
      </w:r>
    </w:p>
    <w:p>
      <w:pPr>
        <w:ind w:right="420"/>
        <w:spacing w:after="0" w:line="236" w:lineRule="auto"/>
        <w:rPr>
          <w:sz w:val="20"/>
          <w:szCs w:val="20"/>
          <w:color w:val="auto"/>
        </w:rPr>
      </w:pPr>
      <w:r>
        <w:rPr>
          <w:rFonts w:ascii="Times New Roman" w:cs="Times New Roman" w:eastAsia="Times New Roman" w:hAnsi="Times New Roman"/>
          <w:sz w:val="22"/>
          <w:szCs w:val="22"/>
          <w:color w:val="auto"/>
        </w:rPr>
        <w:t>who then trade in the Subject Securities, is prohibited by U.S. federal and state laws. Insider trading violations are pursued vigorously by the SEC, U.S. Attorneys and state enforcement authorities, as well as foreign regulatory authorities.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1" w:lineRule="exact"/>
        <w:rPr>
          <w:sz w:val="20"/>
          <w:szCs w:val="20"/>
          <w:color w:val="auto"/>
        </w:rPr>
      </w:pPr>
    </w:p>
    <w:p>
      <w:pPr>
        <w:ind w:right="420" w:firstLine="746"/>
        <w:spacing w:after="0" w:line="239" w:lineRule="auto"/>
        <w:rPr>
          <w:sz w:val="20"/>
          <w:szCs w:val="20"/>
          <w:color w:val="auto"/>
        </w:rPr>
      </w:pPr>
      <w:r>
        <w:rPr>
          <w:rFonts w:ascii="Times New Roman" w:cs="Times New Roman" w:eastAsia="Times New Roman" w:hAnsi="Times New Roman"/>
          <w:sz w:val="22"/>
          <w:szCs w:val="22"/>
          <w:color w:val="auto"/>
        </w:rPr>
        <w:t>In addition, an individual’s failure to comply with this Policy may subject the individual to Company-imposed sanctions, including dismissal for cause, whether or not the employee’s failure to comply results in a violation of law. In addition to the formal sanctions summarized above, a violation of law, or even an SEC investigation that does not result in prosecution, can tarnish a person’s reputation and irreparably damage a career.</w:t>
      </w:r>
    </w:p>
    <w:p>
      <w:pPr>
        <w:spacing w:after="0" w:line="180" w:lineRule="exact"/>
        <w:rPr>
          <w:sz w:val="20"/>
          <w:szCs w:val="20"/>
          <w:color w:val="auto"/>
        </w:rPr>
      </w:pPr>
    </w:p>
    <w:p>
      <w:pPr>
        <w:ind w:right="560" w:firstLine="741"/>
        <w:spacing w:after="0" w:line="258" w:lineRule="auto"/>
        <w:tabs>
          <w:tab w:leader="none" w:pos="127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Assistance</w:t>
      </w:r>
      <w:r>
        <w:rPr>
          <w:rFonts w:ascii="Times New Roman" w:cs="Times New Roman" w:eastAsia="Times New Roman" w:hAnsi="Times New Roman"/>
          <w:sz w:val="22"/>
          <w:szCs w:val="22"/>
          <w:color w:val="auto"/>
        </w:rPr>
        <w:t>. Any person who has a question about this Policy or its application to any proposed transaction may obtain additional guidance from the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199390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761"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w:t>
      </w:r>
    </w:p>
    <w:p>
      <w:pPr>
        <w:spacing w:after="0" w:line="206" w:lineRule="exact"/>
        <w:rPr>
          <w:sz w:val="20"/>
          <w:szCs w:val="20"/>
          <w:color w:val="auto"/>
        </w:rPr>
      </w:pPr>
    </w:p>
    <w:p>
      <w:pPr>
        <w:ind w:right="740" w:firstLine="741"/>
        <w:spacing w:after="0" w:line="258" w:lineRule="auto"/>
        <w:tabs>
          <w:tab w:leader="none" w:pos="128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All persons subject to this Policy must certify their understanding of, and intent to comply with, this Policy.</w:t>
      </w:r>
    </w:p>
    <w:p>
      <w:pPr>
        <w:spacing w:after="0" w:line="158" w:lineRule="exact"/>
        <w:rPr>
          <w:rFonts w:ascii="Times New Roman" w:cs="Times New Roman" w:eastAsia="Times New Roman" w:hAnsi="Times New Roman"/>
          <w:sz w:val="22"/>
          <w:szCs w:val="22"/>
          <w:color w:val="auto"/>
        </w:rPr>
      </w:pPr>
    </w:p>
    <w:p>
      <w:pPr>
        <w:ind w:right="860" w:firstLine="741"/>
        <w:spacing w:after="0" w:line="282" w:lineRule="auto"/>
        <w:tabs>
          <w:tab w:leader="none" w:pos="125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Blackout Periods and Pre-Clearance Procedures</w:t>
      </w:r>
      <w:r>
        <w:rPr>
          <w:rFonts w:ascii="Times New Roman" w:cs="Times New Roman" w:eastAsia="Times New Roman" w:hAnsi="Times New Roman"/>
          <w:sz w:val="21"/>
          <w:szCs w:val="21"/>
          <w:color w:val="auto"/>
        </w:rPr>
        <w:t>. The Company will notify certain individuals if they are subject to the additional blackout periods and pre-clearance procedures outlined in the Addendum to this Policy.</w:t>
      </w:r>
    </w:p>
    <w:p>
      <w:pPr>
        <w:spacing w:after="0" w:line="134" w:lineRule="exact"/>
        <w:rPr>
          <w:rFonts w:ascii="Times New Roman" w:cs="Times New Roman" w:eastAsia="Times New Roman" w:hAnsi="Times New Roman"/>
          <w:sz w:val="21"/>
          <w:szCs w:val="21"/>
          <w:color w:val="auto"/>
        </w:rPr>
      </w:pPr>
    </w:p>
    <w:p>
      <w:pPr>
        <w:ind w:right="240" w:firstLine="741"/>
        <w:spacing w:after="0" w:line="236" w:lineRule="auto"/>
        <w:tabs>
          <w:tab w:leader="none" w:pos="129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None of the Company, the Compliance Officer or the Company’s other employees will have any liability for any delay in reviewing, or refusal of, a trading plan submitted pursuant to Section 13, a request for pre-clearance submitted pursuant to the Addendum to this Policy or a request to allow clearance submitted pursuant to Section 12. Notwithstanding any such review or clearance, none of the Company, the Compliance Officer or the Company’s other employees assumes any liability for the legality or consequences of such trading plan or transaction to the person engaging in or adopting such trading plan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205740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761"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certify that:</w:t>
      </w:r>
    </w:p>
    <w:p>
      <w:pPr>
        <w:spacing w:after="0" w:line="206" w:lineRule="exact"/>
        <w:rPr>
          <w:sz w:val="20"/>
          <w:szCs w:val="20"/>
          <w:color w:val="auto"/>
        </w:rPr>
      </w:pPr>
    </w:p>
    <w:p>
      <w:pPr>
        <w:ind w:right="880" w:firstLine="741"/>
        <w:spacing w:after="0" w:line="258" w:lineRule="auto"/>
        <w:tabs>
          <w:tab w:leader="none" w:pos="128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Company’s Insider Trading Policy (the “Policy”). I understand that the Compliance Officer is available to answer any questions I have regarding the Policy.</w:t>
      </w:r>
    </w:p>
    <w:p>
      <w:pPr>
        <w:spacing w:after="0" w:line="158" w:lineRule="exact"/>
        <w:rPr>
          <w:rFonts w:ascii="Times New Roman" w:cs="Times New Roman" w:eastAsia="Times New Roman" w:hAnsi="Times New Roman"/>
          <w:sz w:val="22"/>
          <w:szCs w:val="22"/>
          <w:color w:val="auto"/>
        </w:rPr>
      </w:pPr>
    </w:p>
    <w:p>
      <w:pPr>
        <w:ind w:right="320" w:firstLine="741"/>
        <w:spacing w:after="0" w:line="258" w:lineRule="auto"/>
        <w:tabs>
          <w:tab w:leader="none" w:pos="128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I have been an employee, officer or director of the Company, or otherwise subject to the Policy, I have complied with the Policy as in effect at such time.</w:t>
      </w:r>
    </w:p>
    <w:p>
      <w:pPr>
        <w:spacing w:after="0" w:line="158" w:lineRule="exact"/>
        <w:rPr>
          <w:rFonts w:ascii="Times New Roman" w:cs="Times New Roman" w:eastAsia="Times New Roman" w:hAnsi="Times New Roman"/>
          <w:sz w:val="22"/>
          <w:szCs w:val="22"/>
          <w:color w:val="auto"/>
        </w:rPr>
      </w:pPr>
    </w:p>
    <w:p>
      <w:pPr>
        <w:ind w:left="1280" w:hanging="539"/>
        <w:spacing w:after="0"/>
        <w:tabs>
          <w:tab w:leader="none" w:pos="12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continue to comply with the Policy for as long as I am subject to the Policy.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-13970</wp:posOffset>
            </wp:positionV>
            <wp:extent cx="49784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6">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600075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-29210</wp:posOffset>
            </wp:positionV>
            <wp:extent cx="2247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8">
                      <a:extLst>
                        <a:ext uri="{28A0092B-C50C-407E-A947-70E740481C1C}"/>
                      </a:extLst>
                    </a:blip>
                    <a:srcRect/>
                    <a:stretch>
                      <a:fillRect/>
                    </a:stretch>
                  </pic:blipFill>
                  <pic:spPr bwMode="auto">
                    <a:xfrm>
                      <a:off x="0" y="0"/>
                      <a:ext cx="224790" cy="825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-29210</wp:posOffset>
            </wp:positionV>
            <wp:extent cx="1828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9">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ectPr>
          <w:pgSz w:w="11900" w:h="16838" w:orient="portrait"/>
          <w:cols w:equalWidth="0" w:num="1">
            <w:col w:w="11000"/>
          </w:cols>
          <w:pgMar w:left="560" w:top="761"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Addendum to Insider Trading Policy of</w:t>
      </w:r>
    </w:p>
    <w:p>
      <w:pPr>
        <w:spacing w:after="0" w:line="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Beam Therapeutics Inc.</w:t>
      </w:r>
    </w:p>
    <w:p>
      <w:pPr>
        <w:spacing w:after="0" w:line="209" w:lineRule="exact"/>
        <w:rPr>
          <w:sz w:val="20"/>
          <w:szCs w:val="20"/>
          <w:color w:val="auto"/>
        </w:rPr>
      </w:pPr>
    </w:p>
    <w:p>
      <w:pPr>
        <w:ind w:right="360" w:firstLine="746"/>
        <w:spacing w:after="0" w:line="235" w:lineRule="auto"/>
        <w:rPr>
          <w:sz w:val="20"/>
          <w:szCs w:val="20"/>
          <w:color w:val="auto"/>
        </w:rPr>
      </w:pPr>
      <w:r>
        <w:rPr>
          <w:rFonts w:ascii="Times New Roman" w:cs="Times New Roman" w:eastAsia="Times New Roman" w:hAnsi="Times New Roman"/>
          <w:sz w:val="22"/>
          <w:szCs w:val="22"/>
          <w:color w:val="auto"/>
        </w:rPr>
        <w:t>The Company has established additional procedures to assist in the administration of its Insider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 order to facilitate compliance with laws prohibiting insider trading while in possession of material nonpublic information and to avoid the appearance of any impropriety. These additional procedures are applicable only to the Company’s directors, officers subject to Section 16 of the Securities Exchange Act of 1934, as amended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and other persons who, because they are in a position to routinely become aware of material nonpublic information, are periodically designated by the Compliance Officer as being subject to these procedures. The Compliance Officer will notify those individuals who are subject to this Addendum. All capitalized terms used herein and not otherwise defined shall have the respective meanings set forth in the Policy.</w:t>
      </w:r>
    </w:p>
    <w:p>
      <w:pPr>
        <w:spacing w:after="0" w:line="205" w:lineRule="exact"/>
        <w:rPr>
          <w:sz w:val="20"/>
          <w:szCs w:val="20"/>
          <w:color w:val="auto"/>
        </w:rPr>
      </w:pPr>
    </w:p>
    <w:p>
      <w:pPr>
        <w:ind w:right="200" w:firstLine="746"/>
        <w:spacing w:after="0" w:line="251" w:lineRule="auto"/>
        <w:rPr>
          <w:sz w:val="20"/>
          <w:szCs w:val="20"/>
          <w:color w:val="auto"/>
        </w:rPr>
      </w:pPr>
      <w:r>
        <w:rPr>
          <w:rFonts w:ascii="Times New Roman" w:cs="Times New Roman" w:eastAsia="Times New Roman" w:hAnsi="Times New Roman"/>
          <w:sz w:val="21"/>
          <w:szCs w:val="21"/>
          <w:color w:val="auto"/>
        </w:rPr>
        <w:t>Each person who is subject to this Addendum is responsible for making sure that he or she, and each family member, household member or entity whose transactions are subject to the Policy, as discussed in the Policy, complies with this Addendum. In all cases, the responsibility for determining whether an individual is in possession of material nonpublic information rests with that individual, and any action on the part of the Company, the Compliance Officer or any other person does not in any way constitute legal advice or insulate an individual from liability under applicable securities laws.</w:t>
      </w:r>
    </w:p>
    <w:p>
      <w:pPr>
        <w:spacing w:after="0" w:line="195" w:lineRule="exact"/>
        <w:rPr>
          <w:sz w:val="20"/>
          <w:szCs w:val="20"/>
          <w:color w:val="auto"/>
        </w:rPr>
      </w:pPr>
    </w:p>
    <w:p>
      <w:pPr>
        <w:ind w:right="240" w:firstLine="746"/>
        <w:spacing w:after="0" w:line="232" w:lineRule="auto"/>
        <w:tabs>
          <w:tab w:leader="none" w:pos="118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Directors, officers and other persons who are designated by the Compliance Officer as being subject to this Addendum, as well as their family members and other related persons and entities specified in the “Persons Subject to the Policy” section of the Policy, may not engage in any transaction in Company Securities at any time, even if not subject to a Blackout Period (as defined below), without first obtaining pre- clearance of the transaction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If a person seeks pre- clearance and permission to engage in the transaction is denied, then he or she should refrain from initiating any transaction in Company Securities, and should not inform any other person of the restriction. 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“opposite-way” transactions within the past six months, and should be prepared to report the proposed transaction on an appropriate Form 4 or Form 5, if applicable. The requestor should also be prepared to comply with SEC Rule 144 and file a Form 144, if necessary, at the time of any sale. After receiving clearance to engage in a trade from the Compliance Officer, the requestor must complete the proposed trade within two trading days or make a new trading request. Notwithstanding receipt of pre-clearance, if the requestor becomes aware of material non-public information or becomes subject to a blackout period before the transaction is effected, the transaction may not be completed.</w:t>
      </w:r>
    </w:p>
    <w:p>
      <w:pPr>
        <w:spacing w:after="0" w:line="39" w:lineRule="exact"/>
        <w:rPr>
          <w:rFonts w:ascii="Times New Roman" w:cs="Times New Roman" w:eastAsia="Times New Roman" w:hAnsi="Times New Roman"/>
          <w:sz w:val="22"/>
          <w:szCs w:val="22"/>
          <w:color w:val="auto"/>
        </w:rPr>
      </w:pPr>
    </w:p>
    <w:p>
      <w:pPr>
        <w:ind w:right="780" w:firstLine="746"/>
        <w:spacing w:after="0" w:line="258" w:lineRule="auto"/>
        <w:tabs>
          <w:tab w:leader="none" w:pos="118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Trading Restrictions</w:t>
      </w:r>
      <w:r>
        <w:rPr>
          <w:rFonts w:ascii="Times New Roman" w:cs="Times New Roman" w:eastAsia="Times New Roman" w:hAnsi="Times New Roman"/>
          <w:sz w:val="22"/>
          <w:szCs w:val="22"/>
          <w:color w:val="auto"/>
        </w:rPr>
        <w:t>. Directors, officers and other persons subject to this Addendum may not engage in any transaction in Company Securities (other than as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585470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761"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85"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2"/>
          <w:szCs w:val="22"/>
          <w:color w:val="auto"/>
        </w:rPr>
        <w:t>below under the heading “Exceptions”) during a blackout period beginning the first calendar day of each fiscal quarter and ending after two full trading days following the public release of the Company’s quarterly earnings during such quarter (the “</w:t>
      </w:r>
      <w:r>
        <w:rPr>
          <w:rFonts w:ascii="Times New Roman" w:cs="Times New Roman" w:eastAsia="Times New Roman" w:hAnsi="Times New Roman"/>
          <w:sz w:val="22"/>
          <w:szCs w:val="22"/>
          <w:u w:val="single" w:color="auto"/>
          <w:color w:val="auto"/>
        </w:rPr>
        <w:t>Blackout Period</w:t>
      </w:r>
      <w:r>
        <w:rPr>
          <w:rFonts w:ascii="Times New Roman" w:cs="Times New Roman" w:eastAsia="Times New Roman" w:hAnsi="Times New Roman"/>
          <w:sz w:val="22"/>
          <w:szCs w:val="22"/>
          <w:color w:val="auto"/>
        </w:rPr>
        <w:t>”). For example, if the Company announces financial earnings before trading begins on a Tuesday, the Blackout Period will end with the opening of The Nasdaq Global Select Market on that Thursday. However, if the Company announces earnings after trading begins on that Tuesday, the Blackout Period will end with the opening of The Nasdaq Global Select Market on that Friday.</w:t>
      </w:r>
    </w:p>
    <w:p>
      <w:pPr>
        <w:spacing w:after="0" w:line="208" w:lineRule="exact"/>
        <w:rPr>
          <w:sz w:val="20"/>
          <w:szCs w:val="20"/>
          <w:color w:val="auto"/>
        </w:rPr>
      </w:pPr>
    </w:p>
    <w:p>
      <w:pPr>
        <w:ind w:right="300" w:firstLine="746"/>
        <w:spacing w:after="0" w:line="233" w:lineRule="auto"/>
        <w:tabs>
          <w:tab w:leader="none" w:pos="118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Event-Specific Trading Restrictions</w:t>
      </w:r>
      <w:r>
        <w:rPr>
          <w:rFonts w:ascii="Times New Roman" w:cs="Times New Roman" w:eastAsia="Times New Roman" w:hAnsi="Times New Roman"/>
          <w:sz w:val="22"/>
          <w:szCs w:val="22"/>
          <w:color w:val="auto"/>
        </w:rPr>
        <w:t>. From time to time, an event may occur that is material to the Company or an Applicable Other Company and is known by only a few directors, officers and/or employees. So long as the event remains material and nonpublic, such persons as designated by the Compliance Officer may not trade Subject Securities of such company. In addition, the Company’s financial and/or operational results may be sufficiently material in a particular fiscal quarter that, in the judgment of the Compliance Officer, designated persons should refrain from trading in Company Securities prior to the commencement of the Blackout Period. In that situation, the Compliance Officer may notify these persons that they should not trade in the Company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someone as a person who should not trade due to an event-specific restriction, no person subject to this policy should trade while aware of material nonpublic information.</w:t>
      </w:r>
    </w:p>
    <w:p>
      <w:pPr>
        <w:spacing w:after="0" w:line="214" w:lineRule="exact"/>
        <w:rPr>
          <w:rFonts w:ascii="Times New Roman" w:cs="Times New Roman" w:eastAsia="Times New Roman" w:hAnsi="Times New Roman"/>
          <w:sz w:val="22"/>
          <w:szCs w:val="22"/>
          <w:color w:val="auto"/>
        </w:rPr>
      </w:pPr>
    </w:p>
    <w:p>
      <w:pPr>
        <w:ind w:right="360" w:firstLine="746"/>
        <w:spacing w:after="0" w:line="236" w:lineRule="auto"/>
        <w:tabs>
          <w:tab w:leader="none" w:pos="118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quarterly trading restrictions and event-specific trading restrictions described above do not apply to those transactions to which the Policy does not apply, as described therein under the headings “Transactions Under Company Plans,” “Transactions Not Involving a Purchase or Sale” and “Transactions with the Company.” Further, the requirement for pre-clearance, the quarterly trading restrictions and event-specific trading restrictions do not apply to transactions conducted pursuant to approved Rule 10b5-1 plans described in the Policy under the heading “Rule 10b5-1 Plans.”</w:t>
      </w:r>
    </w:p>
    <w:p>
      <w:pPr>
        <w:spacing w:after="0" w:line="208" w:lineRule="exact"/>
        <w:rPr>
          <w:rFonts w:ascii="Times New Roman" w:cs="Times New Roman" w:eastAsia="Times New Roman" w:hAnsi="Times New Roman"/>
          <w:sz w:val="22"/>
          <w:szCs w:val="22"/>
          <w:color w:val="auto"/>
        </w:rPr>
      </w:pPr>
    </w:p>
    <w:p>
      <w:pPr>
        <w:ind w:right="460" w:firstLine="746"/>
        <w:spacing w:after="0" w:line="248" w:lineRule="auto"/>
        <w:tabs>
          <w:tab w:leader="none" w:pos="118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Post-Transaction Notice</w:t>
      </w:r>
      <w:r>
        <w:rPr>
          <w:rFonts w:ascii="Times New Roman" w:cs="Times New Roman" w:eastAsia="Times New Roman" w:hAnsi="Times New Roman"/>
          <w:sz w:val="21"/>
          <w:szCs w:val="21"/>
          <w:color w:val="auto"/>
        </w:rPr>
        <w:t>. Each director or officer shall notify the Compliance Officer of the occurrence of any purchase, sale, gift, transfer, or other acquisition or disposition of securities of the Company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or to constitute a non-Rule 10b5-1 trading arrangement (as defined in Item 408(c) of Regulation S- K).</w:t>
      </w:r>
    </w:p>
    <w:p>
      <w:pPr>
        <w:spacing w:after="0" w:line="35" w:lineRule="exact"/>
        <w:rPr>
          <w:rFonts w:ascii="Times New Roman" w:cs="Times New Roman" w:eastAsia="Times New Roman" w:hAnsi="Times New Roman"/>
          <w:sz w:val="21"/>
          <w:szCs w:val="21"/>
          <w:color w:val="auto"/>
        </w:rPr>
      </w:pPr>
    </w:p>
    <w:p>
      <w:pPr>
        <w:ind w:right="760" w:firstLine="746"/>
        <w:spacing w:after="0" w:line="261" w:lineRule="auto"/>
        <w:tabs>
          <w:tab w:leader="none" w:pos="117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Deemed Time of a Transaction</w:t>
      </w:r>
      <w:r>
        <w:rPr>
          <w:rFonts w:ascii="Times New Roman" w:cs="Times New Roman" w:eastAsia="Times New Roman" w:hAnsi="Times New Roman"/>
          <w:sz w:val="21"/>
          <w:szCs w:val="21"/>
          <w:color w:val="auto"/>
        </w:rPr>
        <w:t>. For purposes of this Addendum, a purchase, sale, gift, transfer, or other acquisition or disposition shall be deemed to occur at the time the person becomes irrevocably committed to it. For example, in the case of an open market purchase or sale, this occurs when the trade is executed, not when it settles.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584835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761"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333-277427 on Form S-3 and Registration Statement Nos. 333-236582, 333-254378, 333-263067, 333-270079, and 333-277382 on Form S-8 of our reports dated February 25, 2025, relating to the financial statements of Beam Therapeutics Inc., and the effectiveness of Beam Therapeutics Inc.’s internal control over financial reporting appearing in this Annual Report on Form 10-K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Evans, certify that:</w:t>
      </w:r>
    </w:p>
    <w:p>
      <w:pPr>
        <w:spacing w:after="0" w:line="117" w:lineRule="exact"/>
        <w:rPr>
          <w:sz w:val="20"/>
          <w:szCs w:val="20"/>
          <w:color w:val="auto"/>
        </w:rPr>
      </w:pPr>
    </w:p>
    <w:p>
      <w:pPr>
        <w:ind w:left="520" w:hanging="503"/>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0" w:name="page201"/>
    <w:bookmarkEnd w:id="200"/>
    <w:p>
      <w:pPr>
        <w:spacing w:after="0" w:line="86" w:lineRule="exact"/>
        <w:rPr>
          <w:sz w:val="20"/>
          <w:szCs w:val="20"/>
          <w:color w:val="auto"/>
        </w:rPr>
      </w:pPr>
    </w:p>
    <w:p>
      <w:pPr>
        <w:ind w:left="1140" w:right="280" w:hanging="509"/>
        <w:spacing w:after="0" w:line="282"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40" w:hanging="509"/>
        <w:spacing w:after="0" w:line="282"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480" w:val="left"/>
          <w:tab w:leader="none" w:pos="60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17145</wp:posOffset>
            </wp:positionV>
            <wp:extent cx="33089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1313180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40" w:right="65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Sravan Emany, certify that:</w:t>
      </w:r>
    </w:p>
    <w:p>
      <w:pPr>
        <w:spacing w:after="0" w:line="117" w:lineRule="exact"/>
        <w:rPr>
          <w:sz w:val="20"/>
          <w:szCs w:val="20"/>
          <w:color w:val="auto"/>
        </w:rPr>
      </w:pPr>
    </w:p>
    <w:p>
      <w:pPr>
        <w:ind w:left="520" w:hanging="503"/>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6" w:lineRule="exact"/>
        <w:rPr>
          <w:rFonts w:ascii="Times New Roman" w:cs="Times New Roman" w:eastAsia="Times New Roman" w:hAnsi="Times New Roman"/>
          <w:sz w:val="18"/>
          <w:szCs w:val="18"/>
          <w:color w:val="auto"/>
        </w:rPr>
      </w:pPr>
    </w:p>
    <w:p>
      <w:pPr>
        <w:ind w:left="1160" w:right="600" w:hanging="509"/>
        <w:spacing w:after="0" w:line="282" w:lineRule="auto"/>
        <w:tabs>
          <w:tab w:leader="none" w:pos="1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60" w:right="320" w:hanging="509"/>
        <w:spacing w:after="0" w:line="282" w:lineRule="auto"/>
        <w:tabs>
          <w:tab w:leader="none" w:pos="1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2" w:name="page203"/>
    <w:bookmarkEnd w:id="202"/>
    <w:p>
      <w:pPr>
        <w:spacing w:after="0" w:line="113" w:lineRule="exact"/>
        <w:rPr>
          <w:sz w:val="20"/>
          <w:szCs w:val="20"/>
          <w:color w:val="auto"/>
        </w:rPr>
      </w:pPr>
    </w:p>
    <w:p>
      <w:pPr>
        <w:spacing w:after="0"/>
        <w:tabs>
          <w:tab w:leader="none" w:pos="5480" w:val="left"/>
          <w:tab w:leader="none" w:pos="596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tab/>
        <w:t>/s/ 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17145</wp:posOffset>
            </wp:positionV>
            <wp:extent cx="332613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Sravan Emany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1184910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900" w:hanging="359"/>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tab/>
        <w:t>/s/ 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Sravan Emany</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5" w:name="page206"/>
    <w:bookmarkEnd w:id="2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lowerRoman"/>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endash "/>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1"/>
      <w:numFmt w:val="upperLetter"/>
      <w:start w:val="44"/>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lowerRoman"/>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1)"/>
      <w:numFmt w:val="lowerRoman"/>
      <w:start w:val="3"/>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1"/>
      <w:numFmt w:val="decimal"/>
      <w:start w:val="104"/>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o"/>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1)"/>
      <w:numFmt w:val="decimal"/>
      <w:start w:val="1"/>
    </w:lvl>
  </w:abstractNum>
  <w:abstractNum w:abstractNumId="76">
    <w:nsid w:val="7055A5F5"/>
    <w:multiLevelType w:val="hybridMultilevel"/>
    <w:lvl w:ilvl="0">
      <w:lvlJc w:val="left"/>
      <w:lvlText w:val="%1."/>
      <w:numFmt w:val="decimal"/>
      <w:start w:val="1"/>
    </w:lvl>
  </w:abstractNum>
  <w:abstractNum w:abstractNumId="77">
    <w:nsid w:val="5FB8370B"/>
    <w:multiLevelType w:val="hybridMultilevel"/>
    <w:lvl w:ilvl="0">
      <w:lvlJc w:val="left"/>
      <w:lvlText w:val="%1."/>
      <w:numFmt w:val="decimal"/>
      <w:start w:val="5"/>
    </w:lvl>
    <w:lvl w:ilvl="1">
      <w:lvlJc w:val="left"/>
      <w:lvlText w:val="%2)"/>
      <w:numFmt w:val="lowerLetter"/>
      <w:start w:val="1"/>
    </w:lvl>
  </w:abstractNum>
  <w:abstractNum w:abstractNumId="78">
    <w:nsid w:val="50801EE1"/>
    <w:multiLevelType w:val="hybridMultilevel"/>
    <w:lvl w:ilvl="0">
      <w:lvlJc w:val="left"/>
      <w:lvlText w:val="%1"/>
      <w:numFmt w:val="decimal"/>
      <w:start w:val="1"/>
    </w:lvl>
    <w:lvl w:ilvl="1">
      <w:lvlJc w:val="left"/>
      <w:lvlText w:val="%2)"/>
      <w:numFmt w:val="lowerLetter"/>
      <w:start w:val="1"/>
    </w:lvl>
  </w:abstractNum>
  <w:abstractNum w:abstractNumId="79">
    <w:nsid w:val="488AC1A"/>
    <w:multiLevelType w:val="hybridMultilevel"/>
    <w:lvl w:ilvl="0">
      <w:lvlJc w:val="left"/>
      <w:lvlText w:val="%1."/>
      <w:numFmt w:val="decimal"/>
      <w:start w:val="9"/>
    </w:lvl>
    <w:lvl w:ilvl="1">
      <w:lvlJc w:val="left"/>
      <w:lvlText w:val="%2"/>
      <w:numFmt w:val="lowerLetter"/>
      <w:start w:val="1"/>
    </w:lvl>
  </w:abstractNum>
  <w:abstractNum w:abstractNumId="80">
    <w:nsid w:val="5FB8011C"/>
    <w:multiLevelType w:val="hybridMultilevel"/>
    <w:lvl w:ilvl="0">
      <w:lvlJc w:val="left"/>
      <w:lvlText w:val="%1."/>
      <w:numFmt w:val="decimal"/>
      <w:start w:val="12"/>
    </w:lvl>
    <w:lvl w:ilvl="1">
      <w:lvlJc w:val="left"/>
      <w:lvlText w:val="%2)"/>
      <w:numFmt w:val="lowerLetter"/>
      <w:start w:val="1"/>
    </w:lvl>
  </w:abstractNum>
  <w:abstractNum w:abstractNumId="81">
    <w:nsid w:val="6AA78F7F"/>
    <w:multiLevelType w:val="hybridMultilevel"/>
    <w:lvl w:ilvl="0">
      <w:lvlJc w:val="left"/>
      <w:lvlText w:val="%1)"/>
      <w:numFmt w:val="lowerLetter"/>
      <w:start w:val="5"/>
    </w:lvl>
  </w:abstractNum>
  <w:abstractNum w:abstractNumId="82">
    <w:nsid w:val="7672BD23"/>
    <w:multiLevelType w:val="hybridMultilevel"/>
    <w:lvl w:ilvl="0">
      <w:lvlJc w:val="left"/>
      <w:lvlText w:val="%1"/>
      <w:numFmt w:val="decimal"/>
      <w:start w:val="1"/>
    </w:lvl>
    <w:lvl w:ilvl="1">
      <w:lvlJc w:val="left"/>
      <w:lvlText w:val="%2)"/>
      <w:numFmt w:val="lowerLetter"/>
      <w:start w:val="6"/>
    </w:lvl>
  </w:abstractNum>
  <w:abstractNum w:abstractNumId="83">
    <w:nsid w:val="6FC75AF8"/>
    <w:multiLevelType w:val="hybridMultilevel"/>
    <w:lvl w:ilvl="0">
      <w:lvlJc w:val="left"/>
      <w:lvlText w:val="%1."/>
      <w:numFmt w:val="decimal"/>
      <w:start w:val="13"/>
    </w:lvl>
    <w:lvl w:ilvl="1">
      <w:lvlJc w:val="left"/>
      <w:lvlText w:val="%2)"/>
      <w:numFmt w:val="lowerLetter"/>
      <w:start w:val="1"/>
    </w:lvl>
  </w:abstractNum>
  <w:abstractNum w:abstractNumId="84">
    <w:nsid w:val="6A5F7029"/>
    <w:multiLevelType w:val="hybridMultilevel"/>
    <w:lvl w:ilvl="0">
      <w:lvlJc w:val="left"/>
      <w:lvlText w:val="%1"/>
      <w:numFmt w:val="decimal"/>
      <w:start w:val="1"/>
    </w:lvl>
    <w:lvl w:ilvl="1">
      <w:lvlJc w:val="left"/>
      <w:lvlText w:val="%2)"/>
      <w:numFmt w:val="lowerLetter"/>
      <w:start w:val="2"/>
    </w:lvl>
  </w:abstractNum>
  <w:abstractNum w:abstractNumId="85">
    <w:nsid w:val="7D5E18F8"/>
    <w:multiLevelType w:val="hybridMultilevel"/>
    <w:lvl w:ilvl="0">
      <w:lvlJc w:val="left"/>
      <w:lvlText w:val="%1."/>
      <w:numFmt w:val="decimal"/>
      <w:start w:val="14"/>
    </w:lvl>
    <w:lvl w:ilvl="1">
      <w:lvlJc w:val="left"/>
      <w:lvlText w:val="%2"/>
      <w:numFmt w:val="lowerLetter"/>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decimal"/>
      <w:start w:val="15"/>
    </w:lvl>
  </w:abstractNum>
  <w:abstractNum w:abstractNumId="88">
    <w:nsid w:val="7DE67713"/>
    <w:multiLevelType w:val="hybridMultilevel"/>
    <w:lvl w:ilvl="0">
      <w:lvlJc w:val="left"/>
      <w:lvlText w:val="(%1)"/>
      <w:numFmt w:val="lowerLetter"/>
      <w:start w:val="4"/>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
      <w:numFmt w:val="bullet"/>
      <w:start w:val="1"/>
    </w:lvl>
    <w:lvl w:ilvl="1">
      <w:lvlJc w:val="left"/>
      <w:lvlText w:val="%2."/>
      <w:numFmt w:val="decimal"/>
      <w:start w:val="3"/>
    </w:lvl>
  </w:abstractNum>
  <w:abstractNum w:abstractNumId="92">
    <w:nsid w:val="6A3DD3E8"/>
    <w:multiLevelType w:val="hybridMultilevel"/>
    <w:lvl w:ilvl="0">
      <w:lvlJc w:val="left"/>
      <w:lvlText w:val="%1."/>
      <w:numFmt w:val="decimal"/>
      <w:start w:val="4"/>
    </w:lvl>
  </w:abstractNum>
  <w:abstractNum w:abstractNumId="93">
    <w:nsid w:val="71C91298"/>
    <w:multiLevelType w:val="hybridMultilevel"/>
    <w:lvl w:ilvl="0">
      <w:lvlJc w:val="left"/>
      <w:lvlText w:val="%1."/>
      <w:numFmt w:val="decimal"/>
      <w:start w:val="5"/>
    </w:lvl>
  </w:abstractNum>
  <w:abstractNum w:abstractNumId="94">
    <w:nsid w:val="9DAF632"/>
    <w:multiLevelType w:val="hybridMultilevel"/>
    <w:lvl w:ilvl="0">
      <w:lvlJc w:val="left"/>
      <w:lvlText w:val="%1."/>
      <w:numFmt w:val="decimal"/>
      <w:start w:val="7"/>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1."/>
      <w:numFmt w:val="decimal"/>
      <w:start w:val="8"/>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1."/>
      <w:numFmt w:val="decimal"/>
      <w:start w:val="9"/>
    </w:lvl>
  </w:abstractNum>
  <w:abstractNum w:abstractNumId="100">
    <w:nsid w:val="288F1A34"/>
    <w:multiLevelType w:val="hybridMultilevel"/>
    <w:lvl w:ilvl="0">
      <w:lvlJc w:val="left"/>
      <w:lvlText w:val="%1."/>
      <w:numFmt w:val="decimal"/>
      <w:start w:val="10"/>
    </w:lvl>
  </w:abstractNum>
  <w:abstractNum w:abstractNumId="101">
    <w:nsid w:val="2A155DBC"/>
    <w:multiLevelType w:val="hybridMultilevel"/>
    <w:lvl w:ilvl="0">
      <w:lvlJc w:val="left"/>
      <w:lvlText w:val="%1."/>
      <w:numFmt w:val="decimal"/>
      <w:start w:val="11"/>
    </w:lvl>
  </w:abstractNum>
  <w:abstractNum w:abstractNumId="102">
    <w:nsid w:val="1D9F6E5F"/>
    <w:multiLevelType w:val="hybridMultilevel"/>
    <w:lvl w:ilvl="0">
      <w:lvlJc w:val="left"/>
      <w:lvlText w:val="%1."/>
      <w:numFmt w:val="decimal"/>
      <w:start w:val="12"/>
    </w:lvl>
  </w:abstractNum>
  <w:abstractNum w:abstractNumId="103">
    <w:nsid w:val="97E1B4E"/>
    <w:multiLevelType w:val="hybridMultilevel"/>
    <w:lvl w:ilvl="0">
      <w:lvlJc w:val="left"/>
      <w:lvlText w:val="%1."/>
      <w:numFmt w:val="decimal"/>
      <w:start w:val="13"/>
    </w:lvl>
  </w:abstractNum>
  <w:abstractNum w:abstractNumId="104">
    <w:nsid w:val="51088277"/>
    <w:multiLevelType w:val="hybridMultilevel"/>
    <w:lvl w:ilvl="0">
      <w:lvlJc w:val="left"/>
      <w:lvlText w:val="%1."/>
      <w:numFmt w:val="decimal"/>
      <w:start w:val="14"/>
    </w:lvl>
  </w:abstractNum>
  <w:abstractNum w:abstractNumId="105">
    <w:nsid w:val="1CA0C5FA"/>
    <w:multiLevelType w:val="hybridMultilevel"/>
    <w:lvl w:ilvl="0">
      <w:lvlJc w:val="left"/>
      <w:lvlText w:val="%1."/>
      <w:numFmt w:val="decimal"/>
      <w:start w:val="16"/>
    </w:lvl>
  </w:abstractNum>
  <w:abstractNum w:abstractNumId="106">
    <w:nsid w:val="53584BCB"/>
    <w:multiLevelType w:val="hybridMultilevel"/>
    <w:lvl w:ilvl="0">
      <w:lvlJc w:val="left"/>
      <w:lvlText w:val="%1."/>
      <w:numFmt w:val="decimal"/>
      <w:start w:val="17"/>
    </w:lvl>
  </w:abstractNum>
  <w:abstractNum w:abstractNumId="107">
    <w:nsid w:val="415E286C"/>
    <w:multiLevelType w:val="hybridMultilevel"/>
    <w:lvl w:ilvl="0">
      <w:lvlJc w:val="left"/>
      <w:lvlText w:val="%1."/>
      <w:numFmt w:val="decimal"/>
      <w:start w:val="1"/>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3"/>
    </w:lvl>
  </w:abstractNum>
  <w:abstractNum w:abstractNumId="110">
    <w:nsid w:val="45E6D486"/>
    <w:multiLevelType w:val="hybridMultilevel"/>
    <w:lvl w:ilvl="0">
      <w:lvlJc w:val="left"/>
      <w:lvlText w:val="%1."/>
      <w:numFmt w:val="decimal"/>
      <w:start w:val="1"/>
    </w:lvl>
    <w:lvl w:ilvl="1">
      <w:lvlJc w:val="left"/>
      <w:lvlText w:val="(%2)"/>
      <w:numFmt w:val="lowerLetter"/>
      <w:start w:val="1"/>
    </w:lvl>
  </w:abstractNum>
  <w:abstractNum w:abstractNumId="111">
    <w:nsid w:val="5C10FE21"/>
    <w:multiLevelType w:val="hybridMultilevel"/>
    <w:lvl w:ilvl="0">
      <w:lvlJc w:val="left"/>
      <w:lvlText w:val="(%1)"/>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8"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8"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png"/><Relationship Id="rId333" Type="http://schemas.openxmlformats.org/officeDocument/2006/relationships/image" Target="media/image279.pn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png"/><Relationship Id="rId337" Type="http://schemas.openxmlformats.org/officeDocument/2006/relationships/image" Target="media/image283.pn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343" Type="http://schemas.openxmlformats.org/officeDocument/2006/relationships/image" Target="media/image289.png"/><Relationship Id="rId344" Type="http://schemas.openxmlformats.org/officeDocument/2006/relationships/image" Target="media/image290.png"/><Relationship Id="rId345" Type="http://schemas.openxmlformats.org/officeDocument/2006/relationships/image" Target="media/image291.png"/><Relationship Id="rId346" Type="http://schemas.openxmlformats.org/officeDocument/2006/relationships/image" Target="media/image292.png"/><Relationship Id="rId347" Type="http://schemas.openxmlformats.org/officeDocument/2006/relationships/image" Target="media/image293.png"/><Relationship Id="rId348" Type="http://schemas.openxmlformats.org/officeDocument/2006/relationships/image" Target="media/image294.png"/><Relationship Id="rId349" Type="http://schemas.openxmlformats.org/officeDocument/2006/relationships/image" Target="media/image295.png"/><Relationship Id="rId350" Type="http://schemas.openxmlformats.org/officeDocument/2006/relationships/image" Target="media/image296.png"/><Relationship Id="rId351" Type="http://schemas.openxmlformats.org/officeDocument/2006/relationships/image" Target="media/image297.png"/><Relationship Id="rId352" Type="http://schemas.openxmlformats.org/officeDocument/2006/relationships/image" Target="media/image298.png"/><Relationship Id="rId353" Type="http://schemas.openxmlformats.org/officeDocument/2006/relationships/image" Target="media/image299.png"/><Relationship Id="rId354" Type="http://schemas.openxmlformats.org/officeDocument/2006/relationships/image" Target="media/image300.png"/><Relationship Id="rId355" Type="http://schemas.openxmlformats.org/officeDocument/2006/relationships/image" Target="media/image301.png"/><Relationship Id="rId356" Type="http://schemas.openxmlformats.org/officeDocument/2006/relationships/image" Target="media/image302.png"/><Relationship Id="rId357" Type="http://schemas.openxmlformats.org/officeDocument/2006/relationships/image" Target="media/image303.png"/><Relationship Id="rId358" Type="http://schemas.openxmlformats.org/officeDocument/2006/relationships/image" Target="media/image304.png"/><Relationship Id="rId359" Type="http://schemas.openxmlformats.org/officeDocument/2006/relationships/image" Target="media/image305.png"/><Relationship Id="rId360" Type="http://schemas.openxmlformats.org/officeDocument/2006/relationships/image" Target="media/image306.png"/><Relationship Id="rId361" Type="http://schemas.openxmlformats.org/officeDocument/2006/relationships/image" Target="media/image307.png"/><Relationship Id="rId362" Type="http://schemas.openxmlformats.org/officeDocument/2006/relationships/image" Target="media/image308.png"/><Relationship Id="rId363" Type="http://schemas.openxmlformats.org/officeDocument/2006/relationships/image" Target="media/image309.png"/><Relationship Id="rId364" Type="http://schemas.openxmlformats.org/officeDocument/2006/relationships/image" Target="media/image310.png"/><Relationship Id="rId365" Type="http://schemas.openxmlformats.org/officeDocument/2006/relationships/image" Target="media/image311.png"/><Relationship Id="rId366" Type="http://schemas.openxmlformats.org/officeDocument/2006/relationships/image" Target="media/image312.png"/><Relationship Id="rId367" Type="http://schemas.openxmlformats.org/officeDocument/2006/relationships/image" Target="media/image313.png"/><Relationship Id="rId368" Type="http://schemas.openxmlformats.org/officeDocument/2006/relationships/image" Target="media/image314.png"/><Relationship Id="rId369" Type="http://schemas.openxmlformats.org/officeDocument/2006/relationships/image" Target="media/image315.png"/><Relationship Id="rId370" Type="http://schemas.openxmlformats.org/officeDocument/2006/relationships/image" Target="media/image316.png"/><Relationship Id="rId371" Type="http://schemas.openxmlformats.org/officeDocument/2006/relationships/image" Target="media/image317.png"/><Relationship Id="rId372" Type="http://schemas.openxmlformats.org/officeDocument/2006/relationships/image" Target="media/image318.png"/><Relationship Id="rId373" Type="http://schemas.openxmlformats.org/officeDocument/2006/relationships/image" Target="media/image319.png"/><Relationship Id="rId374" Type="http://schemas.openxmlformats.org/officeDocument/2006/relationships/image" Target="media/image320.png"/><Relationship Id="rId375" Type="http://schemas.openxmlformats.org/officeDocument/2006/relationships/image" Target="media/image321.png"/><Relationship Id="rId376" Type="http://schemas.openxmlformats.org/officeDocument/2006/relationships/image" Target="media/image322.png"/><Relationship Id="rId377" Type="http://schemas.openxmlformats.org/officeDocument/2006/relationships/image" Target="media/image323.png"/><Relationship Id="rId378" Type="http://schemas.openxmlformats.org/officeDocument/2006/relationships/image" Target="media/image324.png"/><Relationship Id="rId379" Type="http://schemas.openxmlformats.org/officeDocument/2006/relationships/image" Target="media/image325.png"/><Relationship Id="rId380" Type="http://schemas.openxmlformats.org/officeDocument/2006/relationships/image" Target="media/image326.png"/><Relationship Id="rId381" Type="http://schemas.openxmlformats.org/officeDocument/2006/relationships/image" Target="media/image327.png"/><Relationship Id="rId382" Type="http://schemas.openxmlformats.org/officeDocument/2006/relationships/image" Target="media/image328.png"/><Relationship Id="rId383" Type="http://schemas.openxmlformats.org/officeDocument/2006/relationships/image" Target="media/image329.png"/><Relationship Id="rId384" Type="http://schemas.openxmlformats.org/officeDocument/2006/relationships/image" Target="media/image330.png"/><Relationship Id="rId385" Type="http://schemas.openxmlformats.org/officeDocument/2006/relationships/image" Target="media/image331.png"/><Relationship Id="rId386" Type="http://schemas.openxmlformats.org/officeDocument/2006/relationships/image" Target="media/image332.png"/><Relationship Id="rId387" Type="http://schemas.openxmlformats.org/officeDocument/2006/relationships/image" Target="media/image333.png"/><Relationship Id="rId388" Type="http://schemas.openxmlformats.org/officeDocument/2006/relationships/image" Target="media/image334.png"/><Relationship Id="rId389" Type="http://schemas.openxmlformats.org/officeDocument/2006/relationships/image" Target="media/image335.png"/><Relationship Id="rId390" Type="http://schemas.openxmlformats.org/officeDocument/2006/relationships/image" Target="media/image336.png"/><Relationship Id="rId391" Type="http://schemas.openxmlformats.org/officeDocument/2006/relationships/image" Target="media/image337.png"/><Relationship Id="rId392" Type="http://schemas.openxmlformats.org/officeDocument/2006/relationships/image" Target="media/image338.png"/><Relationship Id="rId393" Type="http://schemas.openxmlformats.org/officeDocument/2006/relationships/image" Target="media/image339.png"/><Relationship Id="rId394" Type="http://schemas.openxmlformats.org/officeDocument/2006/relationships/image" Target="media/image340.png"/><Relationship Id="rId395" Type="http://schemas.openxmlformats.org/officeDocument/2006/relationships/image" Target="media/image341.png"/><Relationship Id="rId396" Type="http://schemas.openxmlformats.org/officeDocument/2006/relationships/image" Target="media/image342.png"/><Relationship Id="rId397" Type="http://schemas.openxmlformats.org/officeDocument/2006/relationships/image" Target="media/image343.png"/><Relationship Id="rId398" Type="http://schemas.openxmlformats.org/officeDocument/2006/relationships/image" Target="media/image344.png"/><Relationship Id="rId399" Type="http://schemas.openxmlformats.org/officeDocument/2006/relationships/image" Target="media/image345.png"/><Relationship Id="rId400" Type="http://schemas.openxmlformats.org/officeDocument/2006/relationships/image" Target="media/image346.png"/><Relationship Id="rId401" Type="http://schemas.openxmlformats.org/officeDocument/2006/relationships/image" Target="media/image347.png"/><Relationship Id="rId402" Type="http://schemas.openxmlformats.org/officeDocument/2006/relationships/image" Target="media/image348.png"/><Relationship Id="rId403" Type="http://schemas.openxmlformats.org/officeDocument/2006/relationships/image" Target="media/image349.png"/><Relationship Id="rId404" Type="http://schemas.openxmlformats.org/officeDocument/2006/relationships/image" Target="media/image350.png"/><Relationship Id="rId405" Type="http://schemas.openxmlformats.org/officeDocument/2006/relationships/image" Target="media/image351.png"/><Relationship Id="rId406" Type="http://schemas.openxmlformats.org/officeDocument/2006/relationships/image" Target="media/image352.png"/><Relationship Id="rId407" Type="http://schemas.openxmlformats.org/officeDocument/2006/relationships/image" Target="media/image353.png"/><Relationship Id="rId408" Type="http://schemas.openxmlformats.org/officeDocument/2006/relationships/image" Target="media/image354.png"/><Relationship Id="rId409" Type="http://schemas.openxmlformats.org/officeDocument/2006/relationships/image" Target="media/image355.png"/><Relationship Id="rId410" Type="http://schemas.openxmlformats.org/officeDocument/2006/relationships/image" Target="media/image356.png"/><Relationship Id="rId411" Type="http://schemas.openxmlformats.org/officeDocument/2006/relationships/image" Target="media/image357.png"/><Relationship Id="rId412" Type="http://schemas.openxmlformats.org/officeDocument/2006/relationships/image" Target="media/image358.png"/><Relationship Id="rId413" Type="http://schemas.openxmlformats.org/officeDocument/2006/relationships/image" Target="media/image359.png"/><Relationship Id="rId414" Type="http://schemas.openxmlformats.org/officeDocument/2006/relationships/image" Target="media/image360.png"/><Relationship Id="rId415" Type="http://schemas.openxmlformats.org/officeDocument/2006/relationships/image" Target="media/image361.png"/><Relationship Id="rId416" Type="http://schemas.openxmlformats.org/officeDocument/2006/relationships/image" Target="media/image362.png"/><Relationship Id="rId417" Type="http://schemas.openxmlformats.org/officeDocument/2006/relationships/image" Target="media/image363.png"/><Relationship Id="rId418" Type="http://schemas.openxmlformats.org/officeDocument/2006/relationships/image" Target="media/image364.png"/><Relationship Id="rId419" Type="http://schemas.openxmlformats.org/officeDocument/2006/relationships/image" Target="media/image365.png"/><Relationship Id="rId420" Type="http://schemas.openxmlformats.org/officeDocument/2006/relationships/image" Target="media/image366.png"/><Relationship Id="rId421" Type="http://schemas.openxmlformats.org/officeDocument/2006/relationships/image" Target="media/image367.png"/><Relationship Id="rId422" Type="http://schemas.openxmlformats.org/officeDocument/2006/relationships/image" Target="media/image368.png"/><Relationship Id="rId423" Type="http://schemas.openxmlformats.org/officeDocument/2006/relationships/image" Target="media/image369.png"/><Relationship Id="rId424" Type="http://schemas.openxmlformats.org/officeDocument/2006/relationships/image" Target="media/image370.png"/><Relationship Id="rId425" Type="http://schemas.openxmlformats.org/officeDocument/2006/relationships/image" Target="media/image371.png"/><Relationship Id="rId426" Type="http://schemas.openxmlformats.org/officeDocument/2006/relationships/image" Target="media/image372.png"/><Relationship Id="rId427" Type="http://schemas.openxmlformats.org/officeDocument/2006/relationships/image" Target="media/image373.png"/><Relationship Id="rId428" Type="http://schemas.openxmlformats.org/officeDocument/2006/relationships/image" Target="media/image374.png"/><Relationship Id="rId429" Type="http://schemas.openxmlformats.org/officeDocument/2006/relationships/image" Target="media/image375.png"/><Relationship Id="rId430" Type="http://schemas.openxmlformats.org/officeDocument/2006/relationships/image" Target="media/image376.png"/><Relationship Id="rId431" Type="http://schemas.openxmlformats.org/officeDocument/2006/relationships/image" Target="media/image377.png"/><Relationship Id="rId432" Type="http://schemas.openxmlformats.org/officeDocument/2006/relationships/image" Target="media/image378.png"/><Relationship Id="rId433" Type="http://schemas.openxmlformats.org/officeDocument/2006/relationships/image" Target="media/image379.png"/><Relationship Id="rId434" Type="http://schemas.openxmlformats.org/officeDocument/2006/relationships/image" Target="media/image380.png"/><Relationship Id="rId435" Type="http://schemas.openxmlformats.org/officeDocument/2006/relationships/image" Target="media/image381.png"/><Relationship Id="rId436" Type="http://schemas.openxmlformats.org/officeDocument/2006/relationships/image" Target="media/image382.png"/><Relationship Id="rId437" Type="http://schemas.openxmlformats.org/officeDocument/2006/relationships/image" Target="media/image383.png"/><Relationship Id="rId438" Type="http://schemas.openxmlformats.org/officeDocument/2006/relationships/image" Target="media/image384.png"/><Relationship Id="rId439" Type="http://schemas.openxmlformats.org/officeDocument/2006/relationships/image" Target="media/image385.png"/><Relationship Id="rId440" Type="http://schemas.openxmlformats.org/officeDocument/2006/relationships/image" Target="media/image386.png"/><Relationship Id="rId441" Type="http://schemas.openxmlformats.org/officeDocument/2006/relationships/image" Target="media/image387.png"/><Relationship Id="rId442" Type="http://schemas.openxmlformats.org/officeDocument/2006/relationships/image" Target="media/image388.png"/><Relationship Id="rId443" Type="http://schemas.openxmlformats.org/officeDocument/2006/relationships/image" Target="media/image389.png"/><Relationship Id="rId444" Type="http://schemas.openxmlformats.org/officeDocument/2006/relationships/image" Target="media/image390.png"/><Relationship Id="rId445" Type="http://schemas.openxmlformats.org/officeDocument/2006/relationships/image" Target="media/image391.png"/><Relationship Id="rId446" Type="http://schemas.openxmlformats.org/officeDocument/2006/relationships/image" Target="media/image392.png"/><Relationship Id="rId447" Type="http://schemas.openxmlformats.org/officeDocument/2006/relationships/image" Target="media/image393.png"/><Relationship Id="rId448" Type="http://schemas.openxmlformats.org/officeDocument/2006/relationships/image" Target="media/image394.png"/><Relationship Id="rId449" Type="http://schemas.openxmlformats.org/officeDocument/2006/relationships/image" Target="media/image395.png"/><Relationship Id="rId450" Type="http://schemas.openxmlformats.org/officeDocument/2006/relationships/image" Target="media/image396.png"/><Relationship Id="rId451" Type="http://schemas.openxmlformats.org/officeDocument/2006/relationships/image" Target="media/image397.png"/><Relationship Id="rId452" Type="http://schemas.openxmlformats.org/officeDocument/2006/relationships/image" Target="media/image398.png"/><Relationship Id="rId453" Type="http://schemas.openxmlformats.org/officeDocument/2006/relationships/image" Target="media/image399.png"/><Relationship Id="rId454" Type="http://schemas.openxmlformats.org/officeDocument/2006/relationships/image" Target="media/image400.png"/><Relationship Id="rId455" Type="http://schemas.openxmlformats.org/officeDocument/2006/relationships/image" Target="media/image401.png"/><Relationship Id="rId456" Type="http://schemas.openxmlformats.org/officeDocument/2006/relationships/image" Target="media/image402.png"/><Relationship Id="rId457" Type="http://schemas.openxmlformats.org/officeDocument/2006/relationships/image" Target="media/image403.png"/><Relationship Id="rId458" Type="http://schemas.openxmlformats.org/officeDocument/2006/relationships/image" Target="media/image404.png"/><Relationship Id="rId459" Type="http://schemas.openxmlformats.org/officeDocument/2006/relationships/image" Target="media/image405.png"/><Relationship Id="rId460" Type="http://schemas.openxmlformats.org/officeDocument/2006/relationships/image" Target="media/image406.png"/><Relationship Id="rId461" Type="http://schemas.openxmlformats.org/officeDocument/2006/relationships/image" Target="media/image407.png"/><Relationship Id="rId462" Type="http://schemas.openxmlformats.org/officeDocument/2006/relationships/image" Target="media/image408.png"/><Relationship Id="rId463" Type="http://schemas.openxmlformats.org/officeDocument/2006/relationships/image" Target="media/image409.png"/><Relationship Id="rId464" Type="http://schemas.openxmlformats.org/officeDocument/2006/relationships/image" Target="media/image410.png"/><Relationship Id="rId465" Type="http://schemas.openxmlformats.org/officeDocument/2006/relationships/image" Target="media/image411.png"/><Relationship Id="rId466" Type="http://schemas.openxmlformats.org/officeDocument/2006/relationships/image" Target="media/image412.png"/><Relationship Id="rId467" Type="http://schemas.openxmlformats.org/officeDocument/2006/relationships/image" Target="media/image413.png"/><Relationship Id="rId468" Type="http://schemas.openxmlformats.org/officeDocument/2006/relationships/image" Target="media/image414.png"/><Relationship Id="rId469" Type="http://schemas.openxmlformats.org/officeDocument/2006/relationships/image" Target="media/image415.png"/><Relationship Id="rId470" Type="http://schemas.openxmlformats.org/officeDocument/2006/relationships/image" Target="media/image416.png"/><Relationship Id="rId471" Type="http://schemas.openxmlformats.org/officeDocument/2006/relationships/image" Target="media/image417.png"/><Relationship Id="rId472" Type="http://schemas.openxmlformats.org/officeDocument/2006/relationships/image" Target="media/image418.png"/><Relationship Id="rId473" Type="http://schemas.openxmlformats.org/officeDocument/2006/relationships/image" Target="media/image419.png"/><Relationship Id="rId474" Type="http://schemas.openxmlformats.org/officeDocument/2006/relationships/image" Target="media/image420.png"/><Relationship Id="rId475" Type="http://schemas.openxmlformats.org/officeDocument/2006/relationships/image" Target="media/image421.png"/><Relationship Id="rId476" Type="http://schemas.openxmlformats.org/officeDocument/2006/relationships/image" Target="media/image422.png"/><Relationship Id="rId477" Type="http://schemas.openxmlformats.org/officeDocument/2006/relationships/image" Target="media/image423.png"/><Relationship Id="rId478" Type="http://schemas.openxmlformats.org/officeDocument/2006/relationships/image" Target="media/image424.png"/><Relationship Id="rId479" Type="http://schemas.openxmlformats.org/officeDocument/2006/relationships/image" Target="media/image425.png"/><Relationship Id="rId480" Type="http://schemas.openxmlformats.org/officeDocument/2006/relationships/image" Target="media/image426.jpeg"/><Relationship Id="rId481" Type="http://schemas.openxmlformats.org/officeDocument/2006/relationships/image" Target="media/image427.png"/><Relationship Id="rId482" Type="http://schemas.openxmlformats.org/officeDocument/2006/relationships/image" Target="media/image428.png"/><Relationship Id="rId483" Type="http://schemas.openxmlformats.org/officeDocument/2006/relationships/image" Target="media/image429.png"/><Relationship Id="rId484" Type="http://schemas.openxmlformats.org/officeDocument/2006/relationships/image" Target="media/image430.png"/><Relationship Id="rId485" Type="http://schemas.openxmlformats.org/officeDocument/2006/relationships/image" Target="media/image431.png"/><Relationship Id="rId486" Type="http://schemas.openxmlformats.org/officeDocument/2006/relationships/image" Target="media/image432.png"/><Relationship Id="rId487" Type="http://schemas.openxmlformats.org/officeDocument/2006/relationships/image" Target="media/image433.png"/><Relationship Id="rId488" Type="http://schemas.openxmlformats.org/officeDocument/2006/relationships/image" Target="media/image434.png"/><Relationship Id="rId489" Type="http://schemas.openxmlformats.org/officeDocument/2006/relationships/image" Target="media/image435.png"/><Relationship Id="rId490" Type="http://schemas.openxmlformats.org/officeDocument/2006/relationships/image" Target="media/image436.png"/><Relationship Id="rId491" Type="http://schemas.openxmlformats.org/officeDocument/2006/relationships/image" Target="media/image437.png"/><Relationship Id="rId492" Type="http://schemas.openxmlformats.org/officeDocument/2006/relationships/image" Target="media/image438.png"/><Relationship Id="rId493" Type="http://schemas.openxmlformats.org/officeDocument/2006/relationships/image" Target="media/image439.png"/><Relationship Id="rId494" Type="http://schemas.openxmlformats.org/officeDocument/2006/relationships/image" Target="media/image440.png"/><Relationship Id="rId495" Type="http://schemas.openxmlformats.org/officeDocument/2006/relationships/image" Target="media/image441.png"/><Relationship Id="rId496" Type="http://schemas.openxmlformats.org/officeDocument/2006/relationships/image" Target="media/image442.png"/><Relationship Id="rId497" Type="http://schemas.openxmlformats.org/officeDocument/2006/relationships/image" Target="media/image443.png"/><Relationship Id="rId498" Type="http://schemas.openxmlformats.org/officeDocument/2006/relationships/image" Target="media/image444.png"/><Relationship Id="rId499" Type="http://schemas.openxmlformats.org/officeDocument/2006/relationships/image" Target="media/image445.png"/><Relationship Id="rId500" Type="http://schemas.openxmlformats.org/officeDocument/2006/relationships/image" Target="media/image446.png"/><Relationship Id="rId501" Type="http://schemas.openxmlformats.org/officeDocument/2006/relationships/image" Target="media/image447.png"/><Relationship Id="rId502" Type="http://schemas.openxmlformats.org/officeDocument/2006/relationships/image" Target="media/image448.png"/><Relationship Id="rId503" Type="http://schemas.openxmlformats.org/officeDocument/2006/relationships/image" Target="media/image449.png"/><Relationship Id="rId504" Type="http://schemas.openxmlformats.org/officeDocument/2006/relationships/image" Target="media/image450.png"/><Relationship Id="rId505" Type="http://schemas.openxmlformats.org/officeDocument/2006/relationships/image" Target="media/image451.png"/><Relationship Id="rId506" Type="http://schemas.openxmlformats.org/officeDocument/2006/relationships/image" Target="media/image452.png"/><Relationship Id="rId507" Type="http://schemas.openxmlformats.org/officeDocument/2006/relationships/image" Target="media/image453.png"/><Relationship Id="rId508" Type="http://schemas.openxmlformats.org/officeDocument/2006/relationships/image" Target="media/image454.png"/><Relationship Id="rId509" Type="http://schemas.openxmlformats.org/officeDocument/2006/relationships/image" Target="media/image455.png"/><Relationship Id="rId510" Type="http://schemas.openxmlformats.org/officeDocument/2006/relationships/image" Target="media/image456.png"/><Relationship Id="rId511" Type="http://schemas.openxmlformats.org/officeDocument/2006/relationships/image" Target="media/image457.png"/><Relationship Id="rId512" Type="http://schemas.openxmlformats.org/officeDocument/2006/relationships/image" Target="media/image458.png"/><Relationship Id="rId513" Type="http://schemas.openxmlformats.org/officeDocument/2006/relationships/image" Target="media/image459.png"/><Relationship Id="rId514" Type="http://schemas.openxmlformats.org/officeDocument/2006/relationships/image" Target="media/image460.png"/><Relationship Id="rId515" Type="http://schemas.openxmlformats.org/officeDocument/2006/relationships/image" Target="media/image461.png"/><Relationship Id="rId516" Type="http://schemas.openxmlformats.org/officeDocument/2006/relationships/image" Target="media/image462.png"/><Relationship Id="rId517" Type="http://schemas.openxmlformats.org/officeDocument/2006/relationships/image" Target="media/image463.png"/><Relationship Id="rId518" Type="http://schemas.openxmlformats.org/officeDocument/2006/relationships/image" Target="media/image464.png"/><Relationship Id="rId519" Type="http://schemas.openxmlformats.org/officeDocument/2006/relationships/image" Target="media/image465.png"/><Relationship Id="rId520" Type="http://schemas.openxmlformats.org/officeDocument/2006/relationships/image" Target="media/image466.png"/><Relationship Id="rId521" Type="http://schemas.openxmlformats.org/officeDocument/2006/relationships/image" Target="media/image467.png"/><Relationship Id="rId522" Type="http://schemas.openxmlformats.org/officeDocument/2006/relationships/image" Target="media/image468.png"/><Relationship Id="rId162" Type="http://schemas.openxmlformats.org/officeDocument/2006/relationships/hyperlink" Target="https://www.sec.gov/Archives/edgar/data/1745999/000119312520031290/d842502dex31.htm" TargetMode="External"/><Relationship Id="rId163" Type="http://schemas.openxmlformats.org/officeDocument/2006/relationships/hyperlink" Target="https://www.sec.gov/Archives/edgar/data/1745999/000095017023004866/beam-ex3_2.htm" TargetMode="External"/><Relationship Id="rId164" Type="http://schemas.openxmlformats.org/officeDocument/2006/relationships/hyperlink" Target="https://www.sec.gov/Archives/edgar/data/1745999/000119312519257401/d734398dex41.htm" TargetMode="External"/><Relationship Id="rId165" Type="http://schemas.openxmlformats.org/officeDocument/2006/relationships/hyperlink" Target="https://www.sec.gov/Archives/edgar/data/0001745999/000119312521103074/d160079dex411.htm" TargetMode="External"/><Relationship Id="rId166" Type="http://schemas.openxmlformats.org/officeDocument/2006/relationships/hyperlink" Target="https://www.sec.gov/Archives/edgar/data/1745999/000119312519257401/d734398dex102.htm" TargetMode="External"/><Relationship Id="rId167" Type="http://schemas.openxmlformats.org/officeDocument/2006/relationships/hyperlink" Target="https://www.sec.gov/Archives/edgar/data/0001745999/000119312521103255/d161815dex11.htm" TargetMode="External"/><Relationship Id="rId168" Type="http://schemas.openxmlformats.org/officeDocument/2006/relationships/hyperlink" Target="https://www.sec.gov/Archives/edgar/data/1745999/000119312519257401/d734398dex104.htm" TargetMode="External"/><Relationship Id="rId169" Type="http://schemas.openxmlformats.org/officeDocument/2006/relationships/hyperlink" Target="https://www.sec.gov/Archives/edgar/data/0001745999/000156459021013190/beam-ex105_865.htm" TargetMode="External"/><Relationship Id="rId170" Type="http://schemas.openxmlformats.org/officeDocument/2006/relationships/hyperlink" Target="https://www.sec.gov/Archives/edgar/data/0001745999/000156459021013190/beam-ex106_866.htm" TargetMode="External"/><Relationship Id="rId171" Type="http://schemas.openxmlformats.org/officeDocument/2006/relationships/hyperlink" Target="https://www.sec.gov/Archives/edgar/data/1745999/000119312519257401/d734398dex105.htm" TargetMode="External"/><Relationship Id="rId172" Type="http://schemas.openxmlformats.org/officeDocument/2006/relationships/hyperlink" Target="https://www.sec.gov/Archives/edgar/data/0001745999/000156459021013190/beam-ex108_867.htm" TargetMode="External"/><Relationship Id="rId173" Type="http://schemas.openxmlformats.org/officeDocument/2006/relationships/hyperlink" Target="https://www.sec.gov/Archives/edgar/data/1745999/000119312519257401/d734398dex106.htm" TargetMode="External"/><Relationship Id="rId174" Type="http://schemas.openxmlformats.org/officeDocument/2006/relationships/hyperlink" Target="https://www.sec.gov/Archives/edgar/data/0001745999/000156459021013190/beam-ex1010_868.htm" TargetMode="External"/><Relationship Id="rId175" Type="http://schemas.openxmlformats.org/officeDocument/2006/relationships/hyperlink" Target="https://www.sec.gov/Archives/edgar/data/0001745999/000156459021013190/beam-ex1011_159.htm" TargetMode="External"/><Relationship Id="rId176" Type="http://schemas.openxmlformats.org/officeDocument/2006/relationships/hyperlink" Target="https://www.sec.gov/Archives/edgar/data/1745999/000119312519257401/d734398dex107.htm" TargetMode="External"/><Relationship Id="rId177" Type="http://schemas.openxmlformats.org/officeDocument/2006/relationships/hyperlink" Target="https://www.sec.gov/Archives/edgar/data/1745999/000119312520014727/d221975dex108.htm" TargetMode="External"/><Relationship Id="rId180" Type="http://schemas.openxmlformats.org/officeDocument/2006/relationships/hyperlink" Target="https://www.sec.gov/Archives/edgar/data/1745999/000119312519257401/d734398dex1010.htm" TargetMode="External"/><Relationship Id="rId183" Type="http://schemas.openxmlformats.org/officeDocument/2006/relationships/hyperlink" Target="https://www.sec.gov/Archives/edgar/data/1745999/000119312519257401/d734398dex1011.htm" TargetMode="External"/><Relationship Id="rId186" Type="http://schemas.openxmlformats.org/officeDocument/2006/relationships/hyperlink" Target="https://www.sec.gov/Archives/edgar/data/1745999/000119312519257401/d734398dex1012.htm" TargetMode="External"/><Relationship Id="rId189" Type="http://schemas.openxmlformats.org/officeDocument/2006/relationships/hyperlink" Target="https://www.sec.gov/Archives/edgar/data/0001745999/000095017021001110/beam-20210630ex10_1.htm" TargetMode="External"/><Relationship Id="rId192" Type="http://schemas.openxmlformats.org/officeDocument/2006/relationships/hyperlink" Target="https://www.sec.gov/Archives/edgar/data/1745999/000119312520014727/d221975dex1014.htm" TargetMode="External"/><Relationship Id="rId197" Type="http://schemas.openxmlformats.org/officeDocument/2006/relationships/hyperlink" Target="https://www.sec.gov/Archives/edgar/data/1745999/000119312520014727/d221975dex1016.htm" TargetMode="External"/><Relationship Id="rId199" Type="http://schemas.openxmlformats.org/officeDocument/2006/relationships/hyperlink" Target="https://www.sec.gov/Archives/edgar/data/1745999/000119312520014727/d221975dex1017.htm" TargetMode="External"/><Relationship Id="rId202" Type="http://schemas.openxmlformats.org/officeDocument/2006/relationships/hyperlink" Target="https://www.sec.gov/Archives/edgar/data/1745999/000119312520014727/d221975dex1018.htm" TargetMode="External"/><Relationship Id="rId205" Type="http://schemas.openxmlformats.org/officeDocument/2006/relationships/hyperlink" Target="https://www.sec.gov/Archives/edgar/data/1745999/000119312520014727/d221975dex1019.htm" TargetMode="External"/><Relationship Id="rId208" Type="http://schemas.openxmlformats.org/officeDocument/2006/relationships/hyperlink" Target="https://www.sec.gov/Archives/edgar/data/0001745999/000156459021013190/beam-ex1025_407.htm" TargetMode="External"/><Relationship Id="rId211" Type="http://schemas.openxmlformats.org/officeDocument/2006/relationships/hyperlink" Target="https://www.sec.gov/Archives/edgar/data/0001745999/000156459021013190/beam-ex1026_406.htm" TargetMode="External"/><Relationship Id="rId214" Type="http://schemas.openxmlformats.org/officeDocument/2006/relationships/hyperlink" Target="https://www.sec.gov/Archives/edgar/data/1745999/000095017022002166/beam-ex10_27.htm" TargetMode="External"/><Relationship Id="rId217" Type="http://schemas.openxmlformats.org/officeDocument/2006/relationships/hyperlink" Target="https://www.sec.gov/Archives/edgar/data/1745999/000119312520014727/d221975dex1021.htm" TargetMode="External"/><Relationship Id="rId219" Type="http://schemas.openxmlformats.org/officeDocument/2006/relationships/hyperlink" Target="https://www.sec.gov/Archives/edgar/data/1745999/000095017024053939/beam-ex10_1.htm" TargetMode="External"/><Relationship Id="rId222" Type="http://schemas.openxmlformats.org/officeDocument/2006/relationships/hyperlink" Target="https://www.sec.gov/Archives/edgar/data/1745999/000156459020039490/beam-ex101_197.htm" TargetMode="External"/><Relationship Id="rId225" Type="http://schemas.openxmlformats.org/officeDocument/2006/relationships/hyperlink" Target="https://www.sec.gov/Archives/edgar/data/1745999/000095017022002166/beam-ex10_31.htm" TargetMode="External"/><Relationship Id="rId228" Type="http://schemas.openxmlformats.org/officeDocument/2006/relationships/hyperlink" Target="https://www.sec.gov/Archives/edgar/data/1745999/000095017022002166/beam-ex10_32.htm" TargetMode="External"/><Relationship Id="rId231" Type="http://schemas.openxmlformats.org/officeDocument/2006/relationships/hyperlink" Target="https://www.sec.gov/Archives/edgar/data/1745999/000095017022002166/beam-ex10_33.htm" TargetMode="External"/><Relationship Id="rId234" Type="http://schemas.openxmlformats.org/officeDocument/2006/relationships/hyperlink" Target="https://www.sec.gov/Archives/edgar/data/1745999/000119312521209865/d187752dex11.htm" TargetMode="External"/><Relationship Id="rId237" Type="http://schemas.openxmlformats.org/officeDocument/2006/relationships/hyperlink" Target="https://www.sec.gov/Archives/edgar/data/1745999/000095017023004866/beam-ex10_35.htm" TargetMode="External"/><Relationship Id="rId241" Type="http://schemas.openxmlformats.org/officeDocument/2006/relationships/hyperlink" Target="https://www.sec.gov/Archives/edgar/data/1745999/000095017023020090/beam-ex10_1.htm" TargetMode="External"/><Relationship Id="rId242" Type="http://schemas.openxmlformats.org/officeDocument/2006/relationships/hyperlink" Target="https://www.sec.gov/Archives/edgar/data/1745999/000095017023020090/beam-ex10_2.htm" TargetMode="External"/><Relationship Id="rId243" Type="http://schemas.openxmlformats.org/officeDocument/2006/relationships/hyperlink" Target="https://www.sec.gov/Archives/edgar/data/1745999/000119312523140832/d481853dex11.htm" TargetMode="External"/><Relationship Id="rId244" Type="http://schemas.openxmlformats.org/officeDocument/2006/relationships/hyperlink" Target="https://www.sec.gov/Archives/edgar/data/1745999/000095017024020622/beam-ex10_39.htm" TargetMode="External"/><Relationship Id="rId245" Type="http://schemas.openxmlformats.org/officeDocument/2006/relationships/hyperlink" Target="https://www.sec.gov/Archives/edgar/data/1745999/000095017024020622/beam-ex10_40.htm" TargetMode="External"/><Relationship Id="rId246" Type="http://schemas.openxmlformats.org/officeDocument/2006/relationships/hyperlink" Target="https://www.sec.gov/Archives/edgar/data/1745999/000095017024020622/beam-ex10_41.htm" TargetMode="External"/><Relationship Id="rId247" Type="http://schemas.openxmlformats.org/officeDocument/2006/relationships/hyperlink" Target="https://www.sec.gov/Archives/edgar/data/1745999/000095017024053939/beam-ex10_2.htm" TargetMode="External"/><Relationship Id="rId248" Type="http://schemas.openxmlformats.org/officeDocument/2006/relationships/hyperlink" Target="https://www.sec.gov/Archives/edgar/data/1745999/000095017024091242/beam-ex10_3.htm" TargetMode="External"/><Relationship Id="rId249" Type="http://schemas.openxmlformats.org/officeDocument/2006/relationships/hyperlink" Target="https://www.sec.gov/Archives/edgar/data/1745999/000119312520014727/d221975dex1015.htm" TargetMode="External"/><Relationship Id="rId250" Type="http://schemas.openxmlformats.org/officeDocument/2006/relationships/hyperlink" Target="https://www.sec.gov/Archives/edgar/data/1745999/000095017022002166/beam-ex21_1.htm" TargetMode="External"/><Relationship Id="rId251" Type="http://schemas.openxmlformats.org/officeDocument/2006/relationships/hyperlink" Target="https://www.sec.gov/Archives/edgar/data/1745999/000095017024020622/bea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2025-02-25T06:38:26Z</dcterms:created>
  <dcterms:modified xsi:type="dcterms:W3CDTF">2025-02-25T06:38:26Z</dcterms:modified>
</cp:coreProperties>
</file>